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Цитаты для </w:t>
      </w:r>
      <w:r>
        <w:rPr>
          <w:rFonts w:hint="default"/>
          <w:lang w:val="en-US"/>
        </w:rPr>
        <w:t>Invasive species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Integrating Ecological and Evolutionary Theory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of Biological Invasions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Ruth A. Hufbauer and Mark E. Torchin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Generally, a species is considered invasive if it has significant ecological,</w:t>
      </w:r>
    </w:p>
    <w:p>
      <w:pPr>
        <w:rPr>
          <w:rFonts w:hint="default"/>
          <w:lang w:val="en-US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environmental or economic impacts in its novel range.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Because invasiveness is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a combined function of the invaded community and the invader, the changes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leading to greater success in the new range can be extrinsic changes in the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environment that favor the invading species, or they can be intrinsic to the</w:t>
      </w:r>
    </w:p>
    <w:p>
      <w:pP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invading species.</w:t>
      </w:r>
    </w:p>
    <w:p>
      <w:pP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Herein, we propose a metric to quantify the continuum from weak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invaders to strong invaders. Response ratios are used to compare the means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of experimental treatments (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 xml:space="preserve">X </w:t>
      </w:r>
      <w:r>
        <w:rPr>
          <w:rFonts w:hint="eastAsia" w:ascii="SMinionPlusTab-Regular" w:hAnsi="SMinionPlusTab-Regular" w:eastAsia="SMinionPlusTab-Regular"/>
          <w:color w:val="231F20"/>
          <w:sz w:val="14"/>
          <w:szCs w:val="24"/>
        </w:rPr>
        <w:t>E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) and controls (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X</w:t>
      </w:r>
      <w:r>
        <w:rPr>
          <w:rFonts w:hint="eastAsia" w:ascii="SMinionPlusTab-Regular" w:hAnsi="SMinionPlusTab-Regular" w:eastAsia="SMinionPlusTab-Regular"/>
          <w:color w:val="231F20"/>
          <w:sz w:val="14"/>
          <w:szCs w:val="24"/>
        </w:rPr>
        <w:t>C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), where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R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=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X</w:t>
      </w:r>
      <w:r>
        <w:rPr>
          <w:rFonts w:hint="eastAsia" w:ascii="SMinionPlusTab-Regular" w:hAnsi="SMinionPlusTab-Regular" w:eastAsia="SMinionPlusTab-Regular"/>
          <w:color w:val="231F20"/>
          <w:sz w:val="14"/>
          <w:szCs w:val="24"/>
        </w:rPr>
        <w:t>E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/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X</w:t>
      </w:r>
      <w:r>
        <w:rPr>
          <w:rFonts w:hint="eastAsia" w:ascii="SMinionPlusTab-Regular" w:hAnsi="SMinionPlusTab-Regular" w:eastAsia="SMinionPlusTab-Regular"/>
          <w:color w:val="231F20"/>
          <w:sz w:val="14"/>
          <w:szCs w:val="24"/>
        </w:rPr>
        <w:t xml:space="preserve">C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(Hedges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et al. 1999). If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R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&gt;1, then the experimental treatment is larger than the control,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and if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R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&lt;1, then the experimental treatment is smaller than the control.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For comparative research on biological invasions, the response ratio we propose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is the ratio of a measure of performance in the introduced range (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P</w:t>
      </w:r>
      <w:r>
        <w:rPr>
          <w:rFonts w:hint="eastAsia" w:ascii="SMinionPlusTab-Regular" w:hAnsi="SMinionPlusTab-Regular" w:eastAsia="SMinionPlusTab-Regular"/>
          <w:color w:val="231F20"/>
          <w:sz w:val="14"/>
          <w:szCs w:val="24"/>
        </w:rPr>
        <w:t>I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)</w:t>
      </w:r>
    </w:p>
    <w:p>
      <w:pP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to that in the native range (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P</w:t>
      </w:r>
      <w:r>
        <w:rPr>
          <w:rFonts w:hint="eastAsia" w:ascii="SMinionPlusTab-Regular" w:hAnsi="SMinionPlusTab-Regular" w:eastAsia="SMinionPlusTab-Regular"/>
          <w:color w:val="231F20"/>
          <w:sz w:val="14"/>
          <w:szCs w:val="24"/>
        </w:rPr>
        <w:t>N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).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If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P</w:t>
      </w:r>
      <w:r>
        <w:rPr>
          <w:rFonts w:hint="eastAsia" w:ascii="SMinionPlusTab-Regular" w:hAnsi="SMinionPlusTab-Regular" w:eastAsia="SMinionPlusTab-Regular"/>
          <w:color w:val="231F20"/>
          <w:sz w:val="14"/>
          <w:szCs w:val="24"/>
        </w:rPr>
        <w:t xml:space="preserve">I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and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P</w:t>
      </w:r>
      <w:r>
        <w:rPr>
          <w:rFonts w:hint="eastAsia" w:ascii="SMinionPlusTab-Regular" w:hAnsi="SMinionPlusTab-Regular" w:eastAsia="SMinionPlusTab-Regular"/>
          <w:color w:val="231F20"/>
          <w:sz w:val="14"/>
          <w:szCs w:val="24"/>
        </w:rPr>
        <w:t xml:space="preserve">N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are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normally distributed, and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P</w:t>
      </w:r>
      <w:r>
        <w:rPr>
          <w:rFonts w:hint="eastAsia" w:ascii="SMinionPlusTab-Regular" w:hAnsi="SMinionPlusTab-Regular" w:eastAsia="SMinionPlusTab-Regular"/>
          <w:color w:val="231F20"/>
          <w:sz w:val="14"/>
          <w:szCs w:val="24"/>
        </w:rPr>
        <w:t xml:space="preserve">N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is unlikely to be negative, then the log of the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response ratio (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L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) is approximately normally distributed (Hedges et al.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1999), making it a statistically tractable metric. Replicate measures of either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individual or population performance (e.g., average body size, fecundity,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seed set) are required to evaluate whether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 xml:space="preserve">R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differs significantly from 1 (or</w:t>
      </w:r>
    </w:p>
    <w:p>
      <w:pP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 xml:space="preserve">L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from zero) for a given species.</w:t>
      </w:r>
    </w:p>
    <w:p>
      <w:pP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</w:p>
    <w:p>
      <w:pP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</w:p>
    <w:p>
      <w:pP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</w:pP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ГИптезы </w:t>
      </w:r>
    </w:p>
    <w:p>
      <w:pPr>
        <w:rPr>
          <w:rFonts w:hint="eastAsia" w:ascii="SMinionPlusTab-Regular" w:hAnsi="SMinionPlusTab-Regular" w:eastAsia="SMinionPlusTab-Regular"/>
          <w:color w:val="231F20"/>
          <w:sz w:val="19"/>
          <w:szCs w:val="24"/>
        </w:rPr>
      </w:pPr>
    </w:p>
    <w:p>
      <w:pPr>
        <w:rPr>
          <w:rFonts w:hint="default" w:ascii="SMinionPlusTab-Regular" w:hAnsi="SMinionPlusTab-Regular" w:eastAsia="SMinionPlusTab-Regular"/>
          <w:color w:val="231F20"/>
          <w:sz w:val="19"/>
          <w:szCs w:val="24"/>
          <w:lang w:val="ru-RU"/>
        </w:rPr>
      </w:pPr>
      <w:r>
        <w:rPr>
          <w:rFonts w:hint="default" w:ascii="SMinionPlusTab-Regular" w:hAnsi="SMinionPlusTab-Regular" w:eastAsia="SMinionPlusTab-Regular"/>
          <w:color w:val="231F20"/>
          <w:sz w:val="19"/>
          <w:szCs w:val="24"/>
          <w:lang w:val="ru-RU"/>
        </w:rPr>
        <w:t>Экологические гипотезы</w:t>
      </w:r>
    </w:p>
    <w:p>
      <w:pPr>
        <w:rPr>
          <w:rFonts w:hint="eastAsia" w:ascii="SMinionPlusTab-Regular" w:hAnsi="SMinionPlusTab-Regular" w:eastAsia="SMinionPlusTab-Regular"/>
          <w:color w:val="231F20"/>
          <w:sz w:val="19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19"/>
          <w:szCs w:val="24"/>
        </w:rPr>
        <w:t>Inherent superiority</w:t>
      </w:r>
    </w:p>
    <w:p>
      <w:pP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19"/>
          <w:szCs w:val="24"/>
        </w:rPr>
        <w:t>Preadaptation/disturbance</w:t>
      </w:r>
    </w:p>
    <w:p>
      <w:pP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</w:pP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novel weapons hypothesis</w:t>
      </w:r>
    </w:p>
    <w:p>
      <w:pPr>
        <w:rPr>
          <w:rFonts w:hint="default" w:ascii="SMinionPlusTab-Italic" w:hAnsi="SMinionPlusTab-Italic" w:eastAsia="SMinionPlusTab-Italic"/>
          <w:i/>
          <w:color w:val="231F20"/>
          <w:sz w:val="21"/>
          <w:szCs w:val="24"/>
          <w:lang w:val="ru-RU"/>
        </w:rPr>
      </w:pP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The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 xml:space="preserve">empty niche hypothesis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posits that invasive species are able to use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resources not used by native species, or use them more efficiently and thereby</w:t>
      </w:r>
    </w:p>
    <w:p>
      <w:pP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create a new ecological niche in a community (Elton 1958).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This hypothesis is linked to the idea that species-rich communities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 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are more difficult to invade than species-poor communities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 several respects, preadaptation, inherent superiority, and the empty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niche hypotheses are related. Each proposes that the invaded environment is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suitable for invasion from the outset, and that similarly, the invasive species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has the capability of invading that environment without any intrinsic ecological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or evolutionary changes being required.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</w:p>
    <w:p>
      <w:pPr>
        <w:spacing w:beforeLines="0" w:afterLines="0"/>
        <w:jc w:val="left"/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</w:pP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enemy release hypothesis</w:t>
      </w:r>
    </w:p>
    <w:p>
      <w:pPr>
        <w:spacing w:beforeLines="0" w:afterLines="0"/>
        <w:jc w:val="left"/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</w:pP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>biotic resistance hypothesis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the enemy release and the biotic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resistance hypotheses are fundamentally linked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</w:p>
    <w:p>
      <w:pPr>
        <w:spacing w:beforeLines="0" w:afterLines="0"/>
        <w:jc w:val="left"/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</w:pP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>Эволюционные гипотезы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 xml:space="preserve">evolution of increased competitive ability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(EICA)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 addition, multiple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introductions from different native origins, even if each imposes a strong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bottleneck in population size, may enhance variation, particularly if there is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significant genetic structure among populations in the native range.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When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individuals from those populations cross in the new range, they can generate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introduced populations that can harbor greater genetic variation than is</w:t>
      </w:r>
    </w:p>
    <w:p>
      <w:pPr>
        <w:spacing w:beforeLines="0" w:afterLines="0"/>
        <w:jc w:val="left"/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found in any single population in the native range(Kolbe et al. 2004)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>.</w:t>
      </w:r>
    </w:p>
    <w:p>
      <w:pPr>
        <w:spacing w:beforeLines="0" w:afterLines="0"/>
        <w:jc w:val="left"/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</w:pP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Abbott (1992) and Ellstrand and Schierenbeck (2000) highlighted the role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 xml:space="preserve">of </w:t>
      </w:r>
      <w:r>
        <w:rPr>
          <w:rFonts w:hint="default" w:ascii="SMinionPlusTab-Italic" w:hAnsi="SMinionPlusTab-Italic" w:eastAsia="SMinionPlusTab-Italic"/>
          <w:i/>
          <w:color w:val="231F20"/>
          <w:sz w:val="21"/>
          <w:szCs w:val="24"/>
        </w:rPr>
        <w:t xml:space="preserve">hybridization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between species and gene flow among distinct genotypes in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invasions, and proposed that it increases the invasiveness of exotic species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by generating genetic variation, evolutionary novelty or hybrid vigor (e.g.,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Vila and D’Antonio 1998).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Hybridization may initially reduce fitness (Arnold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et al. 2001), but a combination of selection and backcrossing may result in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individuals with higher fitness than is the case for the hybridizing parents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(Arnold and Hodges 1995; Arnold et al. 2001).Whether hybridization influences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the demographic success of introduced species is still under debate: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many invasive taxa are of hybrid origin (Ellstrand and Schierenbeck 2000),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but few data connect hybridization or outcrossing directly to changes that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would increase invasion success.</w:t>
      </w:r>
    </w:p>
    <w:p>
      <w:pPr>
        <w:spacing w:beforeLines="0" w:afterLines="0"/>
        <w:jc w:val="left"/>
        <w:rPr>
          <w:rFonts w:hint="eastAsia" w:ascii="SMinionPlusTab-Regular" w:hAnsi="SMinionPlusTab-Regular" w:eastAsia="SMinionPlusTab-Regular"/>
          <w:color w:val="231F20"/>
          <w:sz w:val="21"/>
          <w:szCs w:val="24"/>
        </w:rPr>
      </w:pPr>
    </w:p>
    <w:p>
      <w:pPr>
        <w:spacing w:beforeLines="0" w:afterLines="0"/>
        <w:jc w:val="left"/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</w:pP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Thus, introduced taxa of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hybrid origin may be able to invade areas that are unavailable to the parental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 </w:t>
      </w:r>
      <w:r>
        <w:rPr>
          <w:rFonts w:hint="eastAsia" w:ascii="SMinionPlusTab-Regular" w:hAnsi="SMinionPlusTab-Regular" w:eastAsia="SMinionPlusTab-Regular"/>
          <w:color w:val="231F20"/>
          <w:sz w:val="21"/>
          <w:szCs w:val="24"/>
        </w:rPr>
        <w:t>species.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 !!! Важно! Это иожет объяснять почему гибридов  ЕхТ больше в местах с пониженной соленостью.</w:t>
      </w:r>
    </w:p>
    <w:p>
      <w:pPr>
        <w:spacing w:beforeLines="0" w:afterLines="0"/>
        <w:jc w:val="left"/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</w:pP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en-US"/>
        </w:rPr>
        <w:t>Introduced species and invasive species</w:t>
      </w:r>
      <w:r>
        <w:rPr>
          <w:rFonts w:hint="default" w:ascii="SMinionPlusTab-Regular" w:hAnsi="SMinionPlusTab-Regular" w:eastAsia="SMinionPlusTab-Regular"/>
          <w:color w:val="231F20"/>
          <w:sz w:val="21"/>
          <w:szCs w:val="24"/>
          <w:lang w:val="ru-RU"/>
        </w:rPr>
        <w:t xml:space="preserve"> это не одно и то же.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MinionPlusTab-Regular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MinionPlusTab-Bold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MinionPlusSC-Regula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MinionPlusTab-Italic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MinionPlusTab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04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2021-12-26T11:18:00Z</dcterms:created>
  <dc:creator>polyd</dc:creator>
  <cp:lastModifiedBy>polyd</cp:lastModifiedBy>
  <dcterms:modified xsi:type="dcterms:W3CDTF">2021-12-27T08:03:49Z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6A93F87C11E64705A321B185DEC4CB42</vt:lpwstr>
  </property>
</Properties>
</file>