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478A17D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Критерии отбора </w:t>
      </w:r>
      <w:r>
        <w:rPr>
          <w:rFonts w:hint="default"/>
          <w:lang w:val="en-US"/>
        </w:rPr>
        <w:t xml:space="preserve">PNIS </w:t>
      </w:r>
      <w:r>
        <w:rPr>
          <w:rFonts w:hint="default"/>
          <w:lang w:val="ru-RU"/>
        </w:rPr>
        <w:t>из базы https://www.iucngisd.org/gisd/</w:t>
      </w:r>
    </w:p>
    <w:p w14:paraId="05CF9ED2">
      <w:pPr>
        <w:ind w:left="0" w:leftChars="0" w:firstLine="0" w:firstLineChars="0"/>
        <w:rPr>
          <w:rFonts w:hint="default"/>
          <w:lang w:val="en-US"/>
        </w:rPr>
      </w:pPr>
    </w:p>
    <w:p w14:paraId="46ABDD91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Selected TaxonomyAnnelida, Branchiopoda, Insecta, Malacostraca, Maxillopoda, Pycnogonida, Ascidiacea, Cnidaria, Ctenophora, Echinodermata, Ectoprocta, Mollusca, Nemata, Porifera</w:t>
      </w:r>
    </w:p>
    <w:p w14:paraId="65265C2B">
      <w:pPr>
        <w:ind w:left="0" w:leftChars="0" w:firstLine="0" w:firstLineChars="0"/>
        <w:rPr>
          <w:rFonts w:hint="default"/>
          <w:lang w:val="en-US"/>
        </w:rPr>
      </w:pPr>
    </w:p>
    <w:p w14:paraId="2EB437ED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Selected SystemBrackish, Marine, Marine / freshwater / brackish</w:t>
      </w:r>
    </w:p>
    <w:p w14:paraId="6143D5D6">
      <w:pPr>
        <w:ind w:left="0" w:leftChars="0" w:firstLine="0" w:firstLineChars="0"/>
        <w:rPr>
          <w:rFonts w:hint="default"/>
          <w:lang w:val="en-US"/>
        </w:rPr>
      </w:pPr>
    </w:p>
    <w:p w14:paraId="68AEC5BA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Selected PathwayTransport - Contaminant, Transport - Stowaway</w:t>
      </w:r>
    </w:p>
    <w:p w14:paraId="1B9F484C">
      <w:pPr>
        <w:ind w:left="0" w:leftChars="0" w:firstLine="0" w:firstLineChars="0"/>
        <w:rPr>
          <w:rFonts w:hint="default"/>
          <w:lang w:val="en-US"/>
        </w:rPr>
      </w:pPr>
    </w:p>
    <w:p w14:paraId="7373E25C">
      <w:pPr>
        <w:ind w:left="0" w:leftChars="0" w:firstLine="0" w:firstLineChars="0"/>
        <w:rPr>
          <w:lang w:val="en-US"/>
        </w:rPr>
      </w:pPr>
      <w:r>
        <w:rPr>
          <w:rFonts w:hint="default"/>
          <w:lang w:val="en-US"/>
        </w:rPr>
        <w:t>Selected LocationArctic Sea, Atlantic - Eastern Central, Atlantic - Northeast, Atlantic - Northwest, Atlantic - Southwest, Atlantic - Western Central, Indian - Ocean Eastern, Indian - Ocean Western, Mediterranean &amp; Black Sea, Pacific - Eastern Central, Pacific - Northeast, Pacific - Northwest, Pacific - Southeast, Pacific - Southwest, Pacific - Western Central</w:t>
      </w:r>
    </w:p>
    <w:p w14:paraId="56CDF07D">
      <w:pPr>
        <w:rPr>
          <w:lang w:val="en-US"/>
        </w:rPr>
      </w:pPr>
    </w:p>
    <w:p w14:paraId="64DC679E">
      <w:pPr>
        <w:rPr>
          <w:lang w:val="en-US"/>
        </w:rPr>
      </w:pPr>
    </w:p>
    <w:p w14:paraId="25B3E7D7">
      <w:pPr>
        <w:rPr>
          <w:lang w:val="en-US"/>
        </w:rPr>
      </w:pPr>
    </w:p>
    <w:p w14:paraId="7616815B">
      <w:pPr>
        <w:rPr>
          <w:rFonts w:hint="default"/>
          <w:lang w:val="ru-RU"/>
        </w:rPr>
      </w:pPr>
      <w:r>
        <w:rPr>
          <w:lang w:val="ru-RU"/>
        </w:rPr>
        <w:t>Упоминание</w:t>
      </w:r>
      <w:r>
        <w:rPr>
          <w:rFonts w:hint="default"/>
          <w:lang w:val="ru-RU"/>
        </w:rPr>
        <w:t xml:space="preserve"> вида-вселенца</w:t>
      </w:r>
    </w:p>
    <w:p w14:paraId="2E13347D"/>
    <w:p w14:paraId="6E078827">
      <w:pPr>
        <w:pStyle w:val="6"/>
        <w:numPr>
          <w:ilvl w:val="3"/>
          <w:numId w:val="12"/>
        </w:numPr>
      </w:pPr>
      <w:r>
        <w:t xml:space="preserve">Виды вселенцы </w:t>
      </w:r>
    </w:p>
    <w:p w14:paraId="1DDD1B84">
      <w:pPr>
        <w:pStyle w:val="154"/>
      </w:pPr>
      <w:r>
        <w:t xml:space="preserve">В 2023 году на исследуемой акватории был выявлен 1 вид-вселенец </w:t>
      </w:r>
      <w:r>
        <w:rPr>
          <w:i/>
          <w:iCs/>
        </w:rPr>
        <w:t>Eurytemora velox</w:t>
      </w:r>
      <w:r>
        <w:t>, отмеченный на 26 станциях, по большей части на акватории порта Сабетта и станций южного разреза (</w:t>
      </w:r>
      <w:r>
        <w:rPr>
          <w:b/>
        </w:rPr>
        <w:fldChar w:fldCharType="begin"/>
      </w:r>
      <w:r>
        <w:rPr>
          <w:b/>
        </w:rPr>
        <w:instrText xml:space="preserve"> REF _Ref170910861  \* MERGEFORMAT </w:instrText>
      </w:r>
      <w:r>
        <w:rPr>
          <w:b/>
        </w:rPr>
        <w:fldChar w:fldCharType="separate"/>
      </w:r>
      <w:r>
        <w:rPr>
          <w:b/>
        </w:rPr>
        <w:t>Рисунок 4.5</w:t>
      </w:r>
      <w:r>
        <w:rPr>
          <w:b/>
        </w:rPr>
        <w:noBreakHyphen/>
      </w:r>
      <w:r>
        <w:rPr>
          <w:b/>
        </w:rPr>
        <w:t>27</w:t>
      </w:r>
      <w:r>
        <w:rPr>
          <w:b/>
        </w:rPr>
        <w:fldChar w:fldCharType="end"/>
      </w:r>
      <w:r>
        <w:t>). Максимальные величины обилия показаны для станции №80, численность здесь достигала 317,5 экз./м³, биомасса – 25,4 мг/м³. В среднем же для участка численность составила 9,4 экз./м³, биомасса – 0,62 мг/м³, что в общих показателях обилия даёт менее 1%.</w:t>
      </w:r>
    </w:p>
    <w:p w14:paraId="60EE9693">
      <w:pPr>
        <w:pStyle w:val="155"/>
      </w:pPr>
      <w:r>
        <w:drawing>
          <wp:inline distT="0" distB="0" distL="0" distR="0">
            <wp:extent cx="2286000" cy="3227705"/>
            <wp:effectExtent l="0" t="0" r="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7F71">
      <w:pPr>
        <w:rPr>
          <w:lang w:val="en-US"/>
        </w:rPr>
      </w:pPr>
      <w:bookmarkStart w:id="0" w:name="_Ref170910861"/>
      <w:r>
        <w:rPr>
          <w:b/>
        </w:rPr>
        <w:t xml:space="preserve">Рисунок </w:t>
      </w:r>
      <w:r>
        <w:rPr>
          <w:b/>
        </w:rPr>
        <w:fldChar w:fldCharType="begin"/>
      </w:r>
      <w:r>
        <w:rPr>
          <w:b/>
        </w:rPr>
        <w:instrText xml:space="preserve"> STYLEREF 2 \s </w:instrText>
      </w:r>
      <w:r>
        <w:rPr>
          <w:b/>
        </w:rPr>
        <w:fldChar w:fldCharType="separate"/>
      </w:r>
      <w:r>
        <w:rPr>
          <w:b/>
        </w:rPr>
        <w:t>4.5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Рисунок \* ARABIC \s 2 </w:instrText>
      </w:r>
      <w:r>
        <w:rPr>
          <w:b/>
        </w:rPr>
        <w:fldChar w:fldCharType="separate"/>
      </w:r>
      <w:r>
        <w:rPr>
          <w:b/>
        </w:rPr>
        <w:t>27</w:t>
      </w:r>
      <w:r>
        <w:rPr>
          <w:b/>
        </w:rPr>
        <w:fldChar w:fldCharType="end"/>
      </w:r>
      <w:bookmarkEnd w:id="0"/>
      <w:r>
        <w:rPr>
          <w:b/>
        </w:rPr>
        <w:t xml:space="preserve">. Вид-вселенец копепода </w:t>
      </w:r>
      <w:r>
        <w:rPr>
          <w:b/>
          <w:i/>
          <w:iCs/>
          <w:lang w:val="en-US"/>
        </w:rPr>
        <w:t>Eurytemora</w:t>
      </w:r>
      <w:r>
        <w:rPr>
          <w:b/>
          <w:i/>
          <w:iCs/>
        </w:rPr>
        <w:t xml:space="preserve"> </w:t>
      </w:r>
      <w:r>
        <w:rPr>
          <w:b/>
          <w:i/>
          <w:iCs/>
          <w:lang w:val="en-US"/>
        </w:rPr>
        <w:t>velox</w:t>
      </w:r>
      <w:r>
        <w:rPr>
          <w:b/>
          <w:i/>
          <w:iCs/>
        </w:rPr>
        <w:t xml:space="preserve"> </w:t>
      </w:r>
      <w:r>
        <w:rPr>
          <w:b/>
          <w:bCs/>
        </w:rPr>
        <w:t xml:space="preserve">(по </w:t>
      </w:r>
      <w:r>
        <w:rPr>
          <w:b/>
          <w:bCs/>
          <w:lang w:val="en-US"/>
        </w:rPr>
        <w:t>WoRMS</w:t>
      </w:r>
      <w:r>
        <w:rPr>
          <w:b/>
          <w:bCs/>
        </w:rPr>
        <w:t>)</w:t>
      </w:r>
    </w:p>
    <w:p w14:paraId="416E5378">
      <w:pPr>
        <w:rPr>
          <w:lang w:val="en-US"/>
        </w:rPr>
      </w:pPr>
    </w:p>
    <w:p w14:paraId="2ADEA39C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"https://sev-in.ru/node/3504" </w:instrText>
      </w:r>
      <w:r>
        <w:rPr>
          <w:rFonts w:hint="default"/>
          <w:lang w:val="en-US"/>
        </w:rPr>
        <w:fldChar w:fldCharType="separate"/>
      </w:r>
      <w:r>
        <w:rPr>
          <w:rStyle w:val="21"/>
          <w:rFonts w:hint="default"/>
          <w:lang w:val="en-US"/>
        </w:rPr>
        <w:t>https://sev-in.ru/node/3504</w:t>
      </w:r>
      <w:r>
        <w:rPr>
          <w:rFonts w:hint="default"/>
          <w:lang w:val="en-US"/>
        </w:rPr>
        <w:fldChar w:fldCharType="end"/>
      </w:r>
    </w:p>
    <w:p w14:paraId="64C764BB">
      <w:pPr>
        <w:rPr>
          <w:rFonts w:hint="default"/>
          <w:lang w:val="en-US"/>
        </w:rPr>
      </w:pPr>
    </w:p>
    <w:p w14:paraId="7107EB1D">
      <w:pPr>
        <w:rPr>
          <w:lang w:val="en-US"/>
        </w:rPr>
      </w:pPr>
    </w:p>
    <w:p w14:paraId="25E7000D">
      <w:p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Sukhikh N., Garibian P., Chertoprud E. Resettlement of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20"/>
          <w:rFonts w:hint="default" w:ascii="Segoe UI" w:hAnsi="Segoe UI" w:eastAsia="Segoe UI" w:cs="Segoe UI"/>
          <w:caps w:val="0"/>
          <w:color w:val="212529"/>
          <w:spacing w:val="0"/>
          <w:sz w:val="19"/>
          <w:szCs w:val="19"/>
          <w:shd w:val="clear" w:fill="FFFFFF"/>
        </w:rPr>
        <w:t>Eurytemora velox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(Crustacea: Copepoda) in Europe, the Urals and Western Siberia // Diversity. 2024. Vol. 16 (1): 47.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"https://doi.org/10.3390/d16010047"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1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https://doi.org/10.3390/d16010047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. Q1</w:t>
      </w:r>
    </w:p>
    <w:p w14:paraId="2E16F930">
      <w:p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 w14:paraId="1A26125E">
      <w:p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 w14:paraId="17C9E710">
      <w:p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 w14:paraId="1DDC4B08">
      <w:p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ru-RU"/>
        </w:rPr>
        <w:t>Взято из</w:t>
      </w:r>
    </w:p>
    <w:p w14:paraId="3E91556A">
      <w:p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/>
        </w:rPr>
        <w:t>Компл мониторинг_ФРЭКОМ_Гидробиологическая хар (1).docx</w:t>
      </w:r>
    </w:p>
    <w:p w14:paraId="0A058172">
      <w:pPr>
        <w:rPr>
          <w:lang w:val="en-US"/>
        </w:rPr>
      </w:pPr>
    </w:p>
    <w:p w14:paraId="34F1BC07">
      <w:pPr>
        <w:rPr>
          <w:lang w:val="en-US"/>
        </w:rPr>
      </w:pPr>
    </w:p>
    <w:p w14:paraId="251E81B5">
      <w:bookmarkStart w:id="1" w:name="_Hlk125380937"/>
      <w:r>
        <w:t xml:space="preserve">В 2022-2023 гг. в акватории порта Сабетта отмечено наличие вида веслоногих ракообразных </w:t>
      </w:r>
      <w:bookmarkStart w:id="2" w:name="_Hlk125380521"/>
      <w:r>
        <w:rPr>
          <w:i/>
          <w:iCs/>
        </w:rPr>
        <w:t>Eurytemora velox</w:t>
      </w:r>
      <w:bookmarkEnd w:id="2"/>
      <w:r>
        <w:rPr>
          <w:i/>
          <w:iCs/>
        </w:rPr>
        <w:t xml:space="preserve"> </w:t>
      </w:r>
      <w:r>
        <w:t xml:space="preserve">Lilljeborg, 1853, который, согласно литературным данным (Nagaraj, 1988, Luizi et al., 1999,; Pandourski, Evtimova, 2006; Вежновец и др., 2011), можно отнести к видам-вселенцам из-за его неоднократного обнаружения вне изначального ареала обитания и значительной скорости распространения, а также отсутствия в списке автохонных видов зоопланктона Обской губы. Первые находки вида в Обской губе, в том числе в районе порта Сабетта, зафиксированы в 2015 г. (Ермолаева, 2015). Этот вид зафиксирован ранее как в низовьях Оби (ниже г. Нижневартовск), в самой Обской губе, и даже в Гыданской губе (Ермолаева, 2015). Кроме того, в 2013 году </w:t>
      </w:r>
      <w:r>
        <w:rPr>
          <w:i/>
          <w:iCs/>
        </w:rPr>
        <w:t>Eurytemora velox</w:t>
      </w:r>
      <w:r>
        <w:t xml:space="preserve"> был зафиксирован в бассейне Оби (река Иртыш) (</w:t>
      </w:r>
      <w:r>
        <w:rPr>
          <w:lang w:val="en-US"/>
        </w:rPr>
        <w:t>Gerasimova</w:t>
      </w:r>
      <w:r>
        <w:t xml:space="preserve"> </w:t>
      </w:r>
      <w:r>
        <w:rPr>
          <w:lang w:val="en-US"/>
        </w:rPr>
        <w:t>et</w:t>
      </w:r>
      <w:r>
        <w:t xml:space="preserve">. </w:t>
      </w:r>
      <w:r>
        <w:rPr>
          <w:lang w:val="en-US"/>
        </w:rPr>
        <w:t>al</w:t>
      </w:r>
      <w:r>
        <w:t xml:space="preserve">., 2022). Данный вид является эвригалинным видом, способным существовать в диапазоне солености от 0 до 35 промилле. В некоторых районах расселения является представителем кормовой базы ихтиофауны (Luizi et al., 1999, Вежновец и др., 2011), а также ранее использовался в качестве прикормки в аквакультуре. Ранее этот вид был типичен для лиманов и устьевых зон рек, впадающих в Черное, Азовское, Каспийское и Балтийское моря (Определитель зоопланктона и зообентоса ..., 2010). Однако, в последнее десятилетие </w:t>
      </w:r>
      <w:r>
        <w:rPr>
          <w:i/>
          <w:iCs/>
        </w:rPr>
        <w:t>E. velox</w:t>
      </w:r>
      <w:r>
        <w:t xml:space="preserve"> активно расселяется по территор</w:t>
      </w:r>
      <w:bookmarkStart w:id="7" w:name="_GoBack"/>
      <w:bookmarkEnd w:id="7"/>
      <w:r>
        <w:t xml:space="preserve">ии Евразии – включая водоемы Исландии и Норвегии- и уже пересек в своем распространении Уральский хребет. </w:t>
      </w:r>
      <w:r>
        <w:rPr>
          <w:i/>
          <w:iCs/>
        </w:rPr>
        <w:t>E. velox</w:t>
      </w:r>
      <w:r>
        <w:t xml:space="preserve"> считается универсальным видом, который постоянно расширяет свой ареал, занимает новые экологические ниши и заселяет не только соленые и солоноватые водоемы, но и пресноводные местообитания вдали от морских побережий (Pandourski, Evtimova, 2006). Предполагается, что данный вид является реликтовым, обладающим значительными способностями к долговременному нахождению в неблагоприятных условиях и быстрой адаптации к внешней среде (Samchyshyna et al., 2020). В ряде пресноводных водоемов РФ данный вид стал доминирующим в летний период (Lazareva, 2020). Основными способами распространения данного вида считаются перенос в балластных водах из других акваторий обитания данного вида, перенос непереваренной икры представителями ихтиофауны (Samchyshyna et al.,2020).), а также распространение течениями. В 2019 и 2021 гг. вид </w:t>
      </w:r>
      <w:r>
        <w:rPr>
          <w:i/>
          <w:iCs/>
        </w:rPr>
        <w:t>E. velox</w:t>
      </w:r>
      <w:r>
        <w:t xml:space="preserve"> в районе Сабетты не был обнаружен. Данный факт, вероятно, объясняется флуктуациями численности вида и неоднородностью его распределения. Другие виды-вселенцы ранее не фиксировались в акватории Обской губы, что может говорить как об отсутствии данных видов, так и о слабой гидробиологической изученности данной акватории.</w:t>
      </w:r>
    </w:p>
    <w:p w14:paraId="1E62BF98">
      <w:r>
        <w:t xml:space="preserve">Как правило, особи данного вида, встречающиеся в Арктической зоне, имеют некоторые морфологические отличия, что возможно связанно со значительным влиянием таких абиотических факторов, как низкая температура воды, и значительная изменчивость солёности поверхностного слоя (Pandourski &amp; Evtimova, 2009). </w:t>
      </w:r>
    </w:p>
    <w:p w14:paraId="4D5CDE98">
      <w:r>
        <w:t xml:space="preserve">Для того, чтобы определить возможные пути попадания </w:t>
      </w:r>
      <w:r>
        <w:rPr>
          <w:i/>
          <w:iCs/>
        </w:rPr>
        <w:t>E. velox</w:t>
      </w:r>
      <w:r>
        <w:t xml:space="preserve"> в регион, предлагается провести молекулярно-генетические исследования. В ходе молекулярно-генетических исследований может быть проведено выделение ДНК, ПЦР маркера (COI), секвенирование, биоинформационный анализ. Все полученные в результате чтения последовательности фрагментов исследуемых генов (с прямых и обратных праймеров) будут проверены на видовую идентичность Для оценки видовой принадлежности групп с возможным криптическим разнообразием (рода </w:t>
      </w:r>
      <w:r>
        <w:rPr>
          <w:i/>
          <w:iCs/>
        </w:rPr>
        <w:t>Diaptomus, Eurytemora, Acartia, Nepthys</w:t>
      </w:r>
      <w:r>
        <w:t xml:space="preserve">) может быть проведена реконструкция филогенетических деревьев для сравнения последовательностей ДНК с ДНК образцов, встреченных в других водоёмах, что позволит более точно определить возможные пути его расселения и </w:t>
      </w:r>
      <w:bookmarkStart w:id="3" w:name="_Hlk125380770"/>
      <w:r>
        <w:t xml:space="preserve">выявить возможную связь между деятельностью проекта и повторным обнаружением вида-вселенца </w:t>
      </w:r>
      <w:r>
        <w:rPr>
          <w:i/>
          <w:iCs/>
        </w:rPr>
        <w:t xml:space="preserve">E. Velox </w:t>
      </w:r>
      <w:bookmarkEnd w:id="3"/>
      <w:r>
        <w:t xml:space="preserve">в Обской губе. Данный метод исследований уже подтвердил свою эффективность при выявлении путей распространения </w:t>
      </w:r>
      <w:r>
        <w:rPr>
          <w:i/>
          <w:iCs/>
        </w:rPr>
        <w:t xml:space="preserve">E. </w:t>
      </w:r>
      <w:r>
        <w:rPr>
          <w:i/>
          <w:iCs/>
          <w:lang w:val="en-US"/>
        </w:rPr>
        <w:t>v</w:t>
      </w:r>
      <w:r>
        <w:rPr>
          <w:i/>
          <w:iCs/>
        </w:rPr>
        <w:t>elox</w:t>
      </w:r>
      <w:r>
        <w:t xml:space="preserve"> в других водоемах России (Sukhikh &amp; Lazareva, 2022).</w:t>
      </w:r>
    </w:p>
    <w:p w14:paraId="7ED445C8">
      <w:r>
        <w:t xml:space="preserve">В 2023 году </w:t>
      </w:r>
      <w:r>
        <w:rPr>
          <w:i/>
          <w:iCs/>
        </w:rPr>
        <w:t xml:space="preserve">E. </w:t>
      </w:r>
      <w:r>
        <w:rPr>
          <w:i/>
          <w:iCs/>
          <w:lang w:val="en-US"/>
        </w:rPr>
        <w:t>v</w:t>
      </w:r>
      <w:r>
        <w:rPr>
          <w:i/>
          <w:iCs/>
        </w:rPr>
        <w:t>elox</w:t>
      </w:r>
      <w:r>
        <w:t xml:space="preserve"> отмечены на 14 станциях с долей около 1% в общей численности и 0,6% в биомассе (в среднем 33 экз./м</w:t>
      </w:r>
      <w:r>
        <w:rPr>
          <w:vertAlign w:val="superscript"/>
        </w:rPr>
        <w:t>3</w:t>
      </w:r>
      <w:r>
        <w:t xml:space="preserve"> и 2,7 мг/м</w:t>
      </w:r>
      <w:r>
        <w:rPr>
          <w:vertAlign w:val="superscript"/>
        </w:rPr>
        <w:t>3</w:t>
      </w:r>
      <w:r>
        <w:t>, соответственно). Несмотря на достаточно длительное присутствие в сообществе Обской губы вида-вселенца (как минимум с 2015 года) выявленные видовой состав, численность и биомасса, а также соотношение таксономических групп зоопланктона остались на уровне, когда было зафиксировано первое обнаружение. Это говорит о том, что заметных перестроек в сообществе в связи с появлением данного вида пока не произошло.</w:t>
      </w:r>
      <w:bookmarkEnd w:id="1"/>
    </w:p>
    <w:p w14:paraId="2F76F6A5">
      <w:pPr>
        <w:rPr>
          <w:lang w:val="en-US"/>
        </w:rPr>
      </w:pPr>
      <w:r>
        <w:rPr>
          <w:lang w:val="en-US"/>
        </w:rPr>
        <w:br w:type="page"/>
      </w:r>
    </w:p>
    <w:p w14:paraId="64B3A8A0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Результаты анализа ДНК из балластных вод</w:t>
      </w:r>
    </w:p>
    <w:p w14:paraId="38CD3C96">
      <w:pPr>
        <w:rPr>
          <w:lang w:val="en-US"/>
        </w:rPr>
      </w:pPr>
    </w:p>
    <w:p w14:paraId="6B518A1C">
      <w:pPr>
        <w:rPr>
          <w:lang w:val="en-US"/>
        </w:rPr>
      </w:pPr>
    </w:p>
    <w:p w14:paraId="12C3E133">
      <w:pPr>
        <w:pStyle w:val="156"/>
      </w:pPr>
      <w:bookmarkStart w:id="4" w:name="_Toc163829027"/>
      <w:r>
        <w:t>Среднее содержание массовых видов эукариот в пробах балластных вод, 2021 г.</w:t>
      </w:r>
      <w:bookmarkEnd w:id="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103"/>
        <w:gridCol w:w="1837"/>
      </w:tblGrid>
      <w:tr w14:paraId="2C95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3B42198D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Вид</w:t>
            </w:r>
          </w:p>
        </w:tc>
        <w:tc>
          <w:tcPr>
            <w:tcW w:w="5103" w:type="dxa"/>
            <w:shd w:val="clear" w:color="auto" w:fill="auto"/>
            <w:noWrap/>
            <w:vAlign w:val="center"/>
          </w:tcPr>
          <w:p w14:paraId="71DAF742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 xml:space="preserve">Классификация 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784C924A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Среднее содержание в пробах, %</w:t>
            </w:r>
          </w:p>
        </w:tc>
      </w:tr>
      <w:tr w14:paraId="45B30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6D8838BD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Cylichna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 xml:space="preserve"> sp.</w:t>
            </w:r>
          </w:p>
        </w:tc>
        <w:tc>
          <w:tcPr>
            <w:tcW w:w="5103" w:type="dxa"/>
            <w:shd w:val="clear" w:color="auto" w:fill="auto"/>
            <w:noWrap/>
            <w:vAlign w:val="center"/>
          </w:tcPr>
          <w:p w14:paraId="1DF5AE6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Mollusca; Gastropoda; Heterobranchia; Euthyneura; Tectipleura; Cephalaspidea; Philinoidea; Cylichnidae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752FCC0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20,37</w:t>
            </w:r>
          </w:p>
        </w:tc>
      </w:tr>
      <w:tr w14:paraId="44A9C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012CC762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Calanus hyperboreus</w:t>
            </w:r>
          </w:p>
        </w:tc>
        <w:tc>
          <w:tcPr>
            <w:tcW w:w="5103" w:type="dxa"/>
            <w:shd w:val="clear" w:color="auto" w:fill="auto"/>
            <w:noWrap/>
            <w:vAlign w:val="center"/>
          </w:tcPr>
          <w:p w14:paraId="2DE9A29D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Crustacea; Hexanauplia; Copepoda; Neocopepoda; Gymnoplea; Calanoida; Calanidae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77103AB9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11,7</w:t>
            </w:r>
          </w:p>
        </w:tc>
      </w:tr>
      <w:tr w14:paraId="1129B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3F568F2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Cadlina laevis</w:t>
            </w:r>
          </w:p>
        </w:tc>
        <w:tc>
          <w:tcPr>
            <w:tcW w:w="5103" w:type="dxa"/>
            <w:shd w:val="clear" w:color="auto" w:fill="auto"/>
            <w:noWrap/>
            <w:vAlign w:val="center"/>
          </w:tcPr>
          <w:p w14:paraId="76BEAFB8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Mollusca; Gastropoda; Heterobranchia; Euthyneura; Nudipleura; Nudibranchia; Doridina; Eudoridoidea; Chromodorididae;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0C681CE9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4,95</w:t>
            </w:r>
          </w:p>
        </w:tc>
      </w:tr>
      <w:tr w14:paraId="43C4F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0919B182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Entophlyctis helioformis</w:t>
            </w:r>
          </w:p>
        </w:tc>
        <w:tc>
          <w:tcPr>
            <w:tcW w:w="5103" w:type="dxa"/>
            <w:shd w:val="clear" w:color="auto" w:fill="auto"/>
            <w:noWrap/>
            <w:vAlign w:val="center"/>
          </w:tcPr>
          <w:p w14:paraId="39BB8AFD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Fungi; Chytridiomycota; Chytridiomycetes; Chytridiales; Chytriomycetaceae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6ACFDFAD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4,79</w:t>
            </w:r>
          </w:p>
        </w:tc>
      </w:tr>
      <w:tr w14:paraId="6FFDC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75A72F8D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Yarrowia lipolytica</w:t>
            </w:r>
          </w:p>
        </w:tc>
        <w:tc>
          <w:tcPr>
            <w:tcW w:w="5103" w:type="dxa"/>
            <w:shd w:val="clear" w:color="auto" w:fill="auto"/>
            <w:noWrap/>
            <w:vAlign w:val="center"/>
          </w:tcPr>
          <w:p w14:paraId="29D837CC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Fungi; Dikarya; Ascomycota; Saccharomycotina; Saccharomycetes; Saccharomycetales; Dipodascaceae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66E1657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4,63</w:t>
            </w:r>
          </w:p>
        </w:tc>
      </w:tr>
      <w:tr w14:paraId="1618C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769C82DA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Pedospumella encystans</w:t>
            </w:r>
          </w:p>
        </w:tc>
        <w:tc>
          <w:tcPr>
            <w:tcW w:w="5103" w:type="dxa"/>
            <w:shd w:val="clear" w:color="auto" w:fill="auto"/>
            <w:noWrap/>
            <w:vAlign w:val="center"/>
          </w:tcPr>
          <w:p w14:paraId="6D54D25D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Stramenopiles; Ochrophyta; Chrysophyceae; Chromulinales; Chromulinaceae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6A172CA6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1,5</w:t>
            </w:r>
          </w:p>
        </w:tc>
      </w:tr>
    </w:tbl>
    <w:p w14:paraId="02857B97">
      <w:pPr>
        <w:ind w:firstLine="709"/>
        <w:rPr>
          <w:lang w:val="en-US"/>
        </w:rPr>
      </w:pPr>
    </w:p>
    <w:p w14:paraId="1A215C38">
      <w:pPr>
        <w:rPr>
          <w:lang w:val="en-US"/>
        </w:rPr>
      </w:pPr>
    </w:p>
    <w:p w14:paraId="38A3D922">
      <w:pPr>
        <w:pStyle w:val="156"/>
      </w:pPr>
      <w:bookmarkStart w:id="5" w:name="_Toc163829028"/>
      <w:r>
        <w:t>Среднее содержание массовых видов эукариот в пробах балластных вод, 2022 г.</w:t>
      </w:r>
      <w:bookmarkEnd w:id="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4961"/>
        <w:gridCol w:w="1979"/>
      </w:tblGrid>
      <w:tr w14:paraId="05333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7C1F84EB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Вид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603B1F0F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 xml:space="preserve">Классификация 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57236DAC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 xml:space="preserve">Среднее содержание 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br w:type="textWrapping"/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в пробах, %</w:t>
            </w:r>
          </w:p>
        </w:tc>
      </w:tr>
      <w:tr w14:paraId="21D75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18C09B9D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Polaria polaris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301E881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Mollusca; Gastropoda; Heterobranchia; Euthyneura; Nudipleura; Nudibranchia; Cladobranchia; Flabellinoidea; Paracoryphellidae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1E579AB9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4,79</w:t>
            </w:r>
          </w:p>
        </w:tc>
      </w:tr>
      <w:tr w14:paraId="610DA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5E834F4E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Callophrys rubi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6E864BA2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Insecta; Dicondylia; Pterygota; Neoptera; Endopterygota; Amphiesmenoptera; Lepidoptera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31108010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2,72</w:t>
            </w:r>
          </w:p>
        </w:tc>
      </w:tr>
      <w:tr w14:paraId="7E4A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6339EC7B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Pedospumella encystans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4032238B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Stramenopiles; Ochrophyta; Chrysophyceae; Chromulinales; Chromulinaceae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5E8A64CF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2,70</w:t>
            </w:r>
          </w:p>
        </w:tc>
      </w:tr>
      <w:tr w14:paraId="1E1C0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028BB62B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Cadlina laevis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44D835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Mollusca; Gastropoda; Heterobranchia; Euthyneura; Nudipleura; Nudibranchia; Doridina; Eudoridoidea; Chromodorididae;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35768012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1,81</w:t>
            </w:r>
          </w:p>
        </w:tc>
      </w:tr>
      <w:tr w14:paraId="73180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33D4A544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Heterocapsa orientalis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7FD4F82B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Alveolata; Dinophyceae; Peridiniales; Heterocapsaceae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28417AFD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1,65</w:t>
            </w:r>
          </w:p>
        </w:tc>
      </w:tr>
      <w:tr w14:paraId="0B357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7D04840F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Heterolepidoderma loricatum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314B267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Gastrotricha; Chaetonotida; Paucitubulatina; Chaetonotidae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2B0F762D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1,60</w:t>
            </w:r>
          </w:p>
        </w:tc>
      </w:tr>
      <w:tr w14:paraId="2A07E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1D73FC1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Trebouxiophyceae sp.</w:t>
            </w:r>
          </w:p>
        </w:tc>
        <w:tc>
          <w:tcPr>
            <w:tcW w:w="4961" w:type="dxa"/>
            <w:shd w:val="clear" w:color="auto" w:fill="auto"/>
            <w:noWrap/>
            <w:vAlign w:val="center"/>
          </w:tcPr>
          <w:p w14:paraId="0599EA4D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Viridiplantae; Chlorophyta; core chlorophytes; Trebouxiophyceae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7CBE427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1,54</w:t>
            </w:r>
          </w:p>
        </w:tc>
      </w:tr>
    </w:tbl>
    <w:p w14:paraId="44E5E634">
      <w:pPr>
        <w:ind w:firstLine="709"/>
      </w:pPr>
    </w:p>
    <w:p w14:paraId="4DAF9B8C">
      <w:pPr>
        <w:rPr>
          <w:lang w:val="en-US"/>
        </w:rPr>
      </w:pPr>
    </w:p>
    <w:p w14:paraId="2243BE7F">
      <w:pPr>
        <w:pStyle w:val="156"/>
      </w:pPr>
      <w:bookmarkStart w:id="6" w:name="_Toc163829029"/>
      <w:r>
        <w:t>Среднее содержание массовых видов эукариот в пробах балластных вод, 2023 г.</w:t>
      </w:r>
      <w:bookmarkEnd w:id="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4982"/>
        <w:gridCol w:w="1958"/>
      </w:tblGrid>
      <w:tr w14:paraId="6FE44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397BF545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Вид</w:t>
            </w:r>
          </w:p>
        </w:tc>
        <w:tc>
          <w:tcPr>
            <w:tcW w:w="4982" w:type="dxa"/>
            <w:shd w:val="clear" w:color="auto" w:fill="auto"/>
            <w:noWrap/>
            <w:vAlign w:val="center"/>
          </w:tcPr>
          <w:p w14:paraId="637D322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 xml:space="preserve">Классификация </w:t>
            </w:r>
          </w:p>
        </w:tc>
        <w:tc>
          <w:tcPr>
            <w:tcW w:w="1958" w:type="dxa"/>
            <w:shd w:val="clear" w:color="auto" w:fill="auto"/>
            <w:noWrap/>
            <w:vAlign w:val="center"/>
          </w:tcPr>
          <w:p w14:paraId="54F90290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Среднее содержание в пробах, %</w:t>
            </w:r>
          </w:p>
        </w:tc>
      </w:tr>
      <w:tr w14:paraId="48A6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22B965BE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Callophrys rubi</w:t>
            </w:r>
          </w:p>
        </w:tc>
        <w:tc>
          <w:tcPr>
            <w:tcW w:w="4982" w:type="dxa"/>
            <w:shd w:val="clear" w:color="auto" w:fill="auto"/>
            <w:noWrap/>
            <w:vAlign w:val="center"/>
          </w:tcPr>
          <w:p w14:paraId="3D80EB49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Insecta; Dicondylia; Pterygota; Neoptera; Endopterygota; Amphiesmenoptera; Lepidoptera</w:t>
            </w:r>
          </w:p>
        </w:tc>
        <w:tc>
          <w:tcPr>
            <w:tcW w:w="1958" w:type="dxa"/>
            <w:shd w:val="clear" w:color="auto" w:fill="auto"/>
            <w:noWrap/>
            <w:vAlign w:val="center"/>
          </w:tcPr>
          <w:p w14:paraId="15CF316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6,50</w:t>
            </w:r>
          </w:p>
        </w:tc>
      </w:tr>
      <w:tr w14:paraId="6BCAC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26173469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Epischura chankensis</w:t>
            </w:r>
          </w:p>
        </w:tc>
        <w:tc>
          <w:tcPr>
            <w:tcW w:w="4982" w:type="dxa"/>
            <w:shd w:val="clear" w:color="auto" w:fill="auto"/>
            <w:noWrap/>
            <w:vAlign w:val="center"/>
          </w:tcPr>
          <w:p w14:paraId="6342701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Crustacea; Multicrustacea; Hexanauplia; Copepoda; Neocopepoda; Gymnoplea; Calanoida</w:t>
            </w:r>
          </w:p>
        </w:tc>
        <w:tc>
          <w:tcPr>
            <w:tcW w:w="1958" w:type="dxa"/>
            <w:shd w:val="clear" w:color="auto" w:fill="auto"/>
            <w:noWrap/>
            <w:vAlign w:val="center"/>
          </w:tcPr>
          <w:p w14:paraId="06D31B4B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4,31</w:t>
            </w:r>
          </w:p>
        </w:tc>
      </w:tr>
      <w:tr w14:paraId="19A69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5D2122C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Pedospumella encystans</w:t>
            </w:r>
          </w:p>
        </w:tc>
        <w:tc>
          <w:tcPr>
            <w:tcW w:w="4982" w:type="dxa"/>
            <w:shd w:val="clear" w:color="auto" w:fill="auto"/>
            <w:noWrap/>
            <w:vAlign w:val="center"/>
          </w:tcPr>
          <w:p w14:paraId="5B3F3CB9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Stramenopiles; Ochrophyta; Chrysophyceae; Chromulinales; Chromulinaceae</w:t>
            </w:r>
          </w:p>
        </w:tc>
        <w:tc>
          <w:tcPr>
            <w:tcW w:w="1958" w:type="dxa"/>
            <w:shd w:val="clear" w:color="auto" w:fill="auto"/>
            <w:noWrap/>
            <w:vAlign w:val="center"/>
          </w:tcPr>
          <w:p w14:paraId="240973A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2,94</w:t>
            </w:r>
          </w:p>
        </w:tc>
      </w:tr>
      <w:tr w14:paraId="07D7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27F3C93B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Papilio machaon</w:t>
            </w:r>
          </w:p>
        </w:tc>
        <w:tc>
          <w:tcPr>
            <w:tcW w:w="4982" w:type="dxa"/>
            <w:shd w:val="clear" w:color="auto" w:fill="auto"/>
            <w:noWrap/>
            <w:vAlign w:val="center"/>
          </w:tcPr>
          <w:p w14:paraId="4E7B9E98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Insecta; Dicondylia; Pterygota; Neoptera; Endopterygota; Amphiesmenoptera; Lepidoptera</w:t>
            </w:r>
          </w:p>
        </w:tc>
        <w:tc>
          <w:tcPr>
            <w:tcW w:w="1958" w:type="dxa"/>
            <w:shd w:val="clear" w:color="auto" w:fill="auto"/>
            <w:noWrap/>
            <w:vAlign w:val="center"/>
          </w:tcPr>
          <w:p w14:paraId="778015F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2,09</w:t>
            </w:r>
          </w:p>
        </w:tc>
      </w:tr>
      <w:tr w14:paraId="6A0DD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767D7AF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 xml:space="preserve">Oithona 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sp.</w:t>
            </w:r>
          </w:p>
        </w:tc>
        <w:tc>
          <w:tcPr>
            <w:tcW w:w="4982" w:type="dxa"/>
            <w:shd w:val="clear" w:color="auto" w:fill="auto"/>
            <w:noWrap/>
            <w:vAlign w:val="center"/>
          </w:tcPr>
          <w:p w14:paraId="46E34F1D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Crustacea; Multicrustacea; Hexanauplia; Copepoda; Neocopepoda; Podoplea; Cyclopoida</w:t>
            </w:r>
          </w:p>
        </w:tc>
        <w:tc>
          <w:tcPr>
            <w:tcW w:w="1958" w:type="dxa"/>
            <w:shd w:val="clear" w:color="auto" w:fill="auto"/>
            <w:noWrap/>
            <w:vAlign w:val="center"/>
          </w:tcPr>
          <w:p w14:paraId="195EEF44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1,92</w:t>
            </w:r>
          </w:p>
        </w:tc>
      </w:tr>
      <w:tr w14:paraId="26A34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2F9D1ED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Willowsia buskii</w:t>
            </w:r>
          </w:p>
        </w:tc>
        <w:tc>
          <w:tcPr>
            <w:tcW w:w="4982" w:type="dxa"/>
            <w:shd w:val="clear" w:color="auto" w:fill="auto"/>
            <w:noWrap/>
            <w:vAlign w:val="center"/>
          </w:tcPr>
          <w:p w14:paraId="39B4113E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Collembola; Entomobryomorpha; Entomobryoidea; Entomobryidae; Willowsiinae</w:t>
            </w:r>
          </w:p>
        </w:tc>
        <w:tc>
          <w:tcPr>
            <w:tcW w:w="1958" w:type="dxa"/>
            <w:shd w:val="clear" w:color="auto" w:fill="auto"/>
            <w:noWrap/>
            <w:vAlign w:val="center"/>
          </w:tcPr>
          <w:p w14:paraId="4C063EC8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1,88</w:t>
            </w:r>
          </w:p>
        </w:tc>
      </w:tr>
      <w:tr w14:paraId="2A1AC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62088302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Temora longicornis</w:t>
            </w:r>
          </w:p>
        </w:tc>
        <w:tc>
          <w:tcPr>
            <w:tcW w:w="4982" w:type="dxa"/>
            <w:shd w:val="clear" w:color="auto" w:fill="auto"/>
            <w:noWrap/>
            <w:vAlign w:val="center"/>
          </w:tcPr>
          <w:p w14:paraId="7B96C82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Crustacea; Multicrustacea; Hexanauplia; Copepoda; Neocopepoda; Gymnoplea; Calanoida</w:t>
            </w:r>
          </w:p>
        </w:tc>
        <w:tc>
          <w:tcPr>
            <w:tcW w:w="1958" w:type="dxa"/>
            <w:shd w:val="clear" w:color="auto" w:fill="auto"/>
            <w:noWrap/>
            <w:vAlign w:val="center"/>
          </w:tcPr>
          <w:p w14:paraId="6288831C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1,69</w:t>
            </w:r>
          </w:p>
        </w:tc>
      </w:tr>
      <w:tr w14:paraId="10F50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5" w:type="dxa"/>
            <w:shd w:val="clear" w:color="auto" w:fill="auto"/>
            <w:noWrap/>
            <w:vAlign w:val="center"/>
          </w:tcPr>
          <w:p w14:paraId="5FC643E4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i/>
                <w:iCs/>
                <w:color w:val="000000"/>
                <w:sz w:val="22"/>
                <w:lang w:eastAsia="ru-RU"/>
              </w:rPr>
              <w:t>Thraustochytrium aureum</w:t>
            </w:r>
          </w:p>
        </w:tc>
        <w:tc>
          <w:tcPr>
            <w:tcW w:w="4982" w:type="dxa"/>
            <w:shd w:val="clear" w:color="auto" w:fill="auto"/>
            <w:noWrap/>
            <w:vAlign w:val="center"/>
          </w:tcPr>
          <w:p w14:paraId="542771FF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en-US" w:eastAsia="ru-RU"/>
              </w:rPr>
              <w:t>Stramenopiles; Bigyra; Labyrinthulomycetes; Thraustochytrida; Thraustochytriaceae</w:t>
            </w:r>
          </w:p>
        </w:tc>
        <w:tc>
          <w:tcPr>
            <w:tcW w:w="1958" w:type="dxa"/>
            <w:shd w:val="clear" w:color="auto" w:fill="auto"/>
            <w:noWrap/>
            <w:vAlign w:val="center"/>
          </w:tcPr>
          <w:p w14:paraId="084D1A42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eastAsia="ru-RU"/>
              </w:rPr>
              <w:t>1,18</w:t>
            </w:r>
          </w:p>
        </w:tc>
      </w:tr>
    </w:tbl>
    <w:p w14:paraId="0AFCA29C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B043EE1"/>
    <w:multiLevelType w:val="multilevel"/>
    <w:tmpl w:val="0B043EE1"/>
    <w:lvl w:ilvl="0" w:tentative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left="1429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>
    <w:nsid w:val="1AAB58D9"/>
    <w:multiLevelType w:val="multilevel"/>
    <w:tmpl w:val="1AAB58D9"/>
    <w:lvl w:ilvl="0" w:tentative="0">
      <w:start w:val="1"/>
      <w:numFmt w:val="decimal"/>
      <w:lvlText w:val="%1."/>
      <w:lvlJc w:val="left"/>
      <w:pPr>
        <w:tabs>
          <w:tab w:val="left" w:pos="397"/>
        </w:tabs>
        <w:ind w:left="397" w:hanging="397"/>
      </w:pPr>
      <w:rPr>
        <w:rFonts w:hint="default"/>
        <w:b/>
        <w:i w:val="0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decimal"/>
      <w:lvlText w:val="%1.%2."/>
      <w:lvlJc w:val="left"/>
      <w:pPr>
        <w:tabs>
          <w:tab w:val="left" w:pos="624"/>
        </w:tabs>
        <w:ind w:left="624" w:hanging="624"/>
      </w:pPr>
      <w:rPr>
        <w:rFonts w:hint="default"/>
        <w:color w:val="5B9BD5" w:themeColor="accent1"/>
        <w14:textFill>
          <w14:solidFill>
            <w14:schemeClr w14:val="accent1"/>
          </w14:solidFill>
        </w14:textFill>
      </w:rPr>
    </w:lvl>
    <w:lvl w:ilvl="2" w:tentative="0">
      <w:start w:val="1"/>
      <w:numFmt w:val="decimal"/>
      <w:lvlText w:val="%1.%2.%3."/>
      <w:lvlJc w:val="left"/>
      <w:pPr>
        <w:tabs>
          <w:tab w:val="left" w:pos="1531"/>
        </w:tabs>
        <w:ind w:left="1531" w:hanging="964"/>
      </w:pPr>
      <w:rPr>
        <w:rFonts w:hint="default"/>
        <w:color w:val="5B9BD5" w:themeColor="accent1"/>
        <w:u w:val="none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Restart w:val="2"/>
      <w:lvlText w:val="Рис. %1.%2 - %4."/>
      <w:lvlJc w:val="left"/>
      <w:pPr>
        <w:tabs>
          <w:tab w:val="left" w:pos="2721"/>
        </w:tabs>
        <w:ind w:left="2721" w:hanging="1871"/>
      </w:pPr>
      <w:rPr>
        <w:rFonts w:hint="default"/>
        <w:b/>
        <w:i w:val="0"/>
        <w:color w:val="5B9BD5" w:themeColor="accent1"/>
        <w14:textFill>
          <w14:solidFill>
            <w14:schemeClr w14:val="accent1"/>
          </w14:solidFill>
        </w14:textFill>
      </w:rPr>
    </w:lvl>
    <w:lvl w:ilvl="4" w:tentative="0">
      <w:start w:val="1"/>
      <w:numFmt w:val="decimal"/>
      <w:lvlRestart w:val="2"/>
      <w:pStyle w:val="156"/>
      <w:lvlText w:val="Таблица. %1.%2 - %5."/>
      <w:lvlJc w:val="left"/>
      <w:pPr>
        <w:tabs>
          <w:tab w:val="left" w:pos="1871"/>
        </w:tabs>
        <w:ind w:left="1871" w:hanging="1871"/>
      </w:pPr>
      <w:rPr>
        <w:rFonts w:hint="default"/>
        <w:b/>
        <w:i w:val="0"/>
        <w:color w:val="5B9BD5" w:themeColor="accent1"/>
        <w14:textFill>
          <w14:solidFill>
            <w14:schemeClr w14:val="accent1"/>
          </w14:solidFill>
        </w14:textFill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Рис. %1.%2.-%9."/>
      <w:lvlJc w:val="left"/>
      <w:pPr>
        <w:tabs>
          <w:tab w:val="left" w:pos="1814"/>
        </w:tabs>
        <w:ind w:left="1701" w:hanging="170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32651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9171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8005EC"/>
    <w:rsid w:val="09C2553B"/>
    <w:rsid w:val="13A260BC"/>
    <w:rsid w:val="26132651"/>
    <w:rsid w:val="391B30B1"/>
    <w:rsid w:val="3A5B4A05"/>
    <w:rsid w:val="3D2E204C"/>
    <w:rsid w:val="4DC82D45"/>
    <w:rsid w:val="50225E22"/>
    <w:rsid w:val="552E3A44"/>
    <w:rsid w:val="571A361F"/>
    <w:rsid w:val="6A8F5933"/>
    <w:rsid w:val="71511E5F"/>
    <w:rsid w:val="719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/>
      <w:jc w:val="center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link w:val="151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i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6">
    <w:name w:val="heading 4"/>
    <w:basedOn w:val="1"/>
    <w:next w:val="3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3"/>
    <w:semiHidden/>
    <w:unhideWhenUsed/>
    <w:qFormat/>
    <w:uiPriority w:val="0"/>
    <w:pPr>
      <w:keepNext/>
      <w:keepLines/>
      <w:spacing w:before="200" w:after="0"/>
      <w:jc w:val="both"/>
      <w:outlineLvl w:val="5"/>
    </w:pPr>
    <w:rPr>
      <w:rFonts w:asciiTheme="majorAscii" w:hAnsiTheme="majorAscii" w:eastAsiaTheme="majorEastAsia" w:cstheme="majorBidi"/>
      <w:color w:val="000000" w:themeColor="text1"/>
      <w:sz w:val="20"/>
      <w:szCs w:val="24"/>
      <w:lang w:eastAsia="en-US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2"/>
    <w:qFormat/>
    <w:uiPriority w:val="0"/>
    <w:pPr>
      <w:spacing w:before="180" w:after="180"/>
      <w:jc w:val="both"/>
    </w:pPr>
    <w:rPr>
      <w:rFonts w:asciiTheme="minorAscii" w:hAnsiTheme="minorAscii" w:eastAsiaTheme="minorEastAsia"/>
      <w:szCs w:val="24"/>
      <w:lang w:eastAsia="en-US"/>
    </w:rPr>
  </w:style>
  <w:style w:type="character" w:styleId="14">
    <w:name w:val="HTML Sample"/>
    <w:basedOn w:val="12"/>
    <w:autoRedefine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6">
    <w:name w:val="footnote reference"/>
    <w:basedOn w:val="12"/>
    <w:autoRedefine/>
    <w:qFormat/>
    <w:uiPriority w:val="0"/>
    <w:rPr>
      <w:vertAlign w:val="superscript"/>
    </w:rPr>
  </w:style>
  <w:style w:type="character" w:styleId="17">
    <w:name w:val="annotation reference"/>
    <w:basedOn w:val="12"/>
    <w:autoRedefine/>
    <w:qFormat/>
    <w:uiPriority w:val="0"/>
    <w:rPr>
      <w:sz w:val="21"/>
      <w:szCs w:val="21"/>
    </w:rPr>
  </w:style>
  <w:style w:type="character" w:styleId="18">
    <w:name w:val="endnote reference"/>
    <w:basedOn w:val="12"/>
    <w:autoRedefine/>
    <w:qFormat/>
    <w:uiPriority w:val="0"/>
    <w:rPr>
      <w:vertAlign w:val="superscript"/>
    </w:rPr>
  </w:style>
  <w:style w:type="character" w:styleId="19">
    <w:name w:val="HTML Acronym"/>
    <w:basedOn w:val="12"/>
    <w:autoRedefine/>
    <w:qFormat/>
    <w:uiPriority w:val="0"/>
  </w:style>
  <w:style w:type="character" w:styleId="20">
    <w:name w:val="Emphasis"/>
    <w:basedOn w:val="12"/>
    <w:autoRedefine/>
    <w:qFormat/>
    <w:uiPriority w:val="0"/>
    <w:rPr>
      <w:i/>
      <w:iCs/>
    </w:rPr>
  </w:style>
  <w:style w:type="character" w:styleId="21">
    <w:name w:val="Hyperlink"/>
    <w:basedOn w:val="12"/>
    <w:autoRedefine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autoRedefine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autoRedefine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autoRedefine/>
    <w:qFormat/>
    <w:uiPriority w:val="0"/>
    <w:rPr>
      <w:i/>
      <w:iCs/>
    </w:rPr>
  </w:style>
  <w:style w:type="paragraph" w:styleId="31">
    <w:name w:val="Balloon Text"/>
    <w:basedOn w:val="1"/>
    <w:autoRedefine/>
    <w:qFormat/>
    <w:uiPriority w:val="0"/>
    <w:rPr>
      <w:sz w:val="16"/>
      <w:szCs w:val="16"/>
    </w:rPr>
  </w:style>
  <w:style w:type="paragraph" w:styleId="32">
    <w:name w:val="List 5"/>
    <w:basedOn w:val="1"/>
    <w:autoRedefine/>
    <w:qFormat/>
    <w:uiPriority w:val="0"/>
    <w:pPr>
      <w:ind w:left="1800" w:hanging="360"/>
    </w:pPr>
  </w:style>
  <w:style w:type="paragraph" w:styleId="33">
    <w:name w:val="List Continue"/>
    <w:basedOn w:val="1"/>
    <w:autoRedefine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uiPriority w:val="0"/>
    <w:pPr>
      <w:numPr>
        <w:ilvl w:val="0"/>
        <w:numId w:val="1"/>
      </w:numPr>
    </w:pPr>
  </w:style>
  <w:style w:type="paragraph" w:styleId="36">
    <w:name w:val="Closing"/>
    <w:basedOn w:val="1"/>
    <w:autoRedefine/>
    <w:qFormat/>
    <w:uiPriority w:val="0"/>
    <w:pPr>
      <w:ind w:left="4320"/>
    </w:pPr>
  </w:style>
  <w:style w:type="paragraph" w:styleId="37">
    <w:name w:val="Normal Indent"/>
    <w:basedOn w:val="1"/>
    <w:autoRedefine/>
    <w:qFormat/>
    <w:uiPriority w:val="0"/>
    <w:pPr>
      <w:ind w:left="708"/>
    </w:pPr>
  </w:style>
  <w:style w:type="paragraph" w:styleId="38">
    <w:name w:val="envelope return"/>
    <w:basedOn w:val="1"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3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uiPriority w:val="0"/>
    <w:rPr>
      <w:b/>
      <w:bCs/>
    </w:rPr>
  </w:style>
  <w:style w:type="paragraph" w:styleId="46">
    <w:name w:val="Document Map"/>
    <w:basedOn w:val="1"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uiPriority w:val="0"/>
    <w:pPr>
      <w:ind w:left="2940" w:leftChars="1400"/>
    </w:p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4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3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  <w:lang w:eastAsia="en-US"/>
      <w14:textFill>
        <w14:solidFill>
          <w14:schemeClr w14:val="tx1"/>
        </w14:solidFill>
      </w14:textFill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3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3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3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3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3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3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3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3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3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3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3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3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3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3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3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3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3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3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3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3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3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basedOn w:val="12"/>
    <w:link w:val="4"/>
    <w:qFormat/>
    <w:uiPriority w:val="9"/>
    <w:rPr>
      <w:rFonts w:asciiTheme="majorAscii" w:hAnsiTheme="majorAscii" w:eastAsiaTheme="majorEastAsia" w:cstheme="majorBidi"/>
      <w:b/>
      <w:color w:val="5B9BD5" w:themeColor="accent1"/>
      <w:sz w:val="28"/>
      <w:szCs w:val="28"/>
      <w:lang w:val="ru-RU" w:eastAsia="en-US"/>
      <w14:textFill>
        <w14:solidFill>
          <w14:schemeClr w14:val="accent1"/>
        </w14:solidFill>
      </w14:textFill>
    </w:rPr>
  </w:style>
  <w:style w:type="character" w:customStyle="1" w:styleId="152">
    <w:name w:val="Body Text Char"/>
    <w:basedOn w:val="12"/>
    <w:link w:val="3"/>
    <w:qFormat/>
    <w:uiPriority w:val="0"/>
    <w:rPr>
      <w:rFonts w:asciiTheme="minorAscii" w:hAnsiTheme="minorAscii" w:eastAsiaTheme="minorEastAsia"/>
      <w:szCs w:val="24"/>
      <w:lang w:eastAsia="en-US"/>
    </w:rPr>
  </w:style>
  <w:style w:type="paragraph" w:customStyle="1" w:styleId="153">
    <w:name w:val="Image Caption"/>
    <w:basedOn w:val="42"/>
    <w:qFormat/>
    <w:uiPriority w:val="0"/>
    <w:pPr>
      <w:jc w:val="both"/>
    </w:pPr>
    <w:rPr>
      <w:rFonts w:asciiTheme="minorAscii" w:hAnsiTheme="minorAscii" w:eastAsiaTheme="minorEastAsia" w:cstheme="minorBidi"/>
      <w:i/>
      <w:sz w:val="20"/>
      <w:szCs w:val="24"/>
      <w:lang w:eastAsia="en-US"/>
    </w:rPr>
  </w:style>
  <w:style w:type="paragraph" w:customStyle="1" w:styleId="154">
    <w:name w:val="Основной"/>
    <w:basedOn w:val="3"/>
    <w:qFormat/>
    <w:uiPriority w:val="0"/>
  </w:style>
  <w:style w:type="paragraph" w:customStyle="1" w:styleId="155">
    <w:name w:val="рисунок"/>
    <w:basedOn w:val="1"/>
    <w:next w:val="42"/>
    <w:qFormat/>
    <w:uiPriority w:val="0"/>
    <w:pPr>
      <w:keepNext/>
      <w:jc w:val="center"/>
    </w:pPr>
    <w:rPr>
      <w:rFonts w:ascii="Arial" w:hAnsi="Arial"/>
      <w:b/>
      <w:sz w:val="20"/>
    </w:rPr>
  </w:style>
  <w:style w:type="paragraph" w:customStyle="1" w:styleId="156">
    <w:name w:val="Таблица Подпись"/>
    <w:basedOn w:val="1"/>
    <w:qFormat/>
    <w:uiPriority w:val="5"/>
    <w:pPr>
      <w:numPr>
        <w:ilvl w:val="4"/>
        <w:numId w:val="11"/>
      </w:numPr>
      <w:spacing w:before="240"/>
    </w:pPr>
    <w:rPr>
      <w:rFonts w:ascii="Arial" w:hAnsi="Arial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2025-01-22T17:53:00Z</dcterms:created>
  <dc:creator>google1599737165</dc:creator>
  <cp:lastModifiedBy>google1599737165</cp:lastModifiedBy>
  <dcterms:modified xsi:type="dcterms:W3CDTF">2025-01-26T18:08:45Z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15CB9D3611414C198C40B3E10C6E04D9_11</vt:lpwstr>
  </property>
</Properties>
</file>