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</w:rPr>
        <w:t>План</w:t>
      </w:r>
    </w:p>
    <w:p>
      <w:pPr>
        <w:pStyle w:val="20"/>
        <w:rPr>
          <w:highlight w:val="green"/>
        </w:rPr>
      </w:pPr>
      <w:r>
        <w:rPr>
          <w:highlight w:val="green"/>
        </w:rPr>
        <w:t>1.1.1 Динамика видов. В Белом море продолжить наблюдения за таксономической структурой четырех мониторинговых поселений в вершине Кандалакшского залива и переописать состав поселений из точек генетических исследований 2000-2010 гг., не изученных в 2021 году.</w:t>
      </w:r>
    </w:p>
    <w:p>
      <w:pPr>
        <w:pStyle w:val="20"/>
      </w:pPr>
      <w:r>
        <w:rPr>
          <w:b/>
          <w:bCs/>
        </w:rPr>
        <w:t>Что сделано</w:t>
      </w:r>
    </w:p>
    <w:p>
      <w:pPr>
        <w:pStyle w:val="20"/>
      </w:pPr>
      <w:r>
        <w:t xml:space="preserve">На одной из точек (мидиевая банка, расположенная в Керетском архипелаге, Рис. ++, А) на основе анализа исторических коллекций и переописания данного поселения, проведенного в рамках нашего проекта, удалось построить временной ряд оценок таксономического состава поселений (Рис. ++, Б). Анализ проводилось на основе морфотипа мидий, как полудиагностического маркера, Khaitov et al., 2021. Для верификации было проведено генотипирование мидий, собранных в 2022 г. Сопоставление генетических данных, полученных в 2022 г., с результатами генотипирования мидий из этого поселения двадцатилетней давности (Katolikova et al. 2016), полностью подтвердило картину увеличения частоты </w:t>
      </w:r>
      <w:r>
        <w:rPr>
          <w:i/>
          <w:iCs/>
        </w:rPr>
        <w:t>M.trossulus</w:t>
      </w:r>
      <w:r>
        <w:t xml:space="preserve"> в данном поселении.</w:t>
      </w:r>
    </w:p>
    <w:p>
      <w:pPr>
        <w:pStyle w:val="20"/>
      </w:pPr>
      <w:r>
        <w:t xml:space="preserve">В дополнение к уже имеющимся историческим коллекциям раковин (Рис. ++, В), в 2022 г. нам удалось найти материал еще двух, ранее неизвестных, коллекций, которые датируются 1967 годом. На данном этапе, это самые старые исторические коллекции из Белого моря, собранные в периоды, когда таксономическая структура мидий Белого моря еще не подвергалась систематическому анализу. В точках сбора этих двух коллекций, в 2022 г. было произведено переописание поселений (Рис. ++, В), которое выявило значительное увеличение частоты </w:t>
      </w:r>
      <w:r>
        <w:rPr>
          <w:i/>
          <w:iCs/>
        </w:rPr>
        <w:t>M.tossulus</w:t>
      </w:r>
      <w:r>
        <w:t>.</w:t>
      </w:r>
    </w:p>
    <w:p>
      <w:pPr>
        <w:pStyle w:val="20"/>
      </w:pPr>
      <w:r>
        <w:t xml:space="preserve">В 2022 г. было продолжено изучение динамики таксономической структуры поселений мидий, представленных на четырех мониторинговых точках в вершине Кандалакшского залива Белого моря (Рис. ++, Г). За весь период мониторинга (с 2002 г.) мы наблюдали повсеместное изменение таксономического состава: в поселениях, где ранее доминировали </w:t>
      </w:r>
      <w:r>
        <w:rPr>
          <w:i/>
          <w:iCs/>
        </w:rPr>
        <w:t>M.edulis</w:t>
      </w:r>
      <w:r>
        <w:t xml:space="preserve">, в последние два десятилетия абсолютное большинство мидий относится к </w:t>
      </w:r>
      <w:r>
        <w:rPr>
          <w:i/>
          <w:iCs/>
        </w:rPr>
        <w:t>M.trossulus</w:t>
      </w:r>
      <w:r>
        <w:t>.</w:t>
      </w:r>
    </w:p>
    <w:p>
      <w:pPr>
        <w:pStyle w:val="20"/>
      </w:pPr>
      <w:r>
        <w:t>Обобщая результаты анализа исторических коллекций, переописания поселений в местах их сбора (Рис. ++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Б, В</w:t>
      </w:r>
      <w:r>
        <w:t>) и результаты мониторинга (Рис. ++</w:t>
      </w:r>
      <w:r>
        <w:rPr>
          <w:rFonts w:hint="default"/>
          <w:lang w:val="ru-RU"/>
        </w:rPr>
        <w:t>, Г</w:t>
      </w:r>
      <w:r>
        <w:t xml:space="preserve">) можно утверждать, что в Белом море происходит криптическая инвазия </w:t>
      </w:r>
      <w:r>
        <w:rPr>
          <w:i/>
          <w:iCs/>
        </w:rPr>
        <w:t>M.trossulus</w:t>
      </w:r>
      <w:r>
        <w:t>. Наши данные позволяют наблюдать этот процесс, практически, в режиме реального времени.</w:t>
      </w:r>
    </w:p>
    <w:p>
      <w:pPr>
        <w:pStyle w:val="20"/>
      </w:pPr>
      <w:r>
        <w:drawing>
          <wp:inline distT="0" distB="0" distL="114300" distR="114300">
            <wp:extent cx="6324600" cy="632460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</w:pPr>
      <w:r>
        <w:t xml:space="preserve">Рис. ++. Реконструкция многолетней динамики таксономического состава смешанных поселений </w:t>
      </w:r>
      <w:r>
        <w:rPr>
          <w:i/>
          <w:iCs/>
        </w:rPr>
        <w:t>M.edulis</w:t>
      </w:r>
      <w:r>
        <w:t xml:space="preserve"> и </w:t>
      </w:r>
      <w:r>
        <w:rPr>
          <w:i/>
          <w:iCs/>
        </w:rPr>
        <w:t>M.trossulus</w:t>
      </w:r>
      <w:r>
        <w:t xml:space="preserve"> в Кандалакшском заливе Белого моря. </w:t>
      </w:r>
      <w:r>
        <w:rPr>
          <w:b/>
          <w:bCs/>
        </w:rPr>
        <w:t>А</w:t>
      </w:r>
      <w:r>
        <w:t xml:space="preserve">. Расположение точек сбора исторических коллекций (кружки) и точек мониторнига (треугольники). Красным кружком отмечена мидиевая банка (о. Матренин, Керетский архипелаг), на которой были собраны мидии, вошедшие в самый репрезентативный набор исторических коллекций. Точки мониторинга располагаются на островах удаляющихся от самой опресенной части кута Канадалакшского залива в следующей последовательности: Б.Лупчостров, Малый, Овечий, Ряжков. </w:t>
      </w:r>
      <w:r>
        <w:rPr>
          <w:b/>
          <w:bCs/>
        </w:rPr>
        <w:t>Б</w:t>
      </w:r>
      <w:r>
        <w:t xml:space="preserve">. Частота мидий, имеющих T-морфотип, характерный для </w:t>
      </w:r>
      <w:r>
        <w:rPr>
          <w:i/>
          <w:iCs/>
        </w:rPr>
        <w:t>M.trossulus</w:t>
      </w:r>
      <w:r>
        <w:t xml:space="preserve">, в исторических коллекциях, собранных в разные годы на мидевой банке, расположенной в Керетском архипелаге. Серые столбики отражают средние значения индекса STRUCTURE (PSS, доля генов </w:t>
      </w:r>
      <w:r>
        <w:rPr>
          <w:i/>
          <w:iCs/>
        </w:rPr>
        <w:t>M.trossulus</w:t>
      </w:r>
      <w:r>
        <w:t xml:space="preserve"> в геноме) для генотипиованных мидий, собранных в разные годы. </w:t>
      </w:r>
      <w:r>
        <w:rPr>
          <w:b/>
          <w:bCs/>
        </w:rPr>
        <w:t>В</w:t>
      </w:r>
      <w:r>
        <w:t xml:space="preserve">. Частота мидий T-морфотипа, в исторических коллекциях в Кандалакшском заливе Белого моря. Исторические коллекции (черные кружки) были собранны в разные годы, и переописаны (желтые кружки) в недавние годы. </w:t>
      </w:r>
      <w:r>
        <w:rPr>
          <w:b/>
          <w:bCs/>
        </w:rPr>
        <w:t>Г</w:t>
      </w:r>
      <w:r>
        <w:t>. Частота мидий T-морфотипа в поселениях на четырех мониторинговых площадках в вершине Кандалкшского залива.</w:t>
      </w: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pStyle w:val="20"/>
        <w:rPr>
          <w:highlight w:val="green"/>
        </w:rPr>
      </w:pPr>
      <w:r>
        <w:rPr>
          <w:b/>
          <w:bCs/>
          <w:highlight w:val="green"/>
        </w:rPr>
        <w:t>Планы</w:t>
      </w:r>
      <w:r>
        <w:rPr>
          <w:highlight w:val="green"/>
        </w:rPr>
        <w:t xml:space="preserve"> 1.1.1. Завершить анализ данных о распределении видов в водах Кандалакшского залива, выявить средовые факторы, регулирующие таксономический состав смешанных поселений.</w:t>
      </w:r>
    </w:p>
    <w:p>
      <w:pPr>
        <w:pStyle w:val="20"/>
      </w:pPr>
      <w:r>
        <w:t xml:space="preserve">Ранее мы изучали влияние абиотических факторов (соленость, прибойность, близость к портам) и роль межвидовой конкуренции в регуляции соотношения численностей </w:t>
      </w:r>
      <w:r>
        <w:rPr>
          <w:i/>
          <w:iCs/>
        </w:rPr>
        <w:t>M.edulis</w:t>
      </w:r>
      <w:r>
        <w:t xml:space="preserve"> и </w:t>
      </w:r>
      <w:r>
        <w:rPr>
          <w:i/>
          <w:iCs/>
        </w:rPr>
        <w:t>M.trossulus</w:t>
      </w:r>
      <w:r>
        <w:t>. В 2022 г. мы обобщили результаты экспериментов, посвященных оценке роли хищников, как биотического фактора, регулирующего таксономический состав смешанных поселений.</w:t>
      </w:r>
    </w:p>
    <w:p>
      <w:pPr>
        <w:pStyle w:val="20"/>
      </w:pPr>
      <w:r>
        <w:t xml:space="preserve">Мы проанализировали роль морских звезд, массово уничтожающих мидий на мелководьях Белого моря. Ранее нами было показано, что в условиях </w:t>
      </w:r>
      <w:r>
        <w:rPr>
          <w:i/>
          <w:iCs/>
        </w:rPr>
        <w:t>аквариального</w:t>
      </w:r>
      <w:r>
        <w:t xml:space="preserve"> эксперимента морские звезды предпочитают атаковать </w:t>
      </w:r>
      <w:r>
        <w:rPr>
          <w:i/>
          <w:iCs/>
        </w:rPr>
        <w:t>M.trossulus</w:t>
      </w:r>
      <w:r>
        <w:t xml:space="preserve"> (Khaitov et al., 2018). В серии новых экспериментов мы размещали мидий двух видов в разных пропорциях на керамических пластинах, которые далее помещали на участки дна, густо заселенные морскими звездами. В этих условиях вероятность гибели мидий положительно коррелировала с вероятностью, того, что мидия относится к </w:t>
      </w:r>
      <w:r>
        <w:rPr>
          <w:i/>
          <w:iCs/>
        </w:rPr>
        <w:t>M.trossulus</w:t>
      </w:r>
      <w:r>
        <w:t xml:space="preserve"> (Табл. +).</w:t>
      </w:r>
    </w:p>
    <w:p>
      <w:pPr>
        <w:pStyle w:val="20"/>
      </w:pPr>
      <w:r>
        <w:t xml:space="preserve">Мы сравнили частоту мидий T-морфотипа, характерного для </w:t>
      </w:r>
      <w:r>
        <w:rPr>
          <w:i/>
          <w:iCs/>
        </w:rPr>
        <w:t>M.trossulus</w:t>
      </w:r>
      <w:r>
        <w:t>, в естественных интактных мидиевых друзах</w:t>
      </w:r>
      <w:r>
        <w:rPr>
          <w:rFonts w:hint="default"/>
          <w:lang w:val="ru-RU"/>
        </w:rPr>
        <w:t xml:space="preserve"> (собрали по 10 друз в сблиторали двух участков Кандалакшского залива Белого моря)</w:t>
      </w:r>
      <w:r>
        <w:t xml:space="preserve"> и в естественных агрегациях, подвергшихся атакам хищников (собирали друзы, окруженные скоплениями морских звезд</w:t>
      </w:r>
      <w:r>
        <w:rPr>
          <w:rFonts w:hint="default"/>
          <w:lang w:val="ru-RU"/>
        </w:rPr>
        <w:t>, по 10 друз в тех же участках</w:t>
      </w:r>
      <w:bookmarkStart w:id="0" w:name="_GoBack"/>
      <w:bookmarkEnd w:id="0"/>
      <w:r>
        <w:t>). Атакованные друзы характеризовались заметным увеличением обилия мертвых мидий (Рис. ++, А) и снижением частоты T-морфотипа среди живых особей (Рис. ++, Б). Таким образом, нами показано, что таксономический состав поселений мидий регулируют не только абиотические, но и биотические факторы.</w:t>
      </w:r>
    </w:p>
    <w:p>
      <w:pPr>
        <w:keepNext/>
        <w:jc w:val="both"/>
      </w:pPr>
      <w:r>
        <w:t>Таблица ++. Параметры смешанной логистической регрессионой модели, описывающей зависимость между шансами быть съеденной и изученными предикторами для мидий, высаженных на экспериментальные пластины, помещенные в естетсвенные местообитания морских звезд. Приведены только параметры фиксированной части модели, случайными факторами были идентификаторы каждого из трех экспериментов и идентификаторы отдельных пластин, использованных для размещения мидий</w:t>
      </w:r>
    </w:p>
    <w:tbl>
      <w:tblPr>
        <w:tblStyle w:val="6"/>
        <w:tblW w:w="1002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6"/>
        <w:gridCol w:w="1494"/>
        <w:gridCol w:w="1650"/>
        <w:gridCol w:w="1815"/>
        <w:gridCol w:w="11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W w:w="3906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lef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Член модели</w:t>
            </w:r>
          </w:p>
        </w:tc>
        <w:tc>
          <w:tcPr>
            <w:tcW w:w="1494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Оценка параметра</w:t>
            </w:r>
          </w:p>
        </w:tc>
        <w:tc>
          <w:tcPr>
            <w:tcW w:w="1650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Стандартная ошибка</w:t>
            </w:r>
          </w:p>
        </w:tc>
        <w:tc>
          <w:tcPr>
            <w:tcW w:w="1815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z-статистика</w:t>
            </w:r>
          </w:p>
        </w:tc>
        <w:tc>
          <w:tcPr>
            <w:tcW w:w="1161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906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lef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(Intercept)</w:t>
            </w:r>
          </w:p>
        </w:tc>
        <w:tc>
          <w:tcPr>
            <w:tcW w:w="1494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-1.236</w:t>
            </w:r>
          </w:p>
        </w:tc>
        <w:tc>
          <w:tcPr>
            <w:tcW w:w="1650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0.2809</w:t>
            </w:r>
          </w:p>
        </w:tc>
        <w:tc>
          <w:tcPr>
            <w:tcW w:w="1815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-4.40</w:t>
            </w:r>
          </w:p>
        </w:tc>
        <w:tc>
          <w:tcPr>
            <w:tcW w:w="1161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&lt; 0.0001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left"/>
              <w:rPr>
                <w:b/>
                <w:bCs/>
              </w:rPr>
            </w:pPr>
            <w:r>
              <w:rPr>
                <w:rFonts w:ascii="Times New Roman" w:hAnsi="Arial" w:eastAsia="Arial" w:cs="Arial"/>
                <w:b/>
                <w:bCs/>
                <w:i w:val="0"/>
                <w:color w:val="FF0000"/>
                <w:sz w:val="20"/>
                <w:szCs w:val="20"/>
                <w:u w:val="none"/>
              </w:rPr>
              <w:t xml:space="preserve">Вероятность быть </w:t>
            </w:r>
            <w:r>
              <w:rPr>
                <w:rFonts w:ascii="Times New Roman" w:hAnsi="Arial" w:eastAsia="Arial" w:cs="Arial"/>
                <w:b/>
                <w:bCs/>
                <w:i/>
                <w:iCs/>
                <w:color w:val="FF0000"/>
                <w:sz w:val="20"/>
                <w:szCs w:val="20"/>
                <w:u w:val="none"/>
              </w:rPr>
              <w:t>M.trossulus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  <w:rPr>
                <w:b/>
                <w:bCs/>
              </w:rPr>
            </w:pPr>
            <w:r>
              <w:rPr>
                <w:rFonts w:ascii="Times New Roman" w:hAnsi="Arial" w:eastAsia="Arial" w:cs="Arial"/>
                <w:b/>
                <w:bCs/>
                <w:i w:val="0"/>
                <w:color w:val="FF0000"/>
                <w:sz w:val="20"/>
                <w:szCs w:val="20"/>
                <w:u w:val="none"/>
              </w:rPr>
              <w:t>0.404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  <w:rPr>
                <w:b/>
                <w:bCs/>
              </w:rPr>
            </w:pPr>
            <w:r>
              <w:rPr>
                <w:rFonts w:ascii="Times New Roman" w:hAnsi="Arial" w:eastAsia="Arial" w:cs="Arial"/>
                <w:b/>
                <w:bCs/>
                <w:i w:val="0"/>
                <w:color w:val="FF0000"/>
                <w:sz w:val="20"/>
                <w:szCs w:val="20"/>
                <w:u w:val="none"/>
              </w:rPr>
              <w:t>0.0528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  <w:rPr>
                <w:b/>
                <w:bCs/>
              </w:rPr>
            </w:pPr>
            <w:r>
              <w:rPr>
                <w:rFonts w:ascii="Times New Roman" w:hAnsi="Arial" w:eastAsia="Arial" w:cs="Arial"/>
                <w:b/>
                <w:bCs/>
                <w:i w:val="0"/>
                <w:color w:val="FF0000"/>
                <w:sz w:val="20"/>
                <w:szCs w:val="20"/>
                <w:u w:val="none"/>
              </w:rPr>
              <w:t>7.65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  <w:rPr>
                <w:b/>
                <w:bCs/>
              </w:rPr>
            </w:pPr>
            <w:r>
              <w:rPr>
                <w:rFonts w:ascii="Times New Roman" w:hAnsi="Arial" w:eastAsia="Arial" w:cs="Arial"/>
                <w:b/>
                <w:bCs/>
                <w:i w:val="0"/>
                <w:color w:val="FF0000"/>
                <w:sz w:val="20"/>
                <w:szCs w:val="20"/>
                <w:u w:val="none"/>
              </w:rPr>
              <w:t>&lt; 0.0001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lef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Доля </w:t>
            </w:r>
            <w:r>
              <w:rPr>
                <w:rFonts w:ascii="Times New Roman" w:hAnsi="Arial" w:eastAsia="Arial" w:cs="Arial"/>
                <w:b w:val="0"/>
                <w:i/>
                <w:iCs/>
                <w:color w:val="000000"/>
                <w:sz w:val="20"/>
                <w:szCs w:val="20"/>
                <w:u w:val="none"/>
              </w:rPr>
              <w:t>M.trossulus</w:t>
            </w: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 среди мидий, высаженных на пластину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-0.072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0.0754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-0.95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0.3403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lef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Размер мидии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-0.187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0.0370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-5.06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&lt; 0.0001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906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lef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Биомасса морских звезд на пластине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0.628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0.0735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8.55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righ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&lt; 0.0001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026" w:type="dxa"/>
            <w:gridSpan w:val="5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200" w:after="200" w:line="240" w:lineRule="auto"/>
              <w:ind w:left="200" w:right="200" w:firstLine="0"/>
              <w:jc w:val="left"/>
            </w:pP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Вероятность отнесения каждой мидии к </w:t>
            </w:r>
            <w:r>
              <w:rPr>
                <w:rFonts w:ascii="Times New Roman" w:hAnsi="Arial" w:eastAsia="Arial" w:cs="Arial"/>
                <w:b w:val="0"/>
                <w:i/>
                <w:iCs/>
                <w:color w:val="000000"/>
                <w:sz w:val="20"/>
                <w:szCs w:val="20"/>
                <w:u w:val="none"/>
              </w:rPr>
              <w:t>M.trossulus</w:t>
            </w:r>
            <w:r>
              <w:rPr>
                <w:rFonts w:ascii="Times New Roman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, была оценена на основе анализа морфотипов с помощью уравнений, приведенных в Khaitov et al.(2021)</w:t>
            </w:r>
          </w:p>
        </w:tc>
      </w:tr>
    </w:tbl>
    <w:p>
      <w:pPr>
        <w:pStyle w:val="20"/>
      </w:pPr>
      <w:r>
        <w:drawing>
          <wp:inline distT="0" distB="0" distL="114300" distR="114300">
            <wp:extent cx="6324600" cy="395224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5287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</w:pPr>
      <w:r>
        <w:t xml:space="preserve">Рис. ++. Влияние морских звезд на естественные мидиевые друзы в Кандалакшском заливе Белого моря. </w:t>
      </w:r>
      <w:r>
        <w:rPr>
          <w:b/>
          <w:bCs/>
        </w:rPr>
        <w:t>А</w:t>
      </w:r>
      <w:r>
        <w:t xml:space="preserve">. Доля мертвых мидий в интактных друзах и друзах подвергшихся атаке морских звезд. </w:t>
      </w:r>
      <w:r>
        <w:rPr>
          <w:b/>
          <w:bCs/>
        </w:rPr>
        <w:t>Б</w:t>
      </w:r>
      <w:r>
        <w:t xml:space="preserve">. Частота мидий T-морфотипа, характерного для </w:t>
      </w:r>
      <w:r>
        <w:rPr>
          <w:i/>
          <w:iCs/>
        </w:rPr>
        <w:t>M.trossulus</w:t>
      </w:r>
      <w:r>
        <w:t>, среди живых мидий, формирующих друзы, до и в результате атаки морских звезд.</w:t>
      </w:r>
    </w:p>
    <w:sectPr>
      <w:footerReference r:id="rId5" w:type="default"/>
      <w:footerReference r:id="rId6" w:type="even"/>
      <w:pgSz w:w="12242" w:h="15842"/>
      <w:pgMar w:top="1134" w:right="1134" w:bottom="1134" w:left="1134" w:header="709" w:footer="709" w:gutter="0"/>
      <w:lnNumType w:countBy="0" w:restart="continuous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2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2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26066"/>
    <w:rsid w:val="41D72A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24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30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footnote reference"/>
    <w:basedOn w:val="5"/>
    <w:semiHidden/>
    <w:qFormat/>
    <w:uiPriority w:val="0"/>
    <w:rPr>
      <w:vertAlign w:val="superscript"/>
    </w:rPr>
  </w:style>
  <w:style w:type="character" w:styleId="9">
    <w:name w:val="Emphasis"/>
    <w:basedOn w:val="5"/>
    <w:qFormat/>
    <w:uiPriority w:val="0"/>
    <w:rPr>
      <w:b/>
      <w:bCs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character" w:styleId="11">
    <w:name w:val="page number"/>
    <w:basedOn w:val="5"/>
    <w:qFormat/>
    <w:uiPriority w:val="0"/>
  </w:style>
  <w:style w:type="character" w:styleId="12">
    <w:name w:val="line number"/>
    <w:basedOn w:val="5"/>
    <w:semiHidden/>
    <w:unhideWhenUsed/>
    <w:qFormat/>
    <w:uiPriority w:val="99"/>
  </w:style>
  <w:style w:type="character" w:styleId="13">
    <w:name w:val="Strong"/>
    <w:basedOn w:val="5"/>
    <w:qFormat/>
    <w:uiPriority w:val="0"/>
    <w:rPr>
      <w:b/>
      <w:bCs/>
    </w:rPr>
  </w:style>
  <w:style w:type="paragraph" w:styleId="14">
    <w:name w:val="Balloon Text"/>
    <w:basedOn w:val="1"/>
    <w:link w:val="39"/>
    <w:semiHidden/>
    <w:qFormat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15">
    <w:name w:val="Body Text 2"/>
    <w:basedOn w:val="1"/>
    <w:qFormat/>
    <w:uiPriority w:val="0"/>
    <w:pPr>
      <w:spacing w:after="240"/>
      <w:ind w:firstLine="0"/>
    </w:pPr>
    <w:rPr>
      <w:sz w:val="28"/>
    </w:rPr>
  </w:style>
  <w:style w:type="paragraph" w:styleId="16">
    <w:name w:val="Plain Text"/>
    <w:basedOn w:val="1"/>
    <w:qFormat/>
    <w:uiPriority w:val="0"/>
    <w:pPr>
      <w:ind w:firstLine="0"/>
    </w:pPr>
    <w:rPr>
      <w:rFonts w:ascii="Courier New" w:hAnsi="Courier New"/>
      <w:sz w:val="20"/>
    </w:rPr>
  </w:style>
  <w:style w:type="paragraph" w:styleId="17">
    <w:name w:val="Body Text Indent 3"/>
    <w:basedOn w:val="1"/>
    <w:qFormat/>
    <w:uiPriority w:val="0"/>
    <w:pPr>
      <w:ind w:left="283"/>
    </w:pPr>
    <w:rPr>
      <w:sz w:val="16"/>
      <w:szCs w:val="16"/>
    </w:rPr>
  </w:style>
  <w:style w:type="paragraph" w:styleId="18">
    <w:name w:val="footnote text"/>
    <w:basedOn w:val="1"/>
    <w:link w:val="44"/>
    <w:semiHidden/>
    <w:qFormat/>
    <w:uiPriority w:val="0"/>
    <w:pPr>
      <w:ind w:firstLine="0"/>
    </w:pPr>
    <w:rPr>
      <w:sz w:val="20"/>
    </w:rPr>
  </w:style>
  <w:style w:type="paragraph" w:styleId="19">
    <w:name w:val="header"/>
    <w:basedOn w:val="1"/>
    <w:link w:val="38"/>
    <w:qFormat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0">
    <w:name w:val="Body Text"/>
    <w:basedOn w:val="1"/>
    <w:link w:val="34"/>
    <w:qFormat/>
    <w:uiPriority w:val="0"/>
  </w:style>
  <w:style w:type="paragraph" w:styleId="21">
    <w:name w:val="Body Text Indent"/>
    <w:basedOn w:val="1"/>
    <w:link w:val="33"/>
    <w:qFormat/>
    <w:uiPriority w:val="0"/>
    <w:pPr>
      <w:ind w:left="283" w:firstLine="0"/>
    </w:pPr>
  </w:style>
  <w:style w:type="paragraph" w:styleId="22">
    <w:name w:val="Title"/>
    <w:basedOn w:val="2"/>
    <w:link w:val="46"/>
    <w:qFormat/>
    <w:uiPriority w:val="0"/>
  </w:style>
  <w:style w:type="paragraph" w:styleId="23">
    <w:name w:val="footer"/>
    <w:basedOn w:val="1"/>
    <w:link w:val="36"/>
    <w:qFormat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4">
    <w:name w:val="Normal (Web)"/>
    <w:basedOn w:val="1"/>
    <w:qFormat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25">
    <w:name w:val="Body Text 3"/>
    <w:basedOn w:val="1"/>
    <w:qFormat/>
    <w:uiPriority w:val="0"/>
    <w:rPr>
      <w:sz w:val="16"/>
      <w:szCs w:val="16"/>
    </w:rPr>
  </w:style>
  <w:style w:type="paragraph" w:styleId="26">
    <w:name w:val="Body Text Indent 2"/>
    <w:basedOn w:val="1"/>
    <w:link w:val="32"/>
    <w:qFormat/>
    <w:uiPriority w:val="0"/>
    <w:pPr>
      <w:ind w:left="283"/>
    </w:pPr>
  </w:style>
  <w:style w:type="table" w:styleId="27">
    <w:name w:val="Table Grid"/>
    <w:basedOn w:val="6"/>
    <w:qFormat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table" w:styleId="28">
    <w:name w:val="Light Shading"/>
    <w:basedOn w:val="6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29">
    <w:name w:val="Заголовок 1 Знак"/>
    <w:basedOn w:val="5"/>
    <w:link w:val="2"/>
    <w:qFormat/>
    <w:uiPriority w:val="0"/>
    <w:rPr>
      <w:rFonts w:ascii="Arial" w:hAnsi="Arial" w:eastAsia="Times New Roman" w:cs="Arial"/>
      <w:b/>
      <w:sz w:val="32"/>
      <w:szCs w:val="32"/>
    </w:rPr>
  </w:style>
  <w:style w:type="character" w:customStyle="1" w:styleId="30">
    <w:name w:val="Заголовок 2 Знак"/>
    <w:basedOn w:val="5"/>
    <w:link w:val="3"/>
    <w:qFormat/>
    <w:locked/>
    <w:uiPriority w:val="0"/>
    <w:rPr>
      <w:rFonts w:ascii="Arial" w:hAnsi="Arial" w:eastAsia="Times New Roman" w:cs="Cambria"/>
      <w:bCs/>
      <w:i/>
      <w:iCs/>
      <w:sz w:val="32"/>
      <w:szCs w:val="28"/>
    </w:rPr>
  </w:style>
  <w:style w:type="paragraph" w:customStyle="1" w:styleId="31">
    <w:name w:val="Дерюгин 2"/>
    <w:basedOn w:val="1"/>
    <w:qFormat/>
    <w:uiPriority w:val="0"/>
    <w:rPr>
      <w:b/>
    </w:rPr>
  </w:style>
  <w:style w:type="character" w:customStyle="1" w:styleId="32">
    <w:name w:val="Основной текст с отступом 2 Знак"/>
    <w:basedOn w:val="5"/>
    <w:link w:val="26"/>
    <w:semiHidden/>
    <w:qFormat/>
    <w:uiPriority w:val="0"/>
    <w:rPr>
      <w:sz w:val="24"/>
      <w:lang w:val="ru-RU" w:eastAsia="ru-RU" w:bidi="ar-SA"/>
    </w:rPr>
  </w:style>
  <w:style w:type="character" w:customStyle="1" w:styleId="33">
    <w:name w:val="Основной текст с отступом Знак"/>
    <w:basedOn w:val="5"/>
    <w:link w:val="21"/>
    <w:semiHidden/>
    <w:qFormat/>
    <w:uiPriority w:val="0"/>
    <w:rPr>
      <w:sz w:val="24"/>
      <w:szCs w:val="24"/>
      <w:lang w:val="ru-RU" w:eastAsia="ru-RU" w:bidi="ar-SA"/>
    </w:rPr>
  </w:style>
  <w:style w:type="character" w:customStyle="1" w:styleId="34">
    <w:name w:val="Основной текст Знак"/>
    <w:basedOn w:val="5"/>
    <w:link w:val="20"/>
    <w:qFormat/>
    <w:uiPriority w:val="0"/>
    <w:rPr>
      <w:rFonts w:eastAsia="Times New Roman"/>
      <w:sz w:val="24"/>
      <w:szCs w:val="24"/>
    </w:rPr>
  </w:style>
  <w:style w:type="character" w:customStyle="1" w:styleId="35">
    <w:name w:val="Heading 2 Char"/>
    <w:basedOn w:val="5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6">
    <w:name w:val="Нижний колонтитул Знак"/>
    <w:basedOn w:val="5"/>
    <w:link w:val="23"/>
    <w:qFormat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7">
    <w:name w:val="Footer Char"/>
    <w:basedOn w:val="5"/>
    <w:semiHidden/>
    <w:qFormat/>
    <w:uiPriority w:val="0"/>
    <w:rPr>
      <w:rFonts w:ascii="Courier New" w:hAnsi="Courier New" w:cs="Courier New"/>
      <w:sz w:val="24"/>
      <w:szCs w:val="24"/>
    </w:rPr>
  </w:style>
  <w:style w:type="character" w:customStyle="1" w:styleId="38">
    <w:name w:val="Верхний колонтитул Знак"/>
    <w:basedOn w:val="5"/>
    <w:link w:val="19"/>
    <w:semiHidden/>
    <w:qFormat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9">
    <w:name w:val="Текст выноски Знак"/>
    <w:basedOn w:val="5"/>
    <w:link w:val="14"/>
    <w:semiHidden/>
    <w:qFormat/>
    <w:uiPriority w:val="0"/>
    <w:rPr>
      <w:sz w:val="0"/>
      <w:szCs w:val="0"/>
      <w:lang w:val="ru-RU" w:eastAsia="ru-RU" w:bidi="ar-SA"/>
    </w:rPr>
  </w:style>
  <w:style w:type="character" w:customStyle="1" w:styleId="40">
    <w:name w:val="Знак4"/>
    <w:basedOn w:val="5"/>
    <w:qFormat/>
    <w:locked/>
    <w:uiPriority w:val="0"/>
    <w:rPr>
      <w:sz w:val="28"/>
      <w:szCs w:val="28"/>
    </w:rPr>
  </w:style>
  <w:style w:type="character" w:customStyle="1" w:styleId="41">
    <w:name w:val="Знак3"/>
    <w:basedOn w:val="5"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2"/>
    <w:basedOn w:val="5"/>
    <w:semiHidden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3">
    <w:name w:val="Знак9"/>
    <w:basedOn w:val="5"/>
    <w:qFormat/>
    <w:locked/>
    <w:uiPriority w:val="0"/>
    <w:rPr>
      <w:b/>
      <w:bCs/>
    </w:rPr>
  </w:style>
  <w:style w:type="character" w:customStyle="1" w:styleId="44">
    <w:name w:val="Текст сноски Знак"/>
    <w:basedOn w:val="5"/>
    <w:link w:val="18"/>
    <w:semiHidden/>
    <w:qFormat/>
    <w:locked/>
    <w:uiPriority w:val="0"/>
    <w:rPr>
      <w:lang w:val="ru-RU" w:eastAsia="ru-RU" w:bidi="ar-SA"/>
    </w:rPr>
  </w:style>
  <w:style w:type="character" w:customStyle="1" w:styleId="45">
    <w:name w:val="Footnote Text Char"/>
    <w:basedOn w:val="5"/>
    <w:semiHidden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46">
    <w:name w:val="Название Знак"/>
    <w:basedOn w:val="5"/>
    <w:link w:val="22"/>
    <w:qFormat/>
    <w:locked/>
    <w:uiPriority w:val="0"/>
    <w:rPr>
      <w:rFonts w:ascii="Arial" w:hAnsi="Arial" w:eastAsia="Times New Roman"/>
      <w:sz w:val="36"/>
    </w:rPr>
  </w:style>
  <w:style w:type="character" w:customStyle="1" w:styleId="47">
    <w:name w:val="Title Char"/>
    <w:basedOn w:val="5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8">
    <w:name w:val="spelle"/>
    <w:basedOn w:val="5"/>
    <w:qFormat/>
    <w:uiPriority w:val="0"/>
  </w:style>
  <w:style w:type="character" w:customStyle="1" w:styleId="49">
    <w:name w:val="grame"/>
    <w:basedOn w:val="5"/>
    <w:qFormat/>
    <w:uiPriority w:val="0"/>
  </w:style>
  <w:style w:type="character" w:customStyle="1" w:styleId="50">
    <w:name w:val="ref-journal"/>
    <w:basedOn w:val="5"/>
    <w:qFormat/>
    <w:uiPriority w:val="0"/>
  </w:style>
  <w:style w:type="character" w:customStyle="1" w:styleId="51">
    <w:name w:val="ref-vol"/>
    <w:basedOn w:val="5"/>
    <w:qFormat/>
    <w:uiPriority w:val="0"/>
  </w:style>
  <w:style w:type="paragraph" w:customStyle="1" w:styleId="52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3">
    <w:name w:val="HTML Preformatted1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4">
    <w:name w:val="Табл. текст"/>
    <w:basedOn w:val="1"/>
    <w:next w:val="4"/>
    <w:qFormat/>
    <w:uiPriority w:val="0"/>
    <w:pPr>
      <w:ind w:firstLine="0"/>
      <w:jc w:val="center"/>
    </w:pPr>
    <w:rPr>
      <w:snapToGrid w:val="0"/>
    </w:rPr>
  </w:style>
  <w:style w:type="paragraph" w:customStyle="1" w:styleId="55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type="paragraph" w:customStyle="1" w:styleId="56">
    <w:name w:val="Стиль Табл. текст + Первая строка:  07 см1"/>
    <w:basedOn w:val="54"/>
    <w:qFormat/>
    <w:uiPriority w:val="0"/>
    <w:rPr>
      <w:szCs w:val="20"/>
    </w:rPr>
  </w:style>
  <w:style w:type="paragraph" w:customStyle="1" w:styleId="57">
    <w:name w:val="текст без отступа"/>
    <w:basedOn w:val="1"/>
    <w:next w:val="16"/>
    <w:qFormat/>
    <w:uiPriority w:val="0"/>
    <w:pPr>
      <w:spacing w:line="312" w:lineRule="auto"/>
      <w:ind w:firstLine="0"/>
    </w:pPr>
    <w:rPr>
      <w:sz w:val="28"/>
    </w:rPr>
  </w:style>
  <w:style w:type="paragraph" w:customStyle="1" w:styleId="58">
    <w:name w:val="Основной текст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9">
    <w:name w:val="Derugin_title"/>
    <w:basedOn w:val="1"/>
    <w:qFormat/>
    <w:uiPriority w:val="0"/>
    <w:pPr>
      <w:jc w:val="center"/>
    </w:pPr>
    <w:rPr>
      <w:sz w:val="36"/>
    </w:rPr>
  </w:style>
  <w:style w:type="character" w:customStyle="1" w:styleId="60">
    <w:name w:val="Стиль Arial 16 пт"/>
    <w:basedOn w:val="5"/>
    <w:qFormat/>
    <w:uiPriority w:val="0"/>
    <w:rPr>
      <w:rFonts w:ascii="Arial" w:hAnsi="Arial"/>
      <w:sz w:val="32"/>
    </w:rPr>
  </w:style>
  <w:style w:type="paragraph" w:customStyle="1" w:styleId="61">
    <w:name w:val="Source Code"/>
    <w:qFormat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2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63">
    <w:name w:val="DataTypeTok"/>
    <w:qFormat/>
    <w:uiPriority w:val="0"/>
    <w:rPr>
      <w:color w:val="204A87"/>
      <w:shd w:val="clear" w:color="auto" w:fill="F8F8F8"/>
    </w:rPr>
  </w:style>
  <w:style w:type="character" w:customStyle="1" w:styleId="64">
    <w:name w:val="DecValTok"/>
    <w:qFormat/>
    <w:uiPriority w:val="0"/>
    <w:rPr>
      <w:color w:val="0000CF"/>
      <w:shd w:val="clear" w:color="auto" w:fill="F8F8F8"/>
    </w:rPr>
  </w:style>
  <w:style w:type="character" w:customStyle="1" w:styleId="65">
    <w:name w:val="BaseNTok"/>
    <w:qFormat/>
    <w:uiPriority w:val="0"/>
    <w:rPr>
      <w:color w:val="0000CF"/>
      <w:shd w:val="clear" w:color="auto" w:fill="F8F8F8"/>
    </w:rPr>
  </w:style>
  <w:style w:type="character" w:customStyle="1" w:styleId="66">
    <w:name w:val="FloatTok"/>
    <w:qFormat/>
    <w:uiPriority w:val="0"/>
    <w:rPr>
      <w:color w:val="0000CF"/>
      <w:shd w:val="clear" w:color="auto" w:fill="F8F8F8"/>
    </w:rPr>
  </w:style>
  <w:style w:type="character" w:customStyle="1" w:styleId="67">
    <w:name w:val="ConstantTok"/>
    <w:qFormat/>
    <w:uiPriority w:val="0"/>
    <w:rPr>
      <w:color w:val="000000"/>
      <w:shd w:val="clear" w:color="auto" w:fill="F8F8F8"/>
    </w:rPr>
  </w:style>
  <w:style w:type="character" w:customStyle="1" w:styleId="68">
    <w:name w:val="CharTok"/>
    <w:qFormat/>
    <w:uiPriority w:val="0"/>
    <w:rPr>
      <w:color w:val="4E9A06"/>
      <w:shd w:val="clear" w:color="auto" w:fill="F8F8F8"/>
    </w:rPr>
  </w:style>
  <w:style w:type="character" w:customStyle="1" w:styleId="69">
    <w:name w:val="SpecialCharTok"/>
    <w:qFormat/>
    <w:uiPriority w:val="0"/>
    <w:rPr>
      <w:color w:val="000000"/>
      <w:shd w:val="clear" w:color="auto" w:fill="F8F8F8"/>
    </w:rPr>
  </w:style>
  <w:style w:type="character" w:customStyle="1" w:styleId="70">
    <w:name w:val="StringTok"/>
    <w:qFormat/>
    <w:uiPriority w:val="0"/>
    <w:rPr>
      <w:color w:val="4E9A06"/>
      <w:shd w:val="clear" w:color="auto" w:fill="F8F8F8"/>
    </w:rPr>
  </w:style>
  <w:style w:type="character" w:customStyle="1" w:styleId="71">
    <w:name w:val="VerbatimStringTok"/>
    <w:qFormat/>
    <w:uiPriority w:val="0"/>
    <w:rPr>
      <w:color w:val="4E9A06"/>
      <w:shd w:val="clear" w:color="auto" w:fill="F8F8F8"/>
    </w:rPr>
  </w:style>
  <w:style w:type="character" w:customStyle="1" w:styleId="72">
    <w:name w:val="SpecialStringTok"/>
    <w:qFormat/>
    <w:uiPriority w:val="0"/>
    <w:rPr>
      <w:color w:val="4E9A06"/>
      <w:shd w:val="clear" w:color="auto" w:fill="F8F8F8"/>
    </w:rPr>
  </w:style>
  <w:style w:type="character" w:customStyle="1" w:styleId="73">
    <w:name w:val="ImportTok"/>
    <w:qFormat/>
    <w:uiPriority w:val="0"/>
    <w:rPr>
      <w:shd w:val="clear" w:color="auto" w:fill="F8F8F8"/>
    </w:rPr>
  </w:style>
  <w:style w:type="character" w:customStyle="1" w:styleId="74">
    <w:name w:val="CommentTok"/>
    <w:qFormat/>
    <w:uiPriority w:val="0"/>
    <w:rPr>
      <w:i/>
      <w:color w:val="8F5902"/>
      <w:shd w:val="clear" w:color="auto" w:fill="F8F8F8"/>
    </w:rPr>
  </w:style>
  <w:style w:type="character" w:customStyle="1" w:styleId="75">
    <w:name w:val="DocumentationTok"/>
    <w:qFormat/>
    <w:uiPriority w:val="0"/>
    <w:rPr>
      <w:b/>
      <w:i/>
      <w:color w:val="8F5902"/>
      <w:shd w:val="clear" w:color="auto" w:fill="F8F8F8"/>
    </w:rPr>
  </w:style>
  <w:style w:type="character" w:customStyle="1" w:styleId="76">
    <w:name w:val="AnnotationTok"/>
    <w:qFormat/>
    <w:uiPriority w:val="0"/>
    <w:rPr>
      <w:b/>
      <w:i/>
      <w:color w:val="8F5902"/>
      <w:shd w:val="clear" w:color="auto" w:fill="F8F8F8"/>
    </w:rPr>
  </w:style>
  <w:style w:type="character" w:customStyle="1" w:styleId="77">
    <w:name w:val="CommentVarTok"/>
    <w:qFormat/>
    <w:uiPriority w:val="0"/>
    <w:rPr>
      <w:b/>
      <w:i/>
      <w:color w:val="8F5902"/>
      <w:shd w:val="clear" w:color="auto" w:fill="F8F8F8"/>
    </w:rPr>
  </w:style>
  <w:style w:type="character" w:customStyle="1" w:styleId="78">
    <w:name w:val="OtherTok"/>
    <w:qFormat/>
    <w:uiPriority w:val="0"/>
    <w:rPr>
      <w:color w:val="8F5902"/>
      <w:shd w:val="clear" w:color="auto" w:fill="F8F8F8"/>
    </w:rPr>
  </w:style>
  <w:style w:type="character" w:customStyle="1" w:styleId="79">
    <w:name w:val="FunctionTok"/>
    <w:qFormat/>
    <w:uiPriority w:val="0"/>
    <w:rPr>
      <w:color w:val="000000"/>
      <w:shd w:val="clear" w:color="auto" w:fill="F8F8F8"/>
    </w:rPr>
  </w:style>
  <w:style w:type="character" w:customStyle="1" w:styleId="80">
    <w:name w:val="VariableTok"/>
    <w:qFormat/>
    <w:uiPriority w:val="0"/>
    <w:rPr>
      <w:color w:val="000000"/>
      <w:shd w:val="clear" w:color="auto" w:fill="F8F8F8"/>
    </w:rPr>
  </w:style>
  <w:style w:type="character" w:customStyle="1" w:styleId="81">
    <w:name w:val="ControlFlowTok"/>
    <w:qFormat/>
    <w:uiPriority w:val="0"/>
    <w:rPr>
      <w:b/>
      <w:color w:val="204A87"/>
      <w:shd w:val="clear" w:color="auto" w:fill="F8F8F8"/>
    </w:rPr>
  </w:style>
  <w:style w:type="character" w:customStyle="1" w:styleId="82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83">
    <w:name w:val="BuiltInTok"/>
    <w:qFormat/>
    <w:uiPriority w:val="0"/>
    <w:rPr>
      <w:shd w:val="clear" w:color="auto" w:fill="F8F8F8"/>
    </w:rPr>
  </w:style>
  <w:style w:type="character" w:customStyle="1" w:styleId="84">
    <w:name w:val="ExtensionTok"/>
    <w:qFormat/>
    <w:uiPriority w:val="0"/>
    <w:rPr>
      <w:shd w:val="clear" w:color="auto" w:fill="F8F8F8"/>
    </w:rPr>
  </w:style>
  <w:style w:type="character" w:customStyle="1" w:styleId="85">
    <w:name w:val="PreprocessorTok"/>
    <w:qFormat/>
    <w:uiPriority w:val="0"/>
    <w:rPr>
      <w:i/>
      <w:color w:val="8F5902"/>
      <w:shd w:val="clear" w:color="auto" w:fill="F8F8F8"/>
    </w:rPr>
  </w:style>
  <w:style w:type="character" w:customStyle="1" w:styleId="86">
    <w:name w:val="AttributeTok"/>
    <w:qFormat/>
    <w:uiPriority w:val="0"/>
    <w:rPr>
      <w:color w:val="C4A000"/>
      <w:shd w:val="clear" w:color="auto" w:fill="F8F8F8"/>
    </w:rPr>
  </w:style>
  <w:style w:type="character" w:customStyle="1" w:styleId="87">
    <w:name w:val="RegionMarkerTok"/>
    <w:qFormat/>
    <w:uiPriority w:val="0"/>
    <w:rPr>
      <w:shd w:val="clear" w:color="auto" w:fill="F8F8F8"/>
    </w:rPr>
  </w:style>
  <w:style w:type="character" w:customStyle="1" w:styleId="88">
    <w:name w:val="InformationTok"/>
    <w:qFormat/>
    <w:uiPriority w:val="0"/>
    <w:rPr>
      <w:b/>
      <w:i/>
      <w:color w:val="8F5902"/>
      <w:shd w:val="clear" w:color="auto" w:fill="F8F8F8"/>
    </w:rPr>
  </w:style>
  <w:style w:type="character" w:customStyle="1" w:styleId="89">
    <w:name w:val="WarningTok"/>
    <w:qFormat/>
    <w:uiPriority w:val="0"/>
    <w:rPr>
      <w:b/>
      <w:i/>
      <w:color w:val="8F5902"/>
      <w:shd w:val="clear" w:color="auto" w:fill="F8F8F8"/>
    </w:rPr>
  </w:style>
  <w:style w:type="character" w:customStyle="1" w:styleId="90">
    <w:name w:val="AlertTok"/>
    <w:qFormat/>
    <w:uiPriority w:val="0"/>
    <w:rPr>
      <w:color w:val="EF2929"/>
      <w:shd w:val="clear" w:color="auto" w:fill="F8F8F8"/>
    </w:rPr>
  </w:style>
  <w:style w:type="character" w:customStyle="1" w:styleId="91">
    <w:name w:val="ErrorTok"/>
    <w:qFormat/>
    <w:uiPriority w:val="0"/>
    <w:rPr>
      <w:b/>
      <w:color w:val="A40000"/>
      <w:shd w:val="clear" w:color="auto" w:fill="F8F8F8"/>
    </w:rPr>
  </w:style>
  <w:style w:type="character" w:customStyle="1" w:styleId="92">
    <w:name w:val="NormalTok"/>
    <w:qFormat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26</TotalTime>
  <ScaleCrop>false</ScaleCrop>
  <LinksUpToDate>false</LinksUpToDate>
  <CharactersWithSpaces>3680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2022-11-30T10:06:00Z</dcterms:created>
  <dc:creator>google1599737165</dc:creator>
  <cp:lastModifiedBy>google1599737165</cp:lastModifiedBy>
  <dcterms:modified xsi:type="dcterms:W3CDTF">2022-12-01T13:22:09Z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1049-11.2.0.11130</vt:lpwstr>
  </property>
  <property fmtid="{D5CDD505-2E9C-101B-9397-08002B2CF9AE}" pid="4" name="ICV">
    <vt:lpwstr>F6C7DA80B62E495E86FB67E8E7559DD7</vt:lpwstr>
  </property>
</Properties>
</file>