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"/>
        <w:gridCol w:w="1293"/>
        <w:gridCol w:w="1550"/>
        <w:gridCol w:w="1401"/>
        <w:gridCol w:w="1550"/>
        <w:gridCol w:w="1454"/>
        <w:gridCol w:w="1177"/>
        <w:gridCol w:w="1275"/>
        <w:gridCol w:w="1458"/>
        <w:gridCol w:w="1133"/>
        <w:gridCol w:w="1493"/>
      </w:tblGrid>
      <w:tr w:rsidR="0016352D" w:rsidRPr="00CE5DB9" w:rsidTr="00C7574C"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2.1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2.2.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2.3-2.4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1.1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1.2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1.3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79646" w:themeColor="accent6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1.4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1.5.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1.6.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1.7.</w:t>
            </w:r>
          </w:p>
        </w:tc>
      </w:tr>
      <w:tr w:rsidR="0016352D" w:rsidRPr="00CE5DB9" w:rsidTr="00C7574C"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Что обещали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(1) Для описания ГЗ в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КЗаливе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изуч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ить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выборки из кута</w:t>
            </w:r>
            <w:r w:rsidRPr="003F191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(2) Прове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сти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п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едварительный анализ </w:t>
            </w:r>
            <w:r w:rsidRPr="00CE5DB9">
              <w:rPr>
                <w:rFonts w:ascii="Times New Roman" w:hAnsi="Times New Roman" w:cs="Times New Roman"/>
                <w:i/>
                <w:sz w:val="16"/>
                <w:szCs w:val="16"/>
              </w:rPr>
              <w:t>ВСЕГО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объема алло данных по ГЗ.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(1) Обобщ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ить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данные по динамике 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MT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в Белом море.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(2) Продолж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ить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их комплексный (?) мониторинг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(1) Заверш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ить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мтДНК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типирование LAG и ZMO с известными 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KASP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генотипами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(2)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Найти 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и описа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ть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"мешано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" поселени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M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 M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на ДВ.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(1)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Получить н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овые данные по распространению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MtrBTN</w:t>
            </w:r>
            <w:proofErr w:type="spellEnd"/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(2) анализ ВСЕХ данных по лекалам 23 г и «</w:t>
            </w:r>
            <w:r w:rsidRPr="00CE5DB9">
              <w:rPr>
                <w:rFonts w:ascii="Times New Roman" w:hAnsi="Times New Roman" w:cs="Times New Roman"/>
                <w:i/>
                <w:sz w:val="16"/>
                <w:szCs w:val="16"/>
              </w:rPr>
              <w:t>…методологии, разработанной для моделирования экологических ниш «обычных» организмов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(?)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Гистологич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. сравнение DN мидий разной этиологии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Факторы, определяющие распр. мидий и их заболеваемость MtrBTN1 и MtrBTN2 в Магадане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(1)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Продолж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ить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мониторинг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Чалпушки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(2) DN и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MtrBTN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в новых сборах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(«1000 мидий»)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(3) Для раковых мидий 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COI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+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KASP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(1) Анализ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транскриптомов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раковых мидий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(2)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Ампликоны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или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клонированиеновых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странных 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образцов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  <w:r w:rsidRPr="006F5C3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</w:t>
            </w:r>
            <w:r w:rsidRPr="006F5C34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JEM_A4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«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двойное заражение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»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Обобщ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ить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рез-ты</w:t>
            </w:r>
            <w:proofErr w:type="gram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экспериментов по созданию культуры клеток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MtrBTN</w:t>
            </w:r>
            <w:proofErr w:type="spellEnd"/>
          </w:p>
        </w:tc>
        <w:tc>
          <w:tcPr>
            <w:tcW w:w="0" w:type="auto"/>
          </w:tcPr>
          <w:p w:rsidR="0016352D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(1) Поиск DN и BTN у других видов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Bivalvia</w:t>
            </w:r>
            <w:proofErr w:type="spellEnd"/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(2)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t xml:space="preserve"> </w:t>
            </w:r>
            <w:r w:rsidRPr="009C1A0D">
              <w:rPr>
                <w:rFonts w:ascii="Times New Roman" w:hAnsi="Times New Roman" w:cs="Times New Roman"/>
                <w:sz w:val="16"/>
                <w:szCs w:val="16"/>
              </w:rPr>
              <w:t xml:space="preserve">Представлены результаты предварительного анализа литературных данных по заболеваемости DN у </w:t>
            </w:r>
            <w:proofErr w:type="spellStart"/>
            <w:r w:rsidRPr="009C1A0D">
              <w:rPr>
                <w:rFonts w:ascii="Times New Roman" w:hAnsi="Times New Roman" w:cs="Times New Roman"/>
                <w:sz w:val="16"/>
                <w:szCs w:val="16"/>
              </w:rPr>
              <w:t>Bivalvia</w:t>
            </w:r>
            <w:proofErr w:type="spellEnd"/>
            <w:r w:rsidRPr="009C1A0D">
              <w:rPr>
                <w:rFonts w:ascii="Times New Roman" w:hAnsi="Times New Roman" w:cs="Times New Roman"/>
                <w:sz w:val="16"/>
                <w:szCs w:val="16"/>
              </w:rPr>
              <w:t>»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Добыть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MbaBTN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на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транскриптомы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 на все</w:t>
            </w:r>
          </w:p>
        </w:tc>
      </w:tr>
      <w:tr w:rsidR="0016352D" w:rsidRPr="00CE5DB9" w:rsidTr="00C7574C"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Responsible persons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(1) Юля (</w:t>
            </w: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  <w:lang w:val="en-US"/>
              </w:rPr>
              <w:t>DONE</w:t>
            </w: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)</w:t>
            </w: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  <w:lang w:val="en-US"/>
              </w:rPr>
              <w:t xml:space="preserve">, 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(2)Хайтов + (обсчет),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Хайтов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16352D" w:rsidRPr="003F191A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(1) </w:t>
            </w: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Юля,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Стрелков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  <w:t>(2) Полина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(1) 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Done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,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(2) Хайтов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Майорова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, Стрелков или 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Хайтов 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стат</w:t>
            </w:r>
            <w:proofErr w:type="spellEnd"/>
            <w:proofErr w:type="gram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Хайтов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Юля (</w:t>
            </w: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  <w:lang w:val="en-US"/>
              </w:rPr>
              <w:t>DONE</w:t>
            </w: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Юля, 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Хайтов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, Стрелков</w:t>
            </w: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(1) Юрченко,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Туранов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(2) ждем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Туранов</w:t>
            </w:r>
            <w:proofErr w:type="spellEnd"/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7030A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Майорова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Майорова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, Кожин (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церастодерма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макома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16352D" w:rsidRPr="00CE5DB9" w:rsidTr="00C7574C"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Ожидаемый формат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Все данные пересчитать по старым лекалам, в </w:t>
            </w:r>
            <w:proofErr w:type="spellStart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т.ч</w:t>
            </w:r>
            <w:proofErr w:type="spellEnd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. динамику на уровне генераций, «</w:t>
            </w:r>
            <w:proofErr w:type="spellStart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клинальность</w:t>
            </w:r>
            <w:proofErr w:type="spellEnd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» и «</w:t>
            </w:r>
            <w:proofErr w:type="spellStart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гибридность</w:t>
            </w:r>
            <w:proofErr w:type="spellEnd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» </w:t>
            </w:r>
            <w:r w:rsidRPr="00CE5DB9">
              <w:rPr>
                <w:rFonts w:ascii="Times New Roman" w:hAnsi="Times New Roman" w:cs="Times New Roman"/>
                <w:b/>
                <w:color w:val="00B050"/>
                <w:sz w:val="16"/>
                <w:szCs w:val="16"/>
              </w:rPr>
              <w:t xml:space="preserve">Последнее по свежим данным для трех выделов: южнее Нового моста, между мостом и </w:t>
            </w:r>
            <w:proofErr w:type="gramStart"/>
            <w:r w:rsidRPr="00CE5DB9">
              <w:rPr>
                <w:rFonts w:ascii="Times New Roman" w:hAnsi="Times New Roman" w:cs="Times New Roman"/>
                <w:b/>
                <w:color w:val="00B050"/>
                <w:sz w:val="16"/>
                <w:szCs w:val="16"/>
              </w:rPr>
              <w:t>Абрам-пахтой</w:t>
            </w:r>
            <w:proofErr w:type="gramEnd"/>
            <w:r w:rsidRPr="00CE5DB9">
              <w:rPr>
                <w:rFonts w:ascii="Times New Roman" w:hAnsi="Times New Roman" w:cs="Times New Roman"/>
                <w:b/>
                <w:color w:val="00B050"/>
                <w:sz w:val="16"/>
                <w:szCs w:val="16"/>
              </w:rPr>
              <w:t xml:space="preserve"> и севернее Пахты.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(1) 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>Done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(2) Хайтов +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(1) По «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Сказинским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» архивам восстановить «презентацию в Гданьск».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  <w:t xml:space="preserve">(2) </w:t>
            </w:r>
            <w:proofErr w:type="gramStart"/>
            <w:r w:rsidRPr="00CE5DB9"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  <w:t>Док-во</w:t>
            </w:r>
            <w:proofErr w:type="gramEnd"/>
            <w:r w:rsidRPr="00CE5DB9"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  <w:t xml:space="preserve"> «</w:t>
            </w:r>
            <w:proofErr w:type="spellStart"/>
            <w:r w:rsidRPr="00CE5DB9"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  <w:t>мешаности</w:t>
            </w:r>
            <w:proofErr w:type="spellEnd"/>
            <w:r w:rsidRPr="00CE5DB9"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  <w:t>» Витязя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(2) </w:t>
            </w:r>
            <w:proofErr w:type="spellStart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апгрейдить</w:t>
            </w:r>
            <w:proofErr w:type="spellEnd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анализ распространения 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>DN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/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  <w:lang w:val="en-US"/>
              </w:rPr>
              <w:t>BTN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(Рис 1.1.2. прошлого отчета, где были только чужие данные) и – изобразить хоть что-то «</w:t>
            </w:r>
            <w:r w:rsidRPr="00CE5DB9">
              <w:rPr>
                <w:rFonts w:ascii="Times New Roman" w:hAnsi="Times New Roman" w:cs="Times New Roman"/>
                <w:i/>
                <w:color w:val="00B050"/>
                <w:sz w:val="16"/>
                <w:szCs w:val="16"/>
              </w:rPr>
              <w:t>…по методологии… экологических ниш</w:t>
            </w: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»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7030A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NCR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больных и здоровых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гемоцитов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всех образцов – для сравнения линий/популяций. </w:t>
            </w:r>
            <w:r w:rsidRPr="00CE5DB9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Не сдано ничего кроме Магадана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7030A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- параллельный анализ по плоидности (ПП)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70C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- хоть что-то сказать про препараты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- Построение множественной </w:t>
            </w:r>
            <w:proofErr w:type="spellStart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регр</w:t>
            </w:r>
            <w:proofErr w:type="spellEnd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. моделей по </w:t>
            </w:r>
            <w:proofErr w:type="spellStart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популяц</w:t>
            </w:r>
            <w:proofErr w:type="spellEnd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. и индивид</w:t>
            </w:r>
            <w:proofErr w:type="gramStart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.</w:t>
            </w:r>
            <w:proofErr w:type="gramEnd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 </w:t>
            </w:r>
            <w:proofErr w:type="gramStart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д</w:t>
            </w:r>
            <w:proofErr w:type="gramEnd"/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анным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</w:pP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>(1) Вывод об отсутствии сезонности (Хайтов)</w:t>
            </w:r>
          </w:p>
          <w:p w:rsidR="0016352D" w:rsidRPr="006F5C34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F5C34">
              <w:rPr>
                <w:rFonts w:ascii="Times New Roman" w:hAnsi="Times New Roman" w:cs="Times New Roman"/>
                <w:sz w:val="16"/>
                <w:szCs w:val="16"/>
              </w:rPr>
              <w:t xml:space="preserve">(2) DN в новых сборах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(3) Вывод о больных гибридах и полиморфизме </w:t>
            </w:r>
            <w:proofErr w:type="spellStart"/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  <w:lang w:val="en-US"/>
              </w:rPr>
              <w:t>MtrBTN</w:t>
            </w:r>
            <w:proofErr w:type="spellEnd"/>
            <w:r w:rsidRPr="00CE5DB9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(Юля)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(1) Ядерные генотипы (Юрченко),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мтДНК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генотиы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Туранов</w:t>
            </w:r>
            <w:proofErr w:type="spell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Где?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7030A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 xml:space="preserve">(1) </w:t>
            </w:r>
            <w:r w:rsidRPr="00CE5DB9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 xml:space="preserve"> поиск у других видов (Майорова, </w:t>
            </w:r>
            <w:r w:rsidRPr="00CE5DB9">
              <w:rPr>
                <w:rFonts w:ascii="Times New Roman" w:hAnsi="Times New Roman" w:cs="Times New Roman"/>
                <w:color w:val="7030A0"/>
                <w:sz w:val="16"/>
                <w:szCs w:val="16"/>
                <w:lang w:val="en-US"/>
              </w:rPr>
              <w:t>DONE</w:t>
            </w:r>
            <w:r w:rsidRPr="00CE5DB9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)</w:t>
            </w:r>
          </w:p>
          <w:p w:rsidR="0016352D" w:rsidRPr="009C1A0D" w:rsidRDefault="0016352D" w:rsidP="00C7574C">
            <w:pPr>
              <w:spacing w:after="60"/>
              <w:rPr>
                <w:rFonts w:ascii="Times New Roman" w:hAnsi="Times New Roman" w:cs="Times New Roman"/>
                <w:color w:val="7030A0"/>
                <w:sz w:val="16"/>
                <w:szCs w:val="16"/>
              </w:rPr>
            </w:pPr>
            <w:r w:rsidRPr="009C1A0D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(2) Мая  – логистика библиографического анализа и предварит</w:t>
            </w:r>
            <w:proofErr w:type="gramStart"/>
            <w:r w:rsidRPr="009C1A0D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.</w:t>
            </w:r>
            <w:proofErr w:type="gramEnd"/>
            <w:r w:rsidRPr="009C1A0D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9C1A0D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р</w:t>
            </w:r>
            <w:proofErr w:type="gramEnd"/>
            <w:r w:rsidRPr="009C1A0D"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езультаты.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(3) Провалено, переезжает на 25 г</w:t>
            </w:r>
          </w:p>
        </w:tc>
      </w:tr>
      <w:tr w:rsidR="0016352D" w:rsidRPr="00CE5DB9" w:rsidTr="00C7574C"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Оформление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До ½ страницы содержание работ, ½ результаты и 1-2 </w:t>
            </w:r>
            <w:proofErr w:type="spellStart"/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стр</w:t>
            </w:r>
            <w:proofErr w:type="spellEnd"/>
            <w:proofErr w:type="gram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иллюстраций в Приложение</w:t>
            </w:r>
          </w:p>
        </w:tc>
        <w:tc>
          <w:tcPr>
            <w:tcW w:w="0" w:type="auto"/>
          </w:tcPr>
          <w:p w:rsidR="0016352D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До ½ страницы содержание работ, ½ результаты и, если нужно, иллюстрация на 1 </w:t>
            </w:r>
            <w:proofErr w:type="spellStart"/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стр</w:t>
            </w:r>
            <w:proofErr w:type="spellEnd"/>
            <w:proofErr w:type="gramEnd"/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5903BB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t xml:space="preserve">Манускрипт поданной статьи в </w:t>
            </w:r>
            <w:r w:rsidRPr="005903BB">
              <w:rPr>
                <w:rFonts w:ascii="Times New Roman" w:hAnsi="Times New Roman" w:cs="Times New Roman"/>
                <w:color w:val="00B050"/>
                <w:sz w:val="16"/>
                <w:szCs w:val="16"/>
              </w:rPr>
              <w:lastRenderedPageBreak/>
              <w:t xml:space="preserve">приложение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(1) До 1/3 страницы, 1/3 результаты и, если нужно, иллюстрация на 1 </w:t>
            </w:r>
            <w:proofErr w:type="spellStart"/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стр</w:t>
            </w:r>
            <w:proofErr w:type="spellEnd"/>
            <w:proofErr w:type="gramEnd"/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(2) то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же самое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B0F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До ½ страницы содержание работ, ½ результаты и 1 </w:t>
            </w:r>
            <w:proofErr w:type="spellStart"/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стр</w:t>
            </w:r>
            <w:proofErr w:type="spellEnd"/>
            <w:proofErr w:type="gram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иллюстраций в Приложение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B05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До ½ страницы содержание работ, ½ результаты и 1-2 </w:t>
            </w:r>
            <w:proofErr w:type="spellStart"/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стр</w:t>
            </w:r>
            <w:proofErr w:type="spellEnd"/>
            <w:proofErr w:type="gram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иллюстраций в Приложение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00B0F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До ½ страницы содержание работ, ½ результаты и 1-2 </w:t>
            </w:r>
            <w:proofErr w:type="spellStart"/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стр</w:t>
            </w:r>
            <w:proofErr w:type="spellEnd"/>
            <w:proofErr w:type="gram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иллюстраций в 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Приложение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(1)  ¼ страницы содержание ¼  стр. результаты, 1 иллюстрация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(2), (3) – все </w:t>
            </w: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тезисно</w:t>
            </w:r>
            <w:proofErr w:type="spellEnd"/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До ½ страницы содержание работ, ½ результаты и 1-2 </w:t>
            </w:r>
            <w:proofErr w:type="spellStart"/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стр</w:t>
            </w:r>
            <w:proofErr w:type="spellEnd"/>
            <w:proofErr w:type="gram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иллюстраций в Приложение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7030A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Оформленный манускри</w:t>
            </w:r>
            <w:proofErr w:type="gramStart"/>
            <w:r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пт в пр</w:t>
            </w:r>
            <w:proofErr w:type="gramEnd"/>
            <w:r>
              <w:rPr>
                <w:rFonts w:ascii="Times New Roman" w:hAnsi="Times New Roman" w:cs="Times New Roman"/>
                <w:color w:val="7030A0"/>
                <w:sz w:val="16"/>
                <w:szCs w:val="16"/>
              </w:rPr>
              <w:t>иложение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(1) До 1/3 страницы содержание работ, 1/3 результаты (</w:t>
            </w:r>
            <w:r w:rsidRPr="00CE5DB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DONE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)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(2) до ½ страницы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на 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то и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на 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другое</w:t>
            </w:r>
          </w:p>
        </w:tc>
      </w:tr>
      <w:tr w:rsidR="0016352D" w:rsidRPr="00CE5DB9" w:rsidTr="00C7574C"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Исходные ф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ормул</w:t>
            </w:r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н</w:t>
            </w:r>
            <w:proofErr w:type="gramEnd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аправл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ений</w:t>
            </w: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 xml:space="preserve"> проекта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2.1. Дополнить и обобщить данные по динамике мозаичной гибридной зоны между M.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edulis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M.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trossulus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Кольском заливе Баренцева моря.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2.2. Дополнить и обобщить данные по пространственно-временной динамике мидий M.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edulis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M.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trossulus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симпатрии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2.3. – 2.4. Изучить нарушения двоякого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однородительского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наследования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мтДНК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у мидий;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Дополнить и обобщить данные по разнообразию гибридных генотипов у мидий 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1.1. Изучить распространение MtrBTN1 и MtrBTN2 в морях России и выявить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макрогеографические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паттерны в их распространении и специфичность к видам-хозяевам.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1.2. Провести сравнительное исследование диссеминированной неоплазии (DN) мидий разной этиологии (MtrBTN1, MtrBTN2, спонтанная неоплазия) методами цитологии и гистологии.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1.3. Выявить факторы среды, определяющие заболеваемость мидий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MtrBTN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1.4. Всесторонне документировать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MtrBTN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Кольском заливе Баренцева моря.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1.5. Изучить генетическую изменчивость линий и штаммов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MtrBTN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и родительского для рака вида, M.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trossulus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 в российских морях.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1.6. Изучить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MtrBTN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in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vitro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 провести эксперименты по созданию долгоживущей культуры опухолевых клеток.</w:t>
            </w:r>
          </w:p>
        </w:tc>
        <w:tc>
          <w:tcPr>
            <w:tcW w:w="0" w:type="auto"/>
            <w:shd w:val="clear" w:color="auto" w:fill="EEECE1" w:themeFill="background2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1.7. Продолжить поиск BTN у других массовых и коммерческих видов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Bivalvia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морей России</w:t>
            </w:r>
          </w:p>
        </w:tc>
      </w:tr>
      <w:tr w:rsidR="0016352D" w:rsidRPr="00CE5DB9" w:rsidTr="00C7574C"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Задачи на 25.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Хватит, если не залупаться на «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геномику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» 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MT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аутпоста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в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Туломе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при интересе Юрченко,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Биерне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 Соколовой или типа того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«Продолжен комплексный мониторинг…»?*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 xml:space="preserve">+ </w:t>
            </w:r>
            <w:r w:rsidRPr="0016352D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навязывается 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услуга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перегенотипирования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аллозимами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т.пр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 популяций из работы 2016 г.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(1) Пока хватит (однако см. п. 2.1.; а какие интересы у Юли?)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(2) 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  <w:lang w:val="en-US"/>
              </w:rPr>
              <w:t>DUI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; 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  <w:lang w:val="en-US"/>
              </w:rPr>
              <w:t>KASP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 </w:t>
            </w:r>
            <w:proofErr w:type="gram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по</w:t>
            </w:r>
            <w:proofErr w:type="gram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 </w:t>
            </w:r>
            <w:proofErr w:type="gram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полной</w:t>
            </w:r>
            <w:proofErr w:type="gram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; геом. морфометрия; гонады (?) и – анализ литературы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для сравнения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Пробелы: Чукотка, Сахалин,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Сов</w:t>
            </w:r>
            <w:proofErr w:type="gram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.Г</w:t>
            </w:r>
            <w:proofErr w:type="gram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авань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/Ванино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Дефицит: северная и восточная Камчатка, Белое море …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Проблема: где живет рак в Приморье кроме бочки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Майорова?</w:t>
            </w:r>
            <w:r w:rsidRPr="00CE5DB9">
              <w:rPr>
                <w:rFonts w:ascii="Times New Roman" w:hAnsi="Times New Roman" w:cs="Times New Roman"/>
                <w:color w:val="F79646" w:themeColor="accent6"/>
                <w:sz w:val="16"/>
                <w:szCs w:val="16"/>
              </w:rPr>
              <w:t xml:space="preserve">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Заявить калибровку 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  <w:lang w:val="en-US"/>
              </w:rPr>
              <w:t>DN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 по 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  <w:lang w:val="en-US"/>
              </w:rPr>
              <w:t>LM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 по архивным данным! (Полина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?</w:t>
            </w:r>
            <w:bookmarkStart w:id="0" w:name="_GoBack"/>
            <w:bookmarkEnd w:id="0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)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Обещать </w:t>
            </w:r>
            <w:proofErr w:type="gram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единообразно</w:t>
            </w:r>
            <w:proofErr w:type="gram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 обработать 21 год как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тестинг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датасет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 и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по-возможности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 опубликовать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Biology Letters (3500 words), Ecology Letters (5000)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 xml:space="preserve">Заявить «картирование» а-ля Магадан. </w:t>
            </w:r>
          </w:p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Хайтов, Юля –  решайте за мониторинг мидий методом «разрезов» - ведь это большой геморрой.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u w:val="single"/>
              </w:rPr>
              <w:t>Только публиковать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(или херить) + см. 1.1.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Хватит? (Майорова, где статья?)</w:t>
            </w:r>
          </w:p>
        </w:tc>
        <w:tc>
          <w:tcPr>
            <w:tcW w:w="0" w:type="auto"/>
          </w:tcPr>
          <w:p w:rsidR="0016352D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Все </w:t>
            </w:r>
            <w:proofErr w:type="gram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тоже самое</w:t>
            </w:r>
            <w:proofErr w:type="gram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,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соизмеряясь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с возможностями Майоровой и 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co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 с одной стороны, и Юрченко, с другой. Полноценный библиограф. Анализ знаний?</w:t>
            </w:r>
          </w:p>
          <w:p w:rsidR="0016352D" w:rsidRPr="009C1A0D" w:rsidRDefault="0016352D" w:rsidP="00C7574C">
            <w:pPr>
              <w:spacing w:after="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Клятва закрыть долги по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MbaBTN</w:t>
            </w:r>
            <w:proofErr w:type="spellEnd"/>
          </w:p>
        </w:tc>
      </w:tr>
      <w:tr w:rsidR="0016352D" w:rsidRPr="00CE5DB9" w:rsidTr="00C7574C"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proofErr w:type="spellStart"/>
            <w:r w:rsidRPr="00CE5DB9">
              <w:rPr>
                <w:rFonts w:ascii="Times New Roman" w:hAnsi="Times New Roman" w:cs="Times New Roman"/>
                <w:sz w:val="16"/>
                <w:szCs w:val="16"/>
              </w:rPr>
              <w:t>Комментар</w:t>
            </w:r>
            <w:proofErr w:type="spellEnd"/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*Просьба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Вадиму 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попридержать статью по динамике до 2026; включать ли в нее  «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аллозимы</w:t>
            </w:r>
            <w:proofErr w:type="spellEnd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» - на усмотрение ВМ. 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Была идея звать Антонио, но для этого препараты нужно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было </w:t>
            </w: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аннотировать и загрузить на какой </w:t>
            </w:r>
            <w:proofErr w:type="spellStart"/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gdisc</w:t>
            </w:r>
            <w:proofErr w:type="spellEnd"/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E5DB9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Только публиковать (или херить)</w:t>
            </w: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16352D" w:rsidRPr="00CE5DB9" w:rsidRDefault="0016352D" w:rsidP="00C7574C">
            <w:pPr>
              <w:spacing w:after="60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:rsidR="000424A1" w:rsidRDefault="000424A1"/>
    <w:sectPr w:rsidR="000424A1" w:rsidSect="0016352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2D"/>
    <w:rsid w:val="00010213"/>
    <w:rsid w:val="000424A1"/>
    <w:rsid w:val="0016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2024-11-20T17:06:00Z</dcterms:created>
  <dcterms:modified xsi:type="dcterms:W3CDTF">2024-11-20T17:06:00Z</dcterms:modified>
</cp:coreProperties>
</file>