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</w:pPr>
      <w:r>
        <w:t xml:space="preserve">4.1 Распределение и историческая динамика смешанных поселений </w:t>
      </w:r>
      <w:r>
        <w:rPr>
          <w:i/>
        </w:rPr>
        <w:t>M.edulis</w:t>
      </w:r>
      <w:r>
        <w:t xml:space="preserve"> и </w:t>
      </w:r>
      <w:r>
        <w:rPr>
          <w:i/>
        </w:rPr>
        <w:t>M.trossulus</w:t>
      </w:r>
      <w:r>
        <w:t xml:space="preserve"> Кандалакшском заливе Белого моря</w:t>
      </w:r>
    </w:p>
    <w:p>
      <w:r>
        <w:t>Дополнены и обобщены данные, характеризующие современное распределение двух видов мидий в Кандалакшском заливе Белого моря и историческую динамику этой гибридной зоны.</w:t>
      </w:r>
    </w:p>
    <w:p>
      <w:pPr>
        <w:pStyle w:val="11"/>
      </w:pPr>
      <w:r>
        <w:t xml:space="preserve">Для картирования современного распределения </w:t>
      </w:r>
      <w:r>
        <w:rPr>
          <w:i/>
        </w:rPr>
        <w:t>M.trossulus</w:t>
      </w:r>
      <w:r>
        <w:t xml:space="preserve"> было обследовано 120 участков Кандалакшского залива (рис. ++). На каждом из них по стандартной методике были отобр</w:t>
      </w:r>
      <w:bookmarkStart w:id="0" w:name="_GoBack"/>
      <w:bookmarkEnd w:id="0"/>
      <w:r>
        <w:t xml:space="preserve">аны пробы мидий, у которых был определен морфотип (всего обработано 46660 моллюсков). По доли Т-морфотипа (рис. ++) на каждой из точек мы оценили частоту </w:t>
      </w:r>
      <w:r>
        <w:rPr>
          <w:i/>
        </w:rPr>
        <w:t>M.trossulus</w:t>
      </w:r>
      <w:r>
        <w:t xml:space="preserve"> (были использованы регрессионные модели, описанные в 4.2) и с помощью двумерной аддитивной модели (GAM) мы аппроксимировали распределение на всю акваторию Кандалакшского залива (рис. ++). Этот анализ показал, что чистые поселения </w:t>
      </w:r>
      <w:r>
        <w:rPr>
          <w:i/>
        </w:rPr>
        <w:t>M.edulis</w:t>
      </w:r>
      <w:r>
        <w:t xml:space="preserve">, практически лишенные примеси </w:t>
      </w:r>
      <w:r>
        <w:rPr>
          <w:i/>
        </w:rPr>
        <w:t>M.trossulus</w:t>
      </w:r>
      <w:r>
        <w:t xml:space="preserve">, наблюдаются на северо-восточном побережье залива от устья р. Варзуга до мыса Турий. Максимальная концентрация </w:t>
      </w:r>
      <w:r>
        <w:rPr>
          <w:i/>
        </w:rPr>
        <w:t>M.trossulus</w:t>
      </w:r>
      <w:r>
        <w:t xml:space="preserve"> отмечена в самом куту Кандалакшского залива, а также отдельные “пятна” с высокой частотой этого вида отмечаются и в других частях акватории (район губы Княжая, кут губы Колвица).</w:t>
      </w:r>
    </w:p>
    <w:p>
      <w:pPr>
        <w:pStyle w:val="11"/>
      </w:pPr>
      <w:r>
        <w:t xml:space="preserve">Места концентрации </w:t>
      </w:r>
      <w:r>
        <w:rPr>
          <w:i/>
        </w:rPr>
        <w:t>M.trossulsus</w:t>
      </w:r>
      <w:r>
        <w:t xml:space="preserve"> характеризуются, пониженной соленостью (в кут залива впадает несколько крупных рек) и значитльной закрытостью от штормового воздействия. Кроме того, именно здесь присутствуют крупные действующие морские порты, в которые </w:t>
      </w:r>
      <w:r>
        <w:rPr>
          <w:i/>
        </w:rPr>
        <w:t>M.trossulsus</w:t>
      </w:r>
      <w:r>
        <w:t xml:space="preserve"> могли быть занесены каботажными судами (Väinölä, Strelkov, 2011). Мы провели регрессионный анализ, в котором зависимой переменной была частота </w:t>
      </w:r>
      <w:r>
        <w:rPr>
          <w:i/>
        </w:rPr>
        <w:t>M.trossulus</w:t>
      </w:r>
      <w:r>
        <w:t xml:space="preserve">, а предикторами выступали соленость, измеренная в точке взятия проб, расстояние до устья ближайшей реки, расстояние до ближайшего порта и степень открытости акватории для волнового воздействия. Анализ выявил статистически значимую связь частоты </w:t>
      </w:r>
      <w:r>
        <w:rPr>
          <w:i/>
        </w:rPr>
        <w:t>M.trossulus</w:t>
      </w:r>
      <w:r>
        <w:t xml:space="preserve"> только расстоянием до ближайшего порта и расстоянием до устья ближайшей реки (Табл. ++). Оба коэффициента регрессии при данных предикторах были отрицательными, то есть по мере удаления от устья рек или от акваторий портов доля </w:t>
      </w:r>
      <w:r>
        <w:rPr>
          <w:i/>
        </w:rPr>
        <w:t>M.trossulus</w:t>
      </w:r>
      <w:r>
        <w:t xml:space="preserve"> сокращается.</w:t>
      </w:r>
    </w:p>
    <w:p>
      <w:pPr>
        <w:pStyle w:val="11"/>
      </w:pPr>
      <w:r>
        <w:t>Для изучения истории формирования гибридной зоны в Кандалакшском заливе мы изучили коллекции сухих створок, собранные в 1974 - 2002 годы. В 2014 и 2019 гг мы пересобрали мидий из тех же точек и оценили частоту мидий Т-морфотипа. В большинстве случаев мы отмечали более высокое относительное обилие мидий T-морфотипа в современных сборах, нежели в исторических коллекциях (рис. ++). Более детально история гибридной зоны была прослежена на четырех островах, расположенных в вершине Кандалакшского залива (рис. ++). Выбор этих точек был обусловлен наличием исторических коллекций сухих раковин, собранных в 2002-2011 гг. С 2012 года в этих точках мы проводим ежегодные сборы мидий и оцениваем в них долю Т-морфотипа. Мы обнаружили, что в начале 2000-х на большинстве островов частота мидий Т-морфотипа была низка. Однако в последние годы она резко взросла. Исключение составляет точка на о. Лупчостров, где частота Т-морфотипа всегда была высокой. Последняя точка находится в непосредственной близости от пресновдного стока губы Канда и реки Нива и двух крупных портов.</w:t>
      </w:r>
    </w:p>
    <w:p>
      <w:pPr>
        <w:pStyle w:val="11"/>
      </w:pPr>
      <w:r>
        <w:t xml:space="preserve">Проведенный нами анализ распределения мидий и изучение динамики смешанных поселений дают нам веские доводы в пользу ранее высказанной гипотезы о том, что </w:t>
      </w:r>
      <w:r>
        <w:rPr>
          <w:i/>
        </w:rPr>
        <w:t>M.trossulus</w:t>
      </w:r>
      <w:r>
        <w:t xml:space="preserve"> - это вид вселенец, который был совсем недавно занесен в акваторию Белого моря морским транспортом. Вероятно устья рек, как места свободные от конкурирующего нативного вида (</w:t>
      </w:r>
      <w:r>
        <w:rPr>
          <w:i/>
        </w:rPr>
        <w:t>M.edulis</w:t>
      </w:r>
      <w:r>
        <w:t>), служат рефугиумами для вида-вселенца.</w:t>
      </w:r>
    </w:p>
    <w:p>
      <w:pPr>
        <w:pStyle w:val="11"/>
      </w:pPr>
      <w:r>
        <w:drawing>
          <wp:inline distT="0" distB="0" distL="114300" distR="114300">
            <wp:extent cx="6324600" cy="3107055"/>
            <wp:effectExtent l="0" t="0" r="0" b="4445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4990" b="25884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10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</w:pPr>
      <w:r>
        <w:t xml:space="preserve">Рисунок +. Карата современного распределения </w:t>
      </w:r>
      <w:r>
        <w:rPr>
          <w:i/>
        </w:rPr>
        <w:t>M.trossulus</w:t>
      </w:r>
      <w:r>
        <w:t xml:space="preserve"> в вершине Кандалакшского залива Белого моря. (А) Расположение точек, в которых производилась оценка соотношения численностей морфотипов мидий. (Б) Пространственное распределение частоты </w:t>
      </w:r>
      <w:r>
        <w:rPr>
          <w:i/>
        </w:rPr>
        <w:t>M.trossulus</w:t>
      </w:r>
      <w:r>
        <w:t xml:space="preserve"> в смешанных поселениях (аппроксимация с помощью двумерной аддитивной модели). Синими кругами отмечены области, где располагаются ныне действующие или заброшенные порты.</w:t>
      </w:r>
    </w:p>
    <w:p>
      <w:r>
        <w:br w:type="page"/>
      </w:r>
      <w:r>
        <w:t xml:space="preserve">Таблица +. Анализ девиансы регрессионной модели, описывающей связь частоты </w:t>
      </w:r>
      <w:r>
        <w:rPr>
          <w:i/>
        </w:rPr>
        <w:t>M.trossulus</w:t>
      </w:r>
      <w:r>
        <w:t xml:space="preserve"> c предикторами.</w:t>
      </w:r>
    </w:p>
    <w:tbl>
      <w:tblPr>
        <w:tblStyle w:val="26"/>
        <w:tblW w:w="101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6"/>
        <w:gridCol w:w="998"/>
        <w:gridCol w:w="2029"/>
        <w:gridCol w:w="30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6" w:type="dxa"/>
            <w:tcBorders>
              <w:bottom w:val="single" w:color="auto" w:sz="0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left"/>
              <w:textAlignment w:val="auto"/>
              <w:outlineLvl w:val="9"/>
            </w:pPr>
            <w:r>
              <w:rPr>
                <w:b/>
              </w:rPr>
              <w:t>Предиктор</w:t>
            </w:r>
          </w:p>
        </w:tc>
        <w:tc>
          <w:tcPr>
            <w:tcW w:w="998" w:type="dxa"/>
            <w:tcBorders>
              <w:bottom w:val="single" w:color="auto" w:sz="0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  <w:r>
              <w:rPr>
                <w:b/>
              </w:rPr>
              <w:t>df</w:t>
            </w:r>
          </w:p>
        </w:tc>
        <w:tc>
          <w:tcPr>
            <w:tcW w:w="2029" w:type="dxa"/>
            <w:tcBorders>
              <w:bottom w:val="single" w:color="auto" w:sz="0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  <w:r>
              <w:rPr>
                <w:b/>
              </w:rPr>
              <w:t>Хи-квадрат</w:t>
            </w:r>
          </w:p>
        </w:tc>
        <w:tc>
          <w:tcPr>
            <w:tcW w:w="3005" w:type="dxa"/>
            <w:tcBorders>
              <w:bottom w:val="single" w:color="auto" w:sz="0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  <w:r>
              <w:rPr>
                <w:b/>
              </w:rPr>
              <w:t>Уровень значимости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left"/>
              <w:textAlignment w:val="auto"/>
              <w:outlineLvl w:val="9"/>
            </w:pPr>
            <w:r>
              <w:t>Открытость акватории</w:t>
            </w:r>
          </w:p>
        </w:tc>
        <w:tc>
          <w:tcPr>
            <w:tcW w:w="9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  <w:r>
              <w:t>1</w:t>
            </w:r>
          </w:p>
        </w:tc>
        <w:tc>
          <w:tcPr>
            <w:tcW w:w="202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  <w:r>
              <w:t>1.4</w:t>
            </w:r>
          </w:p>
        </w:tc>
        <w:tc>
          <w:tcPr>
            <w:tcW w:w="30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  <w:r>
              <w:t>0.241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left"/>
              <w:textAlignment w:val="auto"/>
              <w:outlineLvl w:val="9"/>
            </w:pPr>
            <w:r>
              <w:t>Расстояние до ближайшего порта</w:t>
            </w:r>
          </w:p>
        </w:tc>
        <w:tc>
          <w:tcPr>
            <w:tcW w:w="9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  <w:r>
              <w:t>1</w:t>
            </w:r>
          </w:p>
        </w:tc>
        <w:tc>
          <w:tcPr>
            <w:tcW w:w="202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  <w:r>
              <w:t>7.5</w:t>
            </w:r>
          </w:p>
        </w:tc>
        <w:tc>
          <w:tcPr>
            <w:tcW w:w="30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  <w:r>
              <w:t>0.006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left"/>
              <w:textAlignment w:val="auto"/>
              <w:outlineLvl w:val="9"/>
            </w:pPr>
            <w:r>
              <w:t>Расстояние до ближайшей реки</w:t>
            </w:r>
          </w:p>
        </w:tc>
        <w:tc>
          <w:tcPr>
            <w:tcW w:w="9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  <w:r>
              <w:t>1</w:t>
            </w:r>
          </w:p>
        </w:tc>
        <w:tc>
          <w:tcPr>
            <w:tcW w:w="202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  <w:r>
              <w:t>5.6</w:t>
            </w:r>
          </w:p>
        </w:tc>
        <w:tc>
          <w:tcPr>
            <w:tcW w:w="30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  <w:r>
              <w:t>0.018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left"/>
              <w:textAlignment w:val="auto"/>
              <w:outlineLvl w:val="9"/>
            </w:pPr>
            <w:r>
              <w:t>Соленость в точке взятия проб</w:t>
            </w:r>
          </w:p>
        </w:tc>
        <w:tc>
          <w:tcPr>
            <w:tcW w:w="9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  <w:r>
              <w:t>1</w:t>
            </w:r>
          </w:p>
        </w:tc>
        <w:tc>
          <w:tcPr>
            <w:tcW w:w="202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  <w:r>
              <w:t>2.5</w:t>
            </w:r>
          </w:p>
        </w:tc>
        <w:tc>
          <w:tcPr>
            <w:tcW w:w="30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  <w:r>
              <w:t>0.113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left"/>
              <w:textAlignment w:val="auto"/>
              <w:outlineLvl w:val="9"/>
            </w:pPr>
            <w:r>
              <w:br w:type="page"/>
            </w:r>
          </w:p>
        </w:tc>
        <w:tc>
          <w:tcPr>
            <w:tcW w:w="9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</w:p>
        </w:tc>
        <w:tc>
          <w:tcPr>
            <w:tcW w:w="202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</w:p>
        </w:tc>
        <w:tc>
          <w:tcPr>
            <w:tcW w:w="30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jc w:val="left"/>
        <w:textAlignment w:val="auto"/>
        <w:outlineLvl w:val="9"/>
      </w:pPr>
      <w:r>
        <w:br w:type="page"/>
      </w:r>
    </w:p>
    <w:tbl>
      <w:tblPr>
        <w:tblStyle w:val="26"/>
        <w:tblW w:w="101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6"/>
        <w:gridCol w:w="998"/>
        <w:gridCol w:w="2029"/>
        <w:gridCol w:w="3005"/>
      </w:tblGrid>
      <w:tr>
        <w:tblPrEx>
          <w:tblLayout w:type="fixed"/>
        </w:tblPrEx>
        <w:tc>
          <w:tcPr>
            <w:tcW w:w="415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9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</w:p>
        </w:tc>
        <w:tc>
          <w:tcPr>
            <w:tcW w:w="202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</w:p>
        </w:tc>
        <w:tc>
          <w:tcPr>
            <w:tcW w:w="30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</w:p>
        </w:tc>
      </w:tr>
    </w:tbl>
    <w:p>
      <w:pPr>
        <w:pStyle w:val="11"/>
        <w:jc w:val="center"/>
      </w:pPr>
      <w:r>
        <w:drawing>
          <wp:inline distT="0" distB="0" distL="114300" distR="114300">
            <wp:extent cx="4518660" cy="3056890"/>
            <wp:effectExtent l="0" t="0" r="2540" b="381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6406" b="15954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</w:pPr>
      <w:r>
        <w:drawing>
          <wp:inline distT="0" distB="0" distL="114300" distR="114300">
            <wp:extent cx="5463540" cy="4180205"/>
            <wp:effectExtent l="0" t="0" r="10160" b="10795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4180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</w:pPr>
      <w:r>
        <w:t xml:space="preserve">Рисунок ++. Исторические изменения структуры смешанных поселений </w:t>
      </w:r>
      <w:r>
        <w:rPr>
          <w:i/>
        </w:rPr>
        <w:t>M.edulis</w:t>
      </w:r>
      <w:r>
        <w:t xml:space="preserve"> и </w:t>
      </w:r>
      <w:r>
        <w:rPr>
          <w:i/>
        </w:rPr>
        <w:t>M.trossulus</w:t>
      </w:r>
      <w:r>
        <w:t>. (A) Точки, сбора исторических коллекций. (Б) Точки мониторинга. Мониторинг проводится на литорали четырех островов, расположенных на в порядке удаления от кута Кандалакшского залива; (В) Доля мидий Т-морфотипа в поселениях, для которых найдены исторические коллекции раковин.Цифрами обозначены номера поселений, приведенные на панели “А”.(Г) Многолетняя динамика доли мидий Т-морфотипа на литорали четырех островов, где проводится мониторинг. Точки – частота мидий Т-морфотипа в отдельных пробах. Синяя линия – регрессионная модель (GAM), описывающая многолетний тренд в изменении частоты мидий Т-морфотипа. Пунктирные линии ограничивают 95% доверительный интервал линии регрессии.</w:t>
      </w:r>
    </w:p>
    <w:sectPr>
      <w:footerReference r:id="rId3" w:type="default"/>
      <w:footerReference r:id="rId4" w:type="even"/>
      <w:pgSz w:w="12242" w:h="15842"/>
      <w:pgMar w:top="1134" w:right="1134" w:bottom="1134" w:left="1134" w:header="709" w:footer="709" w:gutter="0"/>
      <w:lnNumType w:countBy="1" w:restart="continuous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50544075"/>
      <w:docPartObj>
        <w:docPartGallery w:val="autotext"/>
      </w:docPartObj>
    </w:sdtPr>
    <w:sdtContent>
      <w:p>
        <w:pPr>
          <w:pStyle w:val="1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Style w:val="23"/>
      </w:rPr>
    </w:pPr>
    <w:r>
      <w:rPr>
        <w:rStyle w:val="23"/>
      </w:rPr>
      <w:fldChar w:fldCharType="begin"/>
    </w:r>
    <w:r>
      <w:rPr>
        <w:rStyle w:val="23"/>
      </w:rPr>
      <w:instrText xml:space="preserve">PAGE  </w:instrText>
    </w:r>
    <w:r>
      <w:rPr>
        <w:rStyle w:val="23"/>
      </w:rPr>
      <w:fldChar w:fldCharType="end"/>
    </w:r>
  </w:p>
  <w:p>
    <w:pPr>
      <w:pStyle w:val="1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F3F64C2"/>
    <w:rsid w:val="609E4133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name="footnote text"/>
    <w:lsdException w:uiPriority="99" w:name="annotation text"/>
    <w:lsdException w:qFormat="1"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qFormat="1"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</w:latentStyles>
  <w:style w:type="paragraph" w:default="1" w:styleId="1">
    <w:name w:val="Normal"/>
    <w:qFormat/>
    <w:uiPriority w:val="0"/>
    <w:pPr>
      <w:spacing w:after="120" w:line="480" w:lineRule="auto"/>
      <w:ind w:firstLine="567"/>
      <w:jc w:val="both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ind w:firstLine="0"/>
      <w:jc w:val="center"/>
      <w:outlineLvl w:val="0"/>
    </w:pPr>
    <w:rPr>
      <w:b/>
    </w:rPr>
  </w:style>
  <w:style w:type="paragraph" w:styleId="3">
    <w:name w:val="heading 2"/>
    <w:basedOn w:val="1"/>
    <w:next w:val="1"/>
    <w:link w:val="29"/>
    <w:qFormat/>
    <w:uiPriority w:val="0"/>
    <w:pPr>
      <w:keepNext/>
      <w:widowControl w:val="0"/>
      <w:autoSpaceDE w:val="0"/>
      <w:autoSpaceDN w:val="0"/>
      <w:adjustRightInd w:val="0"/>
      <w:spacing w:before="240" w:after="60"/>
      <w:jc w:val="left"/>
      <w:outlineLvl w:val="1"/>
    </w:pPr>
    <w:rPr>
      <w:rFonts w:cs="Cambria"/>
      <w:bCs/>
      <w:i/>
      <w:iCs/>
      <w:szCs w:val="28"/>
    </w:rPr>
  </w:style>
  <w:style w:type="paragraph" w:styleId="4">
    <w:name w:val="heading 4"/>
    <w:basedOn w:val="1"/>
    <w:next w:val="1"/>
    <w:qFormat/>
    <w:uiPriority w:val="0"/>
    <w:pPr>
      <w:keepNext/>
      <w:spacing w:before="240" w:after="60"/>
      <w:ind w:firstLine="0"/>
      <w:outlineLvl w:val="3"/>
    </w:pPr>
    <w:rPr>
      <w:b/>
      <w:bCs/>
      <w:sz w:val="28"/>
      <w:szCs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2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38"/>
    <w:semiHidden/>
    <w:uiPriority w:val="0"/>
    <w:pPr>
      <w:widowControl w:val="0"/>
      <w:autoSpaceDE w:val="0"/>
      <w:autoSpaceDN w:val="0"/>
      <w:adjustRightInd w:val="0"/>
    </w:pPr>
    <w:rPr>
      <w:sz w:val="0"/>
      <w:szCs w:val="0"/>
    </w:rPr>
  </w:style>
  <w:style w:type="paragraph" w:styleId="6">
    <w:name w:val="Body Text 2"/>
    <w:basedOn w:val="1"/>
    <w:qFormat/>
    <w:uiPriority w:val="0"/>
    <w:pPr>
      <w:spacing w:after="240"/>
      <w:ind w:firstLine="0"/>
    </w:pPr>
    <w:rPr>
      <w:sz w:val="28"/>
    </w:rPr>
  </w:style>
  <w:style w:type="paragraph" w:styleId="7">
    <w:name w:val="Plain Text"/>
    <w:basedOn w:val="1"/>
    <w:qFormat/>
    <w:uiPriority w:val="0"/>
    <w:pPr>
      <w:ind w:firstLine="0"/>
    </w:pPr>
    <w:rPr>
      <w:rFonts w:ascii="Courier New" w:hAnsi="Courier New"/>
      <w:sz w:val="20"/>
    </w:rPr>
  </w:style>
  <w:style w:type="paragraph" w:styleId="8">
    <w:name w:val="Body Text Indent 3"/>
    <w:basedOn w:val="1"/>
    <w:qFormat/>
    <w:uiPriority w:val="0"/>
    <w:pPr>
      <w:ind w:left="283"/>
    </w:pPr>
    <w:rPr>
      <w:sz w:val="16"/>
      <w:szCs w:val="16"/>
    </w:rPr>
  </w:style>
  <w:style w:type="paragraph" w:styleId="9">
    <w:name w:val="footnote text"/>
    <w:basedOn w:val="1"/>
    <w:link w:val="43"/>
    <w:semiHidden/>
    <w:qFormat/>
    <w:uiPriority w:val="0"/>
    <w:pPr>
      <w:ind w:firstLine="0"/>
    </w:pPr>
    <w:rPr>
      <w:sz w:val="20"/>
    </w:rPr>
  </w:style>
  <w:style w:type="paragraph" w:styleId="10">
    <w:name w:val="header"/>
    <w:basedOn w:val="1"/>
    <w:link w:val="37"/>
    <w:qFormat/>
    <w:uiPriority w:val="0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11">
    <w:name w:val="Body Text"/>
    <w:basedOn w:val="1"/>
    <w:link w:val="33"/>
    <w:qFormat/>
    <w:uiPriority w:val="0"/>
  </w:style>
  <w:style w:type="paragraph" w:styleId="12">
    <w:name w:val="Body Text Indent"/>
    <w:basedOn w:val="1"/>
    <w:link w:val="32"/>
    <w:uiPriority w:val="0"/>
    <w:pPr>
      <w:ind w:left="283" w:firstLine="0"/>
    </w:pPr>
  </w:style>
  <w:style w:type="paragraph" w:styleId="13">
    <w:name w:val="Title"/>
    <w:basedOn w:val="2"/>
    <w:link w:val="45"/>
    <w:qFormat/>
    <w:uiPriority w:val="0"/>
  </w:style>
  <w:style w:type="paragraph" w:styleId="14">
    <w:name w:val="footer"/>
    <w:basedOn w:val="1"/>
    <w:link w:val="35"/>
    <w:uiPriority w:val="99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15">
    <w:name w:val="Normal (Web)"/>
    <w:basedOn w:val="1"/>
    <w:qFormat/>
    <w:uiPriority w:val="0"/>
    <w:pPr>
      <w:spacing w:before="100" w:beforeAutospacing="1" w:after="100" w:afterAutospacing="1"/>
      <w:ind w:firstLine="0"/>
    </w:pPr>
    <w:rPr>
      <w:rFonts w:ascii="Arial Unicode MS" w:hAnsi="Arial Unicode MS" w:eastAsia="Arial Unicode MS" w:cs="Arial Unicode MS"/>
    </w:rPr>
  </w:style>
  <w:style w:type="paragraph" w:styleId="16">
    <w:name w:val="Body Text 3"/>
    <w:basedOn w:val="1"/>
    <w:qFormat/>
    <w:uiPriority w:val="0"/>
    <w:rPr>
      <w:sz w:val="16"/>
      <w:szCs w:val="16"/>
    </w:rPr>
  </w:style>
  <w:style w:type="paragraph" w:styleId="17">
    <w:name w:val="Body Text Indent 2"/>
    <w:basedOn w:val="1"/>
    <w:link w:val="31"/>
    <w:qFormat/>
    <w:uiPriority w:val="0"/>
    <w:pPr>
      <w:ind w:left="283"/>
    </w:pPr>
  </w:style>
  <w:style w:type="character" w:styleId="19">
    <w:name w:val="FollowedHyperlink"/>
    <w:basedOn w:val="18"/>
    <w:qFormat/>
    <w:uiPriority w:val="0"/>
    <w:rPr>
      <w:color w:val="800080"/>
      <w:u w:val="single"/>
    </w:rPr>
  </w:style>
  <w:style w:type="character" w:styleId="20">
    <w:name w:val="footnote reference"/>
    <w:basedOn w:val="18"/>
    <w:semiHidden/>
    <w:qFormat/>
    <w:uiPriority w:val="0"/>
    <w:rPr>
      <w:vertAlign w:val="superscript"/>
    </w:rPr>
  </w:style>
  <w:style w:type="character" w:styleId="21">
    <w:name w:val="Emphasis"/>
    <w:basedOn w:val="18"/>
    <w:qFormat/>
    <w:uiPriority w:val="0"/>
    <w:rPr>
      <w:b/>
      <w:bCs/>
    </w:rPr>
  </w:style>
  <w:style w:type="character" w:styleId="22">
    <w:name w:val="Hyperlink"/>
    <w:basedOn w:val="18"/>
    <w:qFormat/>
    <w:uiPriority w:val="0"/>
    <w:rPr>
      <w:color w:val="0000FF"/>
      <w:u w:val="single"/>
    </w:rPr>
  </w:style>
  <w:style w:type="character" w:styleId="23">
    <w:name w:val="page number"/>
    <w:basedOn w:val="18"/>
    <w:qFormat/>
    <w:uiPriority w:val="0"/>
  </w:style>
  <w:style w:type="character" w:styleId="24">
    <w:name w:val="line number"/>
    <w:basedOn w:val="18"/>
    <w:semiHidden/>
    <w:unhideWhenUsed/>
    <w:qFormat/>
    <w:uiPriority w:val="99"/>
  </w:style>
  <w:style w:type="character" w:styleId="25">
    <w:name w:val="Strong"/>
    <w:basedOn w:val="18"/>
    <w:qFormat/>
    <w:uiPriority w:val="0"/>
    <w:rPr>
      <w:b/>
      <w:bCs/>
    </w:rPr>
  </w:style>
  <w:style w:type="table" w:styleId="27">
    <w:name w:val="Table Grid"/>
    <w:basedOn w:val="26"/>
    <w:qFormat/>
    <w:uiPriority w:val="0"/>
    <w:rPr>
      <w:rFonts w:ascii="Arial" w:hAnsi="Arial" w:eastAsia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blStylePr w:type="firstCol">
      <w:pPr>
        <w:jc w:val="left"/>
      </w:pPr>
    </w:tblStylePr>
  </w:style>
  <w:style w:type="character" w:customStyle="1" w:styleId="28">
    <w:name w:val="Заголовок 1 Знак"/>
    <w:basedOn w:val="18"/>
    <w:link w:val="2"/>
    <w:qFormat/>
    <w:uiPriority w:val="0"/>
    <w:rPr>
      <w:rFonts w:ascii="Arial" w:hAnsi="Arial" w:eastAsia="Times New Roman" w:cs="Arial"/>
      <w:b/>
      <w:sz w:val="32"/>
      <w:szCs w:val="32"/>
    </w:rPr>
  </w:style>
  <w:style w:type="character" w:customStyle="1" w:styleId="29">
    <w:name w:val="Заголовок 2 Знак"/>
    <w:basedOn w:val="18"/>
    <w:link w:val="3"/>
    <w:qFormat/>
    <w:locked/>
    <w:uiPriority w:val="0"/>
    <w:rPr>
      <w:rFonts w:ascii="Arial" w:hAnsi="Arial" w:eastAsia="Times New Roman" w:cs="Cambria"/>
      <w:bCs/>
      <w:i/>
      <w:iCs/>
      <w:sz w:val="32"/>
      <w:szCs w:val="28"/>
    </w:rPr>
  </w:style>
  <w:style w:type="paragraph" w:customStyle="1" w:styleId="30">
    <w:name w:val="Дерюгин 2"/>
    <w:basedOn w:val="1"/>
    <w:uiPriority w:val="0"/>
    <w:rPr>
      <w:b/>
    </w:rPr>
  </w:style>
  <w:style w:type="character" w:customStyle="1" w:styleId="31">
    <w:name w:val="Основной текст с отступом 2 Знак"/>
    <w:basedOn w:val="18"/>
    <w:link w:val="17"/>
    <w:semiHidden/>
    <w:uiPriority w:val="0"/>
    <w:rPr>
      <w:sz w:val="24"/>
      <w:lang w:val="ru-RU" w:eastAsia="ru-RU" w:bidi="ar-SA"/>
    </w:rPr>
  </w:style>
  <w:style w:type="character" w:customStyle="1" w:styleId="32">
    <w:name w:val="Основной текст с отступом Знак"/>
    <w:basedOn w:val="18"/>
    <w:link w:val="12"/>
    <w:semiHidden/>
    <w:uiPriority w:val="0"/>
    <w:rPr>
      <w:sz w:val="24"/>
      <w:szCs w:val="24"/>
      <w:lang w:val="ru-RU" w:eastAsia="ru-RU" w:bidi="ar-SA"/>
    </w:rPr>
  </w:style>
  <w:style w:type="character" w:customStyle="1" w:styleId="33">
    <w:name w:val="Основной текст Знак"/>
    <w:basedOn w:val="18"/>
    <w:link w:val="11"/>
    <w:uiPriority w:val="0"/>
    <w:rPr>
      <w:rFonts w:eastAsia="Times New Roman"/>
      <w:sz w:val="24"/>
      <w:szCs w:val="24"/>
    </w:rPr>
  </w:style>
  <w:style w:type="character" w:customStyle="1" w:styleId="34">
    <w:name w:val="Heading 2 Char"/>
    <w:basedOn w:val="18"/>
    <w:semiHidden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35">
    <w:name w:val="Нижний колонтитул Знак"/>
    <w:basedOn w:val="18"/>
    <w:link w:val="14"/>
    <w:locked/>
    <w:uiPriority w:val="99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6">
    <w:name w:val="Footer Char"/>
    <w:basedOn w:val="18"/>
    <w:semiHidden/>
    <w:uiPriority w:val="0"/>
    <w:rPr>
      <w:rFonts w:ascii="Courier New" w:hAnsi="Courier New" w:cs="Courier New"/>
      <w:sz w:val="24"/>
      <w:szCs w:val="24"/>
    </w:rPr>
  </w:style>
  <w:style w:type="character" w:customStyle="1" w:styleId="37">
    <w:name w:val="Верхний колонтитул Знак"/>
    <w:basedOn w:val="18"/>
    <w:link w:val="10"/>
    <w:semiHidden/>
    <w:uiPriority w:val="0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8">
    <w:name w:val="Текст выноски Знак"/>
    <w:basedOn w:val="18"/>
    <w:link w:val="5"/>
    <w:semiHidden/>
    <w:uiPriority w:val="0"/>
    <w:rPr>
      <w:sz w:val="0"/>
      <w:szCs w:val="0"/>
      <w:lang w:val="ru-RU" w:eastAsia="ru-RU" w:bidi="ar-SA"/>
    </w:rPr>
  </w:style>
  <w:style w:type="character" w:customStyle="1" w:styleId="39">
    <w:name w:val="Знак4"/>
    <w:basedOn w:val="18"/>
    <w:locked/>
    <w:uiPriority w:val="0"/>
    <w:rPr>
      <w:sz w:val="28"/>
      <w:szCs w:val="28"/>
    </w:rPr>
  </w:style>
  <w:style w:type="character" w:customStyle="1" w:styleId="40">
    <w:name w:val="Знак3"/>
    <w:basedOn w:val="18"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1">
    <w:name w:val="Знак2"/>
    <w:basedOn w:val="18"/>
    <w:semiHidden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2">
    <w:name w:val="Знак9"/>
    <w:basedOn w:val="18"/>
    <w:qFormat/>
    <w:locked/>
    <w:uiPriority w:val="0"/>
    <w:rPr>
      <w:b/>
      <w:bCs/>
    </w:rPr>
  </w:style>
  <w:style w:type="character" w:customStyle="1" w:styleId="43">
    <w:name w:val="Текст сноски Знак"/>
    <w:basedOn w:val="18"/>
    <w:link w:val="9"/>
    <w:semiHidden/>
    <w:locked/>
    <w:uiPriority w:val="0"/>
    <w:rPr>
      <w:lang w:val="ru-RU" w:eastAsia="ru-RU" w:bidi="ar-SA"/>
    </w:rPr>
  </w:style>
  <w:style w:type="character" w:customStyle="1" w:styleId="44">
    <w:name w:val="Footnote Text Char"/>
    <w:basedOn w:val="18"/>
    <w:semiHidden/>
    <w:uiPriority w:val="0"/>
    <w:rPr>
      <w:rFonts w:ascii="Courier New" w:hAnsi="Courier New" w:cs="Courier New"/>
      <w:sz w:val="20"/>
      <w:szCs w:val="20"/>
    </w:rPr>
  </w:style>
  <w:style w:type="character" w:customStyle="1" w:styleId="45">
    <w:name w:val="Название Знак"/>
    <w:basedOn w:val="18"/>
    <w:link w:val="13"/>
    <w:locked/>
    <w:uiPriority w:val="0"/>
    <w:rPr>
      <w:rFonts w:ascii="Arial" w:hAnsi="Arial" w:eastAsia="Times New Roman"/>
      <w:sz w:val="36"/>
    </w:rPr>
  </w:style>
  <w:style w:type="character" w:customStyle="1" w:styleId="46">
    <w:name w:val="Title Char"/>
    <w:basedOn w:val="18"/>
    <w:uiPriority w:val="0"/>
    <w:rPr>
      <w:rFonts w:ascii="Cambria" w:hAnsi="Cambria" w:eastAsia="Times New Roman" w:cs="Times New Roman"/>
      <w:b/>
      <w:bCs/>
      <w:kern w:val="28"/>
      <w:sz w:val="32"/>
      <w:szCs w:val="32"/>
    </w:rPr>
  </w:style>
  <w:style w:type="character" w:customStyle="1" w:styleId="47">
    <w:name w:val="spelle"/>
    <w:basedOn w:val="18"/>
    <w:uiPriority w:val="0"/>
  </w:style>
  <w:style w:type="character" w:customStyle="1" w:styleId="48">
    <w:name w:val="grame"/>
    <w:basedOn w:val="18"/>
    <w:uiPriority w:val="0"/>
  </w:style>
  <w:style w:type="character" w:customStyle="1" w:styleId="49">
    <w:name w:val="ref-journal"/>
    <w:basedOn w:val="18"/>
    <w:uiPriority w:val="0"/>
  </w:style>
  <w:style w:type="character" w:customStyle="1" w:styleId="50">
    <w:name w:val="ref-vol"/>
    <w:basedOn w:val="18"/>
    <w:qFormat/>
    <w:uiPriority w:val="0"/>
  </w:style>
  <w:style w:type="paragraph" w:customStyle="1" w:styleId="51">
    <w:name w:val="Стиль1"/>
    <w:basedOn w:val="1"/>
    <w:qFormat/>
    <w:uiPriority w:val="0"/>
    <w:pPr>
      <w:tabs>
        <w:tab w:val="left" w:pos="420"/>
        <w:tab w:val="left" w:pos="900"/>
      </w:tabs>
      <w:ind w:firstLine="0"/>
    </w:pPr>
    <w:rPr>
      <w:bCs/>
    </w:rPr>
  </w:style>
  <w:style w:type="paragraph" w:customStyle="1" w:styleId="52">
    <w:name w:val="HTML Preformatted1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eastAsia="Courier New"/>
      <w:sz w:val="20"/>
      <w:lang w:val="en-US"/>
    </w:rPr>
  </w:style>
  <w:style w:type="paragraph" w:customStyle="1" w:styleId="53">
    <w:name w:val="Табл. текст"/>
    <w:basedOn w:val="1"/>
    <w:next w:val="4"/>
    <w:uiPriority w:val="0"/>
    <w:pPr>
      <w:ind w:firstLine="0"/>
      <w:jc w:val="center"/>
    </w:pPr>
    <w:rPr>
      <w:snapToGrid w:val="0"/>
    </w:rPr>
  </w:style>
  <w:style w:type="paragraph" w:customStyle="1" w:styleId="54">
    <w:name w:val="Таблица_текст"/>
    <w:basedOn w:val="1"/>
    <w:uiPriority w:val="0"/>
    <w:pPr>
      <w:ind w:firstLine="0"/>
      <w:jc w:val="center"/>
    </w:pPr>
    <w:rPr>
      <w:kern w:val="24"/>
    </w:rPr>
  </w:style>
  <w:style w:type="paragraph" w:customStyle="1" w:styleId="55">
    <w:name w:val="Стиль Табл. текст + Первая строка:  07 см1"/>
    <w:basedOn w:val="53"/>
    <w:uiPriority w:val="0"/>
    <w:rPr>
      <w:szCs w:val="20"/>
    </w:rPr>
  </w:style>
  <w:style w:type="paragraph" w:customStyle="1" w:styleId="56">
    <w:name w:val="текст без отступа"/>
    <w:basedOn w:val="1"/>
    <w:next w:val="7"/>
    <w:qFormat/>
    <w:uiPriority w:val="0"/>
    <w:pPr>
      <w:spacing w:line="312" w:lineRule="auto"/>
      <w:ind w:firstLine="0"/>
    </w:pPr>
    <w:rPr>
      <w:sz w:val="28"/>
    </w:rPr>
  </w:style>
  <w:style w:type="paragraph" w:customStyle="1" w:styleId="57">
    <w:name w:val="Основной текст 21"/>
    <w:basedOn w:val="1"/>
    <w:uiPriority w:val="0"/>
    <w:pPr>
      <w:widowControl w:val="0"/>
      <w:overflowPunct w:val="0"/>
      <w:autoSpaceDE w:val="0"/>
      <w:autoSpaceDN w:val="0"/>
      <w:adjustRightInd w:val="0"/>
      <w:ind w:firstLine="0"/>
      <w:textAlignment w:val="baseline"/>
    </w:pPr>
    <w:rPr>
      <w:b/>
    </w:rPr>
  </w:style>
  <w:style w:type="paragraph" w:customStyle="1" w:styleId="58">
    <w:name w:val="Derugin_title"/>
    <w:basedOn w:val="1"/>
    <w:qFormat/>
    <w:uiPriority w:val="0"/>
    <w:pPr>
      <w:jc w:val="center"/>
    </w:pPr>
    <w:rPr>
      <w:sz w:val="36"/>
    </w:rPr>
  </w:style>
  <w:style w:type="character" w:customStyle="1" w:styleId="59">
    <w:name w:val="Стиль Arial 16 пт"/>
    <w:basedOn w:val="18"/>
    <w:qFormat/>
    <w:uiPriority w:val="0"/>
    <w:rPr>
      <w:rFonts w:ascii="Arial" w:hAnsi="Arial"/>
      <w:sz w:val="32"/>
    </w:rPr>
  </w:style>
  <w:style w:type="table" w:styleId="60">
    <w:name w:val="Light Shading"/>
    <w:basedOn w:val="26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paragraph" w:customStyle="1" w:styleId="61">
    <w:name w:val="Source Code"/>
    <w:qFormat/>
    <w:uiPriority w:val="0"/>
    <w:pPr>
      <w:shd w:val="clear" w:color="auto" w:fill="F8F8F8"/>
      <w:wordWrap w:val="0"/>
      <w:spacing w:after="160" w:line="480" w:lineRule="auto"/>
    </w:pPr>
    <w:rPr>
      <w:rFonts w:ascii="Times New Roman" w:hAnsi="Times New Roman" w:eastAsia="SimSun" w:cs="Times New Roman"/>
      <w:lang w:val="ru-RU" w:eastAsia="en-US" w:bidi="ar-SA"/>
    </w:rPr>
  </w:style>
  <w:style w:type="character" w:customStyle="1" w:styleId="62">
    <w:name w:val="KeywordTok"/>
    <w:qFormat/>
    <w:uiPriority w:val="0"/>
    <w:rPr>
      <w:b/>
      <w:color w:val="204A87"/>
      <w:shd w:val="clear" w:color="auto" w:fill="F8F8F8"/>
    </w:rPr>
  </w:style>
  <w:style w:type="character" w:customStyle="1" w:styleId="63">
    <w:name w:val="DataTypeTok"/>
    <w:qFormat/>
    <w:uiPriority w:val="0"/>
    <w:rPr>
      <w:color w:val="204A87"/>
      <w:shd w:val="clear" w:color="auto" w:fill="F8F8F8"/>
    </w:rPr>
  </w:style>
  <w:style w:type="character" w:customStyle="1" w:styleId="64">
    <w:name w:val="DecValTok"/>
    <w:qFormat/>
    <w:uiPriority w:val="0"/>
    <w:rPr>
      <w:color w:val="0000CF"/>
      <w:shd w:val="clear" w:color="auto" w:fill="F8F8F8"/>
    </w:rPr>
  </w:style>
  <w:style w:type="character" w:customStyle="1" w:styleId="65">
    <w:name w:val="BaseNTok"/>
    <w:qFormat/>
    <w:uiPriority w:val="0"/>
    <w:rPr>
      <w:color w:val="0000CF"/>
      <w:shd w:val="clear" w:color="auto" w:fill="F8F8F8"/>
    </w:rPr>
  </w:style>
  <w:style w:type="character" w:customStyle="1" w:styleId="66">
    <w:name w:val="FloatTok"/>
    <w:qFormat/>
    <w:uiPriority w:val="0"/>
    <w:rPr>
      <w:color w:val="0000CF"/>
      <w:shd w:val="clear" w:color="auto" w:fill="F8F8F8"/>
    </w:rPr>
  </w:style>
  <w:style w:type="character" w:customStyle="1" w:styleId="67">
    <w:name w:val="ConstantTok"/>
    <w:qFormat/>
    <w:uiPriority w:val="0"/>
    <w:rPr>
      <w:color w:val="000000"/>
      <w:shd w:val="clear" w:color="auto" w:fill="F8F8F8"/>
    </w:rPr>
  </w:style>
  <w:style w:type="character" w:customStyle="1" w:styleId="68">
    <w:name w:val="CharTok"/>
    <w:uiPriority w:val="0"/>
    <w:rPr>
      <w:color w:val="4E9A06"/>
      <w:shd w:val="clear" w:color="auto" w:fill="F8F8F8"/>
    </w:rPr>
  </w:style>
  <w:style w:type="character" w:customStyle="1" w:styleId="69">
    <w:name w:val="SpecialCharTok"/>
    <w:qFormat/>
    <w:uiPriority w:val="0"/>
    <w:rPr>
      <w:color w:val="000000"/>
      <w:shd w:val="clear" w:color="auto" w:fill="F8F8F8"/>
    </w:rPr>
  </w:style>
  <w:style w:type="character" w:customStyle="1" w:styleId="70">
    <w:name w:val="StringTok"/>
    <w:qFormat/>
    <w:uiPriority w:val="0"/>
    <w:rPr>
      <w:color w:val="4E9A06"/>
      <w:shd w:val="clear" w:color="auto" w:fill="F8F8F8"/>
    </w:rPr>
  </w:style>
  <w:style w:type="character" w:customStyle="1" w:styleId="71">
    <w:name w:val="VerbatimStringTok"/>
    <w:qFormat/>
    <w:uiPriority w:val="0"/>
    <w:rPr>
      <w:color w:val="4E9A06"/>
      <w:shd w:val="clear" w:color="auto" w:fill="F8F8F8"/>
    </w:rPr>
  </w:style>
  <w:style w:type="character" w:customStyle="1" w:styleId="72">
    <w:name w:val="SpecialStringTok"/>
    <w:qFormat/>
    <w:uiPriority w:val="0"/>
    <w:rPr>
      <w:color w:val="4E9A06"/>
      <w:shd w:val="clear" w:color="auto" w:fill="F8F8F8"/>
    </w:rPr>
  </w:style>
  <w:style w:type="character" w:customStyle="1" w:styleId="73">
    <w:name w:val="ImportTok"/>
    <w:qFormat/>
    <w:uiPriority w:val="0"/>
    <w:rPr>
      <w:shd w:val="clear" w:color="auto" w:fill="F8F8F8"/>
    </w:rPr>
  </w:style>
  <w:style w:type="character" w:customStyle="1" w:styleId="74">
    <w:name w:val="CommentTok"/>
    <w:qFormat/>
    <w:uiPriority w:val="0"/>
    <w:rPr>
      <w:i/>
      <w:color w:val="8F5902"/>
      <w:shd w:val="clear" w:color="auto" w:fill="F8F8F8"/>
    </w:rPr>
  </w:style>
  <w:style w:type="character" w:customStyle="1" w:styleId="75">
    <w:name w:val="DocumentationTok"/>
    <w:qFormat/>
    <w:uiPriority w:val="0"/>
    <w:rPr>
      <w:b/>
      <w:i/>
      <w:color w:val="8F5902"/>
      <w:shd w:val="clear" w:color="auto" w:fill="F8F8F8"/>
    </w:rPr>
  </w:style>
  <w:style w:type="character" w:customStyle="1" w:styleId="76">
    <w:name w:val="AnnotationTok"/>
    <w:qFormat/>
    <w:uiPriority w:val="0"/>
    <w:rPr>
      <w:b/>
      <w:i/>
      <w:color w:val="8F5902"/>
      <w:shd w:val="clear" w:color="auto" w:fill="F8F8F8"/>
    </w:rPr>
  </w:style>
  <w:style w:type="character" w:customStyle="1" w:styleId="77">
    <w:name w:val="CommentVarTok"/>
    <w:qFormat/>
    <w:uiPriority w:val="0"/>
    <w:rPr>
      <w:b/>
      <w:i/>
      <w:color w:val="8F5902"/>
      <w:shd w:val="clear" w:color="auto" w:fill="F8F8F8"/>
    </w:rPr>
  </w:style>
  <w:style w:type="character" w:customStyle="1" w:styleId="78">
    <w:name w:val="OtherTok"/>
    <w:qFormat/>
    <w:uiPriority w:val="0"/>
    <w:rPr>
      <w:color w:val="8F5902"/>
      <w:shd w:val="clear" w:color="auto" w:fill="F8F8F8"/>
    </w:rPr>
  </w:style>
  <w:style w:type="character" w:customStyle="1" w:styleId="79">
    <w:name w:val="FunctionTok"/>
    <w:qFormat/>
    <w:uiPriority w:val="0"/>
    <w:rPr>
      <w:color w:val="000000"/>
      <w:shd w:val="clear" w:color="auto" w:fill="F8F8F8"/>
    </w:rPr>
  </w:style>
  <w:style w:type="character" w:customStyle="1" w:styleId="80">
    <w:name w:val="VariableTok"/>
    <w:qFormat/>
    <w:uiPriority w:val="0"/>
    <w:rPr>
      <w:color w:val="000000"/>
      <w:shd w:val="clear" w:color="auto" w:fill="F8F8F8"/>
    </w:rPr>
  </w:style>
  <w:style w:type="character" w:customStyle="1" w:styleId="81">
    <w:name w:val="ControlFlowTok"/>
    <w:qFormat/>
    <w:uiPriority w:val="0"/>
    <w:rPr>
      <w:b/>
      <w:color w:val="204A87"/>
      <w:shd w:val="clear" w:color="auto" w:fill="F8F8F8"/>
    </w:rPr>
  </w:style>
  <w:style w:type="character" w:customStyle="1" w:styleId="82">
    <w:name w:val="OperatorTok"/>
    <w:qFormat/>
    <w:uiPriority w:val="0"/>
    <w:rPr>
      <w:b/>
      <w:color w:val="CE5C00"/>
      <w:shd w:val="clear" w:color="auto" w:fill="F8F8F8"/>
    </w:rPr>
  </w:style>
  <w:style w:type="character" w:customStyle="1" w:styleId="83">
    <w:name w:val="BuiltInTok"/>
    <w:qFormat/>
    <w:uiPriority w:val="0"/>
    <w:rPr>
      <w:shd w:val="clear" w:color="auto" w:fill="F8F8F8"/>
    </w:rPr>
  </w:style>
  <w:style w:type="character" w:customStyle="1" w:styleId="84">
    <w:name w:val="ExtensionTok"/>
    <w:qFormat/>
    <w:uiPriority w:val="0"/>
    <w:rPr>
      <w:shd w:val="clear" w:color="auto" w:fill="F8F8F8"/>
    </w:rPr>
  </w:style>
  <w:style w:type="character" w:customStyle="1" w:styleId="85">
    <w:name w:val="PreprocessorTok"/>
    <w:qFormat/>
    <w:uiPriority w:val="0"/>
    <w:rPr>
      <w:i/>
      <w:color w:val="8F5902"/>
      <w:shd w:val="clear" w:color="auto" w:fill="F8F8F8"/>
    </w:rPr>
  </w:style>
  <w:style w:type="character" w:customStyle="1" w:styleId="86">
    <w:name w:val="AttributeTok"/>
    <w:qFormat/>
    <w:uiPriority w:val="0"/>
    <w:rPr>
      <w:color w:val="C4A000"/>
      <w:shd w:val="clear" w:color="auto" w:fill="F8F8F8"/>
    </w:rPr>
  </w:style>
  <w:style w:type="character" w:customStyle="1" w:styleId="87">
    <w:name w:val="RegionMarkerTok"/>
    <w:qFormat/>
    <w:uiPriority w:val="0"/>
    <w:rPr>
      <w:shd w:val="clear" w:color="auto" w:fill="F8F8F8"/>
    </w:rPr>
  </w:style>
  <w:style w:type="character" w:customStyle="1" w:styleId="88">
    <w:name w:val="InformationTok"/>
    <w:qFormat/>
    <w:uiPriority w:val="0"/>
    <w:rPr>
      <w:b/>
      <w:i/>
      <w:color w:val="8F5902"/>
      <w:shd w:val="clear" w:color="auto" w:fill="F8F8F8"/>
    </w:rPr>
  </w:style>
  <w:style w:type="character" w:customStyle="1" w:styleId="89">
    <w:name w:val="WarningTok"/>
    <w:uiPriority w:val="0"/>
    <w:rPr>
      <w:b/>
      <w:i/>
      <w:color w:val="8F5902"/>
      <w:shd w:val="clear" w:color="auto" w:fill="F8F8F8"/>
    </w:rPr>
  </w:style>
  <w:style w:type="character" w:customStyle="1" w:styleId="90">
    <w:name w:val="AlertTok"/>
    <w:qFormat/>
    <w:uiPriority w:val="0"/>
    <w:rPr>
      <w:color w:val="EF2929"/>
      <w:shd w:val="clear" w:color="auto" w:fill="F8F8F8"/>
    </w:rPr>
  </w:style>
  <w:style w:type="character" w:customStyle="1" w:styleId="91">
    <w:name w:val="ErrorTok"/>
    <w:uiPriority w:val="0"/>
    <w:rPr>
      <w:b/>
      <w:color w:val="A40000"/>
      <w:shd w:val="clear" w:color="auto" w:fill="F8F8F8"/>
    </w:rPr>
  </w:style>
  <w:style w:type="character" w:customStyle="1" w:styleId="92">
    <w:name w:val="NormalTok"/>
    <w:uiPriority w:val="0"/>
    <w:rPr>
      <w:shd w:val="clear" w:color="auto" w:fill="F8F8F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550</Words>
  <Characters>3137</Characters>
  <Lines>26</Lines>
  <Paragraphs>7</Paragraphs>
  <TotalTime>878</TotalTime>
  <ScaleCrop>false</ScaleCrop>
  <LinksUpToDate>false</LinksUpToDate>
  <CharactersWithSpaces>3680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2019-11-28T11:26:00Z</dcterms:created>
  <dc:creator>polyd</dc:creator>
  <cp:lastModifiedBy>polyd</cp:lastModifiedBy>
  <dcterms:modified xsi:type="dcterms:W3CDTF">2019-11-29T17:06:12Z</dcterms:modified>
  <dc:title>4.1 Распределение и историческая динамика смешанных поселений M.edulis и M.trossulus Кандалакшском заливе Белого моря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