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pPr>
      <w:r>
        <w:t>Factors regulating distribution of Mytilus trossulus and M.edulis in the Kandalaksha Bay of the White Sea</w:t>
      </w:r>
    </w:p>
    <w:p>
      <w:pPr>
        <w:pStyle w:val="3"/>
      </w:pPr>
      <w:bookmarkStart w:id="0" w:name="introduction"/>
      <w:r>
        <w:t>Introduction</w:t>
      </w:r>
    </w:p>
    <w:p>
      <w:r>
        <w:t xml:space="preserve">Blue mussels (genera </w:t>
      </w:r>
      <w:r>
        <w:rPr>
          <w:i/>
          <w:iCs/>
        </w:rPr>
        <w:t>Mytilus</w:t>
      </w:r>
      <w:r>
        <w:t>) being powerful ecosystem engineers (Günther, 1996; Commito &amp; Rusignuolo, 2000; Arribas et al., 2014; Khalaman et al. 2021) play an important role in structuring coastal communities in the seas of the Northern Hemisphere (Buschbaum et al. 2009). Dense assemblages of these mollusks create habitats for a number of animals, plants and microorganisms inhabiting the biogenic environment created by mussels (Tsuchia &amp; Nishihira, 1985, 1986; Dittman 1990; Khaitov 2013; Khalaman et al 2021 +++). On the other hand, mussels play a crucial role as a food for numerous consumers such as dog whelks (Hunt, Sheibling 1998), crabs (Chakravarti, Cotton, 2013; Lowen et al, 2013; Wójcik et al. 2015 ), starfish (Nauen, 1978; Dare 1982; Kautsky et al., 1990; Seed, Suchanek, 1992; Gaymer et al., 2001; Saier 2001 ), fish (Lappalainen et al, 2005), birds (Norton-Griffiths, 1967; Beukema et al., 2010; Ens, Goss-Custardt, 1984), and humans, both ancient (Colonese et al., 2011) and modern (Dias et al., 2011).</w:t>
      </w:r>
    </w:p>
    <w:p>
      <w:pPr>
        <w:pStyle w:val="8"/>
      </w:pPr>
      <w:r>
        <w:t xml:space="preserve">In recent decades one of the significant challenges in the investigation of the ecological role of mussels is their taxonomic heterogeneity. Thus, three closely related, cryptic, species </w:t>
      </w:r>
      <w:r>
        <w:rPr>
          <w:i/>
          <w:iCs/>
        </w:rPr>
        <w:t>M. galloprovincialis</w:t>
      </w:r>
      <w:r>
        <w:t xml:space="preserve">, </w:t>
      </w:r>
      <w:r>
        <w:rPr>
          <w:i/>
          <w:iCs/>
        </w:rPr>
        <w:t>M. edulis</w:t>
      </w:r>
      <w:r>
        <w:t xml:space="preserve"> (thereafter ME) and </w:t>
      </w:r>
      <w:r>
        <w:rPr>
          <w:i/>
          <w:iCs/>
        </w:rPr>
        <w:t>M. trossulus</w:t>
      </w:r>
      <w:r>
        <w:t xml:space="preserve"> (MT) can form mixed settlements in North Atlantic seas (Varvio et al., 1988; Hilbish et al., 2000; Mathiesen et al. ++++; Brooks, Farmen, 2013; Riginos, Cunningham, 2005; Katolikova et al. 2016; Vainola, Strelkov 2011; Wenne et al. 2020). The genetic effects occurring in such contact zones are well described (Bierne et al., 2002; Bierne et al., 2003; Simon et al., 2019). These cryptic species keepin their relative genetic isolation (hybrides are rare) but are involved in limited introgressive hybridization (Michalek et al 2016; Simon et al, 2019 and references therein). Introgressive hybridization leads to a redistribution of alleles between species genofonds (+++) and as a result to shifts of some morphological traits which could be important from an ecological point of view (e.g. shell thickness, see Michalek et al., 2021).</w:t>
      </w:r>
    </w:p>
    <w:p>
      <w:pPr>
        <w:pStyle w:val="8"/>
      </w:pPr>
      <w:r>
        <w:t>At the same time, it is unclear whether the ecological role of cryptic mussel species differs when they form mixed populations. In some cases, ecologists turn a blind eye to the presence of several mussel species, continuing to believe that a single species is represented in their region (Khalaman et al. 2021), although genetic investigations revealed two different species (Katolikova et al., 2016). Another approach is to designate the cryptic species complex as “</w:t>
      </w:r>
      <w:r>
        <w:rPr>
          <w:i/>
          <w:iCs/>
        </w:rPr>
        <w:t>Mytilus</w:t>
      </w:r>
      <w:r>
        <w:t xml:space="preserve"> spp.” (Leopold et al 2019). Both approaches have the potential to coarsen results and lose some ecologically important patterns (Beyer et al. 2017) because different mussel species interact differently with both natural abiotic factors (see below) and pollutants (Lobel et al., 1990; Beyer et al., 2017). Clear different patterns in the interactions of coexisting mussel species with biotic components of ecosystems were revealed. For example, predators have been shown to distinguish between MT and ME in mixed settlements, favoring one of them (Khaitov et al. 2018). Different mussel species, in turn, show a different arsenal of defenses against predators (Lowen et al., 2013). The most striking difference in the relationship of cryptic mussel species with high-level consumers is their different commercial value when mussels as aquaculture target (Mallet et al., 1995; Penney et al. 2002; Beaumont et al., 2008; Dias et al., 2011).</w:t>
      </w:r>
    </w:p>
    <w:p>
      <w:pPr>
        <w:pStyle w:val="8"/>
      </w:pPr>
      <w:r>
        <w:t>In light of the above, it seems important to develop approaches to the analysis of the ecological role of mussels, taking into account their taxonomic heterogeneity. The primary task, if moving in this direction, becomes to understand what factors regulate the distribution of species: in which environment one species should be in abundance and in which the other.</w:t>
      </w:r>
    </w:p>
    <w:p>
      <w:pPr>
        <w:pStyle w:val="8"/>
      </w:pPr>
      <w:r>
        <w:t>In this paper, we will consider the case where ME and MT come into contact, forming mixed populations. At least seven such contact zones are currently known in the North Atlantic: West Greenland, the coast of North America from the Gulf of Maine to Hudson Bay, northeastern Scotland, the western Baltic Sea, western Norway (Vainola, Strelkov, 2011; Wenne et al. 2016; Wenne et al. 2020), the coast of the Kola Peninsula in the Barents Sea (Vainola and Strelkov, 2011; Khaitov et al. 2021), and the coast of the Kandalaksha Bay of the White Sea (Katolikova et al. 2016; Khaitov et al, 2021).</w:t>
      </w:r>
    </w:p>
    <w:p>
      <w:pPr>
        <w:pStyle w:val="8"/>
      </w:pPr>
      <w:r>
        <w:t>A common feature of all these contact zones is the spatial segregation of MT and ME. The proportion of MT:ME in the contact zones can change along some key gradients of the environmental parameters (Väinölä and Hvilsom 1991; Riginos and Cunningham 2005; Väinölä and Strelkov 2011) and the spatial structure of this gradient can change over time (Strelkov et al., 2017). However, some cases of mosaic distribution of MT and ME have also been described, when spots of higher concentrations of one or other species are present within the region (Moreau et al., 2006; Katolikova et al., 2016; Wenne et al. 2020). The spatial scale of this patchness can range from several kilometers (Moreau et al., 2005; Moreau et al., 2006 report) to a few meters (Katolikova et al., 2016).</w:t>
      </w:r>
    </w:p>
    <w:p>
      <w:pPr>
        <w:pStyle w:val="8"/>
      </w:pPr>
      <w:r>
        <w:t xml:space="preserve">On a biogeographic scale, the distribution of </w:t>
      </w:r>
      <w:r>
        <w:rPr>
          <w:i/>
          <w:iCs/>
        </w:rPr>
        <w:t>Mytilus</w:t>
      </w:r>
      <w:r>
        <w:t xml:space="preserve"> species is thought to be regulated by regional temperature and its correlates (Popovic &amp; Riginos, 2019; Wenne et al., 2020). MT is believed to be a more northerly species, more tolerant to cold waters inhabiting areas that once existed in glaciation zones. ME potentially can distribute in cold waters but tend to form settlements in more temperate latitudes (Wenne et al., 2020). At the same time there is no clear latitudinal gradient in the distribution of MT and ME: in the more southern regions, the Baltic Sea, MT-dominated settlements are observed (Vainoal and Strelkov, 2011; Kiewsky et al. 2019), and in the high Arctic areas, Svalbard, mussel settlements formed by ME (Wenne et al., 2020).</w:t>
      </w:r>
    </w:p>
    <w:p>
      <w:pPr>
        <w:pStyle w:val="8"/>
      </w:pPr>
      <w:r>
        <w:t>Salinity is often considered as a key factor regulating the spatial segregation of species in local ME and MT contact zones. MT are thought to gravitate toward areas of more freshened water, and ME toward areas with higher salinity (Riginos &amp; Cunningham, 2005; Ridgway &amp; Naewdal, 2004; Kijewski et al., 2019; Ridgway &amp; Naevdal, 2004). For example, MTs form virtually single-species settlements in the heavily freshened Baltic Sea (Gosling, 1992; Vainola Strelkov, 2011). A change in the dominant species occurs when crossing the Danish straits toward the North Sea with normal salinity (Kijewski et al., 2019). In other contact areas (Gulf of St. Lawrence, Mareau et al. 2005, Bergen area, Ridgway &amp; Naevdal, 2004) a similar pattern is observed: MT settlements are represented in the most desalinated areas .</w:t>
      </w:r>
    </w:p>
    <w:p>
      <w:pPr>
        <w:pStyle w:val="8"/>
      </w:pPr>
      <w:r>
        <w:t>Wave action is also considered as an important factor separating species in space. MT has been shown to gravitate toward more turbulent habitats and ME toward quieter areas (Tam, Scrosati, 2014; Comesaña et al., 1999; Bates, Innes, 1995; Innes and Bates, 1999 Проверить в каком Innes что говорится). The pattern of species segregation by substrate has also been attempted to be linked to surf exposure (Katolikova et al, 2016): MT tended toward fuchcoid thalli, and ME toward the surface of bottom stony substrates. The authors (Katolikova et al, 2016) suggested that fucoids act as shock absorbers, mitigating the impact of surf damaging MT which possess thinner and more fragile shells (Beaumont et al, 2008; Michalek et al, 2021). Importantly, in the last case, an inverse relationship is assumed: MT avoids surf-exposed areas. However, in some studies, when the material collection design was specifically adapted to study of the surf effects, the role of this factor in the regulation of the MT:ME ratio has not been proven (Moreau et al., 2005).</w:t>
      </w:r>
    </w:p>
    <w:p>
      <w:pPr>
        <w:pStyle w:val="8"/>
      </w:pPr>
      <w:r>
        <w:t>Another explanation of the spatial segregation of MT and ME can be related to the history of formation of the contact zone. For example, it is believed that in the Barents and White Seas, where initially only ME were represented, the MT settlements appeared as a result of the introduction of this species from the coast of North America by ships performing transatlantic traffic during the World War II (Vainola, Strelkov, 2011). According to the authors, the increased concentration of MT is observed in the port areas (Vainola and Strelkov, 2011; Katolikova et al. 2016), where this species was originally introduced.</w:t>
      </w:r>
    </w:p>
    <w:p>
      <w:pPr>
        <w:pStyle w:val="8"/>
      </w:pPr>
      <w:r>
        <w:t>We can see a large spectrum of factors (salinity, wave action, proximity to harbor, and substrate type) which were considered as possible agents regulating the spatial segregation of ME and MT. Moreover, some correlations that seem obvious may have a different interpretation. For example, the relationship of high abundance of MT with reduced salinity can be interpreted by another way: the most desalinated areas (river mouths) are often also the quietest areas with minimal wave impact. Port structures, similarly, are often represented in the most sheltered and frequently desalinated areas. Thus, there is no strict evidence for the role of one or another factor in the regulation of species distribution.</w:t>
      </w:r>
    </w:p>
    <w:p>
      <w:pPr>
        <w:pStyle w:val="8"/>
      </w:pPr>
      <w:r>
        <w:t>The only way to solve this problem is to include all predictors potentially affecting the composition of mixed settlements in one regression model. Such studies have been attempted before (Kijewski et al., 2019; Wenne et al., 2020) and allowed to show a clear relationship of the MT:ME ratio primarily with salinity and temperature. However, in the mentioned works, the populations involved in the analysis were scattered over a very wide geographic range, with distances between them reaching hundreds and thousands of kilometers. On the other hand, the gradients of the key factors can vary on much smaller spatial scales. For example, salinity, as a prime candidate regulating the MT:ME ratio, can vary significantly on scales of hundreds of meters or a few kilometers in small river estuaries (+++). Does this mean that the MT:ME ratio will show a relationship with salinity at these scales as well? Importantly, other candidate factors (connection to ports, surf level, substrate character) may vary at even smaller spatial scales.</w:t>
      </w:r>
    </w:p>
    <w:p>
      <w:pPr>
        <w:pStyle w:val="8"/>
      </w:pPr>
      <w:r>
        <w:t xml:space="preserve">The contact zone of MT and ME found in the relatively small Kandalaksha Bay of the White Sea (Katolikova et al., 2016) is extremely convenient for investigation of the role of one or another factor in the regulation of the MT:ME ratio. Firstly, salinity gradients are well expressed here. The salinity variation is determined by the inflow of several large rivers into the sea (+++++ Katolikova et al., 2016). Secondly, the coast of the gulf possesses numerous sheltered areas (numerous bays and skerries) and areas open to the surf. Third, there are several active and several abandoned ports (Fig. +). Fourth, the fucoid belt is almost ubiquitous on the intertidal zone of the bay, mussels settle both on algae and on the ground surface throughout the bay (Katolikova et al., 2016), which allows us to assess the role of substrate in the regulation of microscale species segregation.Fifth, the small size of the Kandalaksha Bay (Fig. 1) ensures that there are no clear temperature gradients in both warm and cold seasons (++++). Therefore, the influence of temperature, which probably regulates the distribution of </w:t>
      </w:r>
      <w:r>
        <w:rPr>
          <w:i/>
          <w:iCs/>
        </w:rPr>
        <w:t>Mytilus</w:t>
      </w:r>
      <w:r>
        <w:t xml:space="preserve"> species on a broader geographic scale (Wenne et al. 2020) or in areas where clear water temperature gradients exist (Hayhurst &amp; Rawson, 2009), can be excluded from the discussion.</w:t>
      </w:r>
    </w:p>
    <w:p>
      <w:pPr>
        <w:pStyle w:val="8"/>
      </w:pPr>
      <w:r>
        <w:t>Finally, it was shown that in the Kandalaksha Bay genetic manipulations aimed at species identification can be replaced by a simple “morphotype test” based on the study of an easy to observe conchological trait (Khaitov et al. 2021). The results of this test allow identifying mussel species with sufficient accuracy (Khaitov et al. 2021). This makes it possible to process large material amount (hundreds of samples and thousands of mussels), which is necessary for revealing ecological patterns and which could not be processed using genetic technologies of species identification, the collections for which are limited as a rule to units of sites with only a few dozens of individuals involved into processing (Moreau et al., 2005).</w:t>
      </w:r>
    </w:p>
    <w:p>
      <w:pPr>
        <w:pStyle w:val="8"/>
      </w:pPr>
      <w:r>
        <w:t>In this paper, based on the large material collected in the Kandalaksha Bay of the White Sea, we will conduct a regression analysis including all the above candidate factors into one model and estimate the strength of their influence on the ratio of abundance of the two mussel species.</w:t>
      </w:r>
    </w:p>
    <w:bookmarkEnd w:id="0"/>
    <w:p>
      <w:pPr>
        <w:pStyle w:val="3"/>
      </w:pPr>
      <w:bookmarkStart w:id="1" w:name="material-and-methods"/>
      <w:r>
        <w:t>Material and methods</w:t>
      </w:r>
    </w:p>
    <w:p>
      <w:bookmarkStart w:id="2" w:name="field-collections"/>
      <w:r>
        <w:t>Field collections</w:t>
      </w:r>
    </w:p>
    <w:p>
      <w:r>
        <w:t>The material was sampled on the intertidal of the mainland and the islands of the Kandalaksha Bay of the White Sea (Fig. ++). Collections were carried out in July-August in 2011-2018 at 95 sites. At each site, three bundles of fucoids were randomly collected inside of the fucoid belt and considered as three different samples, which will further be denoted as “Algae” samples. In addition three samples from the bottom surface (thereafter “Bottom” samples) were collected. For the “Bottom” sampling we chose mussels patches on the stones surface or on the muddy-sand bottom within the very same fucoid belt. A 1/40-square-meter square frame was placed on these patches, and all mollusks were sampled from the frame area. The distance between sampling points (both “Algae” and “Bottom” ) within one site did not exceed 20 m. Geographic coordinates were determined for each site (i.e., the same coordinates were assigned to each sample within the same site). Each sample was placed in a plastic bag and transported to the laboratory.</w:t>
      </w:r>
    </w:p>
    <w:p>
      <w:r>
        <w:drawing>
          <wp:inline distT="0" distB="0" distL="114300" distR="114300">
            <wp:extent cx="5382260" cy="4932045"/>
            <wp:effectExtent l="0" t="0" r="0" b="0"/>
            <wp:docPr id="1" name="Picture" descr="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1 Sampling sites. The size of points is proportional to average wind fetch. The fill of points represent salinity"/>
                    <pic:cNvPicPr>
                      <a:picLocks noChangeAspect="1" noChangeArrowheads="1"/>
                    </pic:cNvPicPr>
                  </pic:nvPicPr>
                  <pic:blipFill>
                    <a:blip r:embed="rId8"/>
                    <a:stretch>
                      <a:fillRect/>
                    </a:stretch>
                  </pic:blipFill>
                  <pic:spPr>
                    <a:xfrm>
                      <a:off x="0" y="0"/>
                      <a:ext cx="5382594" cy="4932264"/>
                    </a:xfrm>
                    <a:prstGeom prst="rect">
                      <a:avLst/>
                    </a:prstGeom>
                    <a:noFill/>
                    <a:ln w="9525">
                      <a:noFill/>
                    </a:ln>
                  </pic:spPr>
                </pic:pic>
              </a:graphicData>
            </a:graphic>
          </wp:inline>
        </w:drawing>
      </w:r>
    </w:p>
    <w:p>
      <w:r>
        <w:t>Fig. 1 Sampling sites. The size of points is proportional to average wind fetch. The fill of points represent salinity</w:t>
      </w:r>
    </w:p>
    <w:p>
      <w:pPr>
        <w:pStyle w:val="8"/>
      </w:pPr>
      <w:r>
        <w:t>The mussels were separated from the fucoids or washed from the sediment (sieve with a mesh diameter of 1 mm). Only mussels with a shell length greater than 10 mm were involved in further processing. These mussels were boiled, soft tissues were removed, and the shells were dried.</w:t>
      </w:r>
    </w:p>
    <w:p>
      <w:pPr>
        <w:pStyle w:val="8"/>
      </w:pPr>
      <w:r>
        <w:t xml:space="preserve">Analysis of the inner surface of the shell allowed us to assign each mussel to one of two morphotypes (Khaitov et al., 2021). Mussels in which a band of the prismatic layer was visible below the ligament nympha (Zolotarev &amp; Shurova, 1997; Kepel &amp; Ozolinsh, 1992; Katolikova et al., 2016; Khaitov et al., 2018; Khaitov et al., 2021) were assigned to the T-morphotype. If the nacreous layer closely adjoined the lygament nymph, such mussels were assigned to the E-morphotype (for morphortype images, see Khaitov et al., 2018; Khaitov et al., 2021). When determining the morphotype, the right valve was analyzed (in cases of doubt, both valves were inspected). According to previously published data in the study region, 74% of mussels with multilocus genotypes dominated by </w:t>
      </w:r>
      <w:r>
        <w:rPr>
          <w:i/>
          <w:iCs/>
        </w:rPr>
        <w:t>M. trossulus</w:t>
      </w:r>
      <w:r>
        <w:t xml:space="preserve"> genes, possess a T-morphotype, and 96% of mussels dominated by </w:t>
      </w:r>
      <w:r>
        <w:rPr>
          <w:i/>
          <w:iCs/>
        </w:rPr>
        <w:t>M. edulis</w:t>
      </w:r>
      <w:r>
        <w:t xml:space="preserve"> genes exhibit an E-morphotype (Katolikova et al., 2016).</w:t>
      </w:r>
    </w:p>
    <w:p>
      <w:pPr>
        <w:pStyle w:val="8"/>
      </w:pPr>
      <w:r>
        <w:t>The number of T- and E-morphotype mussels in each sample was counted and proportion of T-morphotype mussels (PT) was calculated. Additionally this proportion was assessed for each site (the total number of T-morphotype mussels collected at this site divided by total number specimens collected). The proportion of MTs (Ptros) in mixed populations in the White Sea is strongly correlated with PT. The Ptros value can be recalculated from PT using the following formula (Khaitov et al., 2021):</w:t>
      </w:r>
    </w:p>
    <w:p>
      <w:pPr>
        <w:pStyle w:val="8"/>
      </w:pPr>
      <m:oMathPara>
        <m:oMathParaPr>
          <m:jc m:val="center"/>
        </m:oMathParaPr>
        <m:oMath>
          <m:r>
            <m:rPr/>
            <m:t>Ptros</m:t>
          </m:r>
          <m:r>
            <m:rPr>
              <m:sty m:val="p"/>
            </m:rPr>
            <m:t>=</m:t>
          </m:r>
          <m:f>
            <m:fPr/>
            <m:num>
              <m:sSup>
                <m:sSupPr/>
                <m:e>
                  <m:r>
                    <m:rPr/>
                    <m:t>e</m:t>
                  </m:r>
                </m:e>
                <m:sup>
                  <m:r>
                    <m:rPr>
                      <m:sty m:val="p"/>
                    </m:rPr>
                    <m:t>−</m:t>
                  </m:r>
                  <m:r>
                    <m:rPr/>
                    <m:t>2.4</m:t>
                  </m:r>
                  <m:r>
                    <m:rPr>
                      <m:sty m:val="p"/>
                    </m:rPr>
                    <m:t>+</m:t>
                  </m:r>
                  <m:r>
                    <m:rPr/>
                    <m:t>5.4PT</m:t>
                  </m:r>
                </m:sup>
              </m:sSup>
            </m:num>
            <m:den>
              <m:r>
                <m:rPr/>
                <m:t>1</m:t>
              </m:r>
              <m:r>
                <m:rPr>
                  <m:sty m:val="p"/>
                </m:rPr>
                <m:t>+</m:t>
              </m:r>
              <m:sSup>
                <m:sSupPr/>
                <m:e>
                  <m:r>
                    <m:rPr/>
                    <m:t>e</m:t>
                  </m:r>
                </m:e>
                <m:sup>
                  <m:r>
                    <m:rPr>
                      <m:sty m:val="p"/>
                    </m:rPr>
                    <m:t>−</m:t>
                  </m:r>
                  <m:r>
                    <m:rPr/>
                    <m:t>2.4</m:t>
                  </m:r>
                  <m:r>
                    <m:rPr>
                      <m:sty m:val="p"/>
                    </m:rPr>
                    <m:t>+</m:t>
                  </m:r>
                  <m:r>
                    <m:rPr/>
                    <m:t>5.4PT</m:t>
                  </m:r>
                </m:sup>
              </m:sSup>
            </m:den>
          </m:f>
        </m:oMath>
      </m:oMathPara>
    </w:p>
    <w:p>
      <w:r>
        <w:t>Thereafter we assume the PT as a proxy for MT:ME ratio.</w:t>
      </w:r>
    </w:p>
    <w:p>
      <w:pPr>
        <w:pStyle w:val="8"/>
      </w:pPr>
      <w:r>
        <w:t>In total we processed material from 570 samples, from which 55500 specimens were inspected using morphotype-test. The mean number of mussels collected per sample was 97 (SD = 97, minimal mussel number 2, maximal amount 785).</w:t>
      </w:r>
    </w:p>
    <w:bookmarkEnd w:id="2"/>
    <w:p>
      <w:bookmarkStart w:id="3" w:name="assessment-of-environmental-parameters"/>
      <w:r>
        <w:t>Assessment of environmental parameters</w:t>
      </w:r>
    </w:p>
    <w:p>
      <w:r>
        <w:t>The focus of this work was to examine the effects of substrate, salinity, surf level, and proximity to port. Some of these parameters were measured directly but for others several proxies were considered.</w:t>
      </w:r>
    </w:p>
    <w:p>
      <w:pPr>
        <w:pStyle w:val="8"/>
      </w:pPr>
      <w:r>
        <w:t>The nature of the substrate (Algae vs Bottom) was characterized by where the corresponding sample was taken from. The degree of proximity to port was estimated as the straight line distance (not accounting shoreline bends) from the sampling site to the nearest of the 5 large ports presented in the area (Fig++, Table ++). Additionally each port was assigned to one of two categories: “Active” if at the time of sampling the port was serving heavy-tonnage vessels plying out of the White Sea, or “Abandoned” if the port served only small vessels cruising within the White Sea, or was completely abandoned at the time of sampling. Earlier all abandoned ports (at least during World War II, before it or immediately after it) served heavy-tonnage vessels plying between the White Sea and the Barents Sea.</w:t>
      </w:r>
    </w:p>
    <w:p>
      <w:r>
        <w:t>Table +. Ports presented in the Kandalaksha bay</w:t>
      </w:r>
    </w:p>
    <w:tbl>
      <w:tblPr>
        <w:tblStyle w:val="6"/>
        <w:tblW w:w="0" w:type="pct"/>
        <w:tblCaption w:val="Table +. Ports presented in the Kandalaksha bay"/>
        <w:tblInd w:w="0" w:type="dxa"/>
        <w:tblLayout w:type="autofit"/>
        <w:tblCellMar>
          <w:top w:w="0" w:type="dxa"/>
          <w:left w:w="108" w:type="dxa"/>
          <w:bottom w:w="0" w:type="dxa"/>
          <w:right w:w="108" w:type="dxa"/>
        </w:tblCellMar>
      </w:tblPr>
      <w:tblGrid>
        <w:gridCol w:w="1249"/>
        <w:gridCol w:w="1138"/>
        <w:gridCol w:w="966"/>
        <w:gridCol w:w="1039"/>
      </w:tblGrid>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Port</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Status</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Latitude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Longitude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Kandalaksha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Active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67.13728</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32.40799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Vitino</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Active</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67.07657</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32.33363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Umba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66.67797</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34.35766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Chupa</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66.26996</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33.06953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Sredny</w:t>
            </w:r>
          </w:p>
        </w:tc>
        <w:tc>
          <w:p>
            <w:pPr>
              <w:keepNext w:val="0"/>
              <w:keepLines w:val="0"/>
              <w:pageBreakBefore w:val="0"/>
              <w:widowControl/>
              <w:kinsoku/>
              <w:wordWrap/>
              <w:overflowPunct/>
              <w:topLinePunct w:val="0"/>
              <w:autoSpaceDE/>
              <w:autoSpaceDN/>
              <w:bidi w:val="0"/>
              <w:adjustRightInd/>
              <w:snapToGrid/>
              <w:spacing w:after="0"/>
              <w:ind w:firstLine="0"/>
              <w:jc w:val="left"/>
              <w:textAlignment w:val="auto"/>
              <w:rPr>
                <w:sz w:val="20"/>
                <w:szCs w:val="20"/>
              </w:rPr>
            </w:pPr>
            <w:r>
              <w:rPr>
                <w:sz w:val="20"/>
                <w:szCs w:val="20"/>
              </w:rPr>
              <w:t>Abandoned</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66.29418</w:t>
            </w:r>
          </w:p>
        </w:tc>
        <w:tc>
          <w:p>
            <w:pPr>
              <w:keepNext w:val="0"/>
              <w:keepLines w:val="0"/>
              <w:pageBreakBefore w:val="0"/>
              <w:widowControl/>
              <w:kinsoku/>
              <w:wordWrap/>
              <w:overflowPunct/>
              <w:topLinePunct w:val="0"/>
              <w:autoSpaceDE/>
              <w:autoSpaceDN/>
              <w:bidi w:val="0"/>
              <w:adjustRightInd/>
              <w:snapToGrid/>
              <w:spacing w:after="0"/>
              <w:ind w:firstLine="0"/>
              <w:jc w:val="right"/>
              <w:textAlignment w:val="auto"/>
              <w:rPr>
                <w:sz w:val="20"/>
                <w:szCs w:val="20"/>
              </w:rPr>
            </w:pPr>
            <w:r>
              <w:rPr>
                <w:sz w:val="20"/>
                <w:szCs w:val="20"/>
              </w:rPr>
              <w:t>33.64066</w:t>
            </w:r>
          </w:p>
        </w:tc>
      </w:tr>
    </w:tbl>
    <w:p>
      <w:pPr>
        <w:pStyle w:val="8"/>
        <w:rPr>
          <w:i/>
          <w:iCs/>
        </w:rPr>
      </w:pPr>
    </w:p>
    <w:p>
      <w:pPr>
        <w:pStyle w:val="8"/>
      </w:pPr>
      <w:r>
        <w:rPr>
          <w:i/>
          <w:iCs/>
        </w:rPr>
        <w:t>Wind fetch as a proxy for wave impact</w:t>
      </w:r>
      <w:r>
        <w:t>. When selecting sampling sites, we assumed that collections should characterize both surf and sheltered habitats. Each site was visually assigned to one of two categories: “Exposed” (sites located on open shores exposed to waves coming from the open part of the bay) or “Sheltered” (sites located in bays or skerries). For a more formal assessment, the value of wind fetch was calculated for each site (Seers, 2018). It is calculated as the unobstructed length of water surface (in km) over which wind from a certain direction can blow over. These values can be obtained from the analysis of geographical maps of the region. To calculate the wind fetch value, the package “fetchR” was used (Seers, 2018). The higher the fetch from a certain direction, the more impact could potentially be brought by waves. Wind fetch was measured for each site from all directions (North, East, South, and West, Fig. ++) but as a value for the further analysis we used an averaged fetch value.</w:t>
      </w:r>
    </w:p>
    <w:p>
      <w:pPr>
        <w:pStyle w:val="8"/>
      </w:pPr>
      <w:r>
        <w:rPr>
          <w:i/>
          <w:iCs/>
        </w:rPr>
        <w:t>Salinity</w:t>
      </w:r>
      <w:r>
        <w:t>. Water samples were taken at each site when mussels were colleced, i.e. in the time of low tide. The salinity was determined using a hand-held refractometer (++++, with 1 ppm accuracy). However, salinity measured directly at the sampling site poorly reflects the salinity regime in the site due to its fluctuations during the tidal cycle and due to weather conditions (waving, precipitation etc.). Therefore, as an additional estimate of the desalination level in a given site, we used the characteristics of fresh water discharging sources closest to the sampling site (rivers, cooling channels of hydroelectric power plants).</w:t>
      </w:r>
    </w:p>
    <w:p>
      <w:pPr>
        <w:pStyle w:val="8"/>
      </w:pPr>
      <w:r>
        <w:t xml:space="preserve">In total, 24 rivers are present in the region (Table +), information about which is present in open sources ( Государственный водный реестр : [арх. 15 октября 2013] / Минприроды России. — 2009.; </w:t>
      </w:r>
      <w:r>
        <w:fldChar w:fldCharType="begin"/>
      </w:r>
      <w:r>
        <w:instrText xml:space="preserve"> HYPERLINK "http://www.mnr.gov.ru/files/part/0306_perechen.rar" \h </w:instrText>
      </w:r>
      <w:r>
        <w:fldChar w:fldCharType="separate"/>
      </w:r>
      <w:r>
        <w:rPr>
          <w:rStyle w:val="20"/>
        </w:rPr>
        <w:t>http://www.mnr.gov.ru/files/part/0306_perechen.rar</w:t>
      </w:r>
      <w:r>
        <w:rPr>
          <w:rStyle w:val="20"/>
        </w:rPr>
        <w:fldChar w:fldCharType="end"/>
      </w:r>
      <w:r>
        <w:t>), in addition, 2 powerful freshwater dischargers (HPP canals) were included in the analysis. For each river, we assessed the catchment basin area and coordinates of its mouth. For HPP canals and one of the rivers, this information was obtained by visual analysis of geographical maps. Each of the rivers was assigned to one of two categories: “Large” (rivers with a catchment area of at least 240 square kilometers) and “Small” (catchment area of less than 240 square kilometers). The median catchment area of all rivers in the study region was used as the boundary between the categories (Table ++).</w:t>
      </w:r>
    </w:p>
    <w:p>
      <w:pPr>
        <w:pStyle w:val="8"/>
      </w:pPr>
      <w:r>
        <w:t>We calculated the distance (straight line, not accounting shoreline bends) from each sampling site to the mouth of the nearest river. In further analysis, this value was used as a continuous predictor. We considered the categorical value corresponding to the size of the nearest river as another predictor characterizing the desalinization level at the sampling site. Thus salinity was characterized by three values: directly measured salinity, distance to the nearest river and the nearest river size.</w:t>
      </w:r>
    </w:p>
    <w:p>
      <w:r>
        <w:t>Table +. Parameters of river and other fresh-water discharging source associated with Kandalaksha bay.</w:t>
      </w:r>
    </w:p>
    <w:tbl>
      <w:tblPr>
        <w:tblStyle w:val="6"/>
        <w:tblW w:w="5000" w:type="pct"/>
        <w:tblCaption w:val="Table +. Parameters of river and other fresh-water discharging source associated with Kandalaksha bay."/>
        <w:tblInd w:w="0" w:type="dxa"/>
        <w:tblLayout w:type="autofit"/>
        <w:tblCellMar>
          <w:top w:w="0" w:type="dxa"/>
          <w:left w:w="108" w:type="dxa"/>
          <w:bottom w:w="0" w:type="dxa"/>
          <w:right w:w="108" w:type="dxa"/>
        </w:tblCellMar>
      </w:tblPr>
      <w:tblGrid>
        <w:gridCol w:w="2756"/>
        <w:gridCol w:w="1253"/>
        <w:gridCol w:w="1427"/>
        <w:gridCol w:w="1222"/>
        <w:gridCol w:w="1332"/>
        <w:gridCol w:w="2200"/>
      </w:tblGrid>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River</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Drainage Area sq. km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River 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Mouth Latitude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Mauth Longitude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Number of sampling sites near the river</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Chernaya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66.51896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32.94966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Gridina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540.0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65.92462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34.65846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Keret</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3360.0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66.28172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33.58034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Knyazhegubskaya HPР channel</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Large</w:t>
            </w:r>
            <w:r>
              <w:rPr>
                <w:rFonts w:hint="default"/>
                <w:sz w:val="20"/>
                <w:szCs w:val="20"/>
                <w:lang w:val="en-US"/>
              </w:rPr>
              <w:t xml:space="preserve"> (map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66.87178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32.40742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Kolvitsa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1260.0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67.08320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32.99110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Kovda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26100.0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66.69549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32.87103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Kuzreka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255.0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66.59999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34.81303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Kyatka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204.0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65.88838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34.68294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Lupche-Savino</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67.16291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32.34259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Luvenga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175.0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67.10037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32.69313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Nilma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66.50577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33.13507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8</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Niva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12800.0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67.13027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32.41825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9</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Nivskaya HPР channel</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Large</w:t>
            </w:r>
            <w:r>
              <w:rPr>
                <w:rFonts w:hint="default"/>
                <w:sz w:val="20"/>
                <w:szCs w:val="20"/>
                <w:lang w:val="en-US"/>
              </w:rPr>
              <w:t xml:space="preserve"> </w:t>
            </w:r>
            <w:r>
              <w:rPr>
                <w:rFonts w:hint="default"/>
                <w:sz w:val="20"/>
                <w:szCs w:val="20"/>
                <w:lang w:val="en-US"/>
              </w:rPr>
              <w:t>(map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67.15676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32.37713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Olenitsa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66.45276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35.30060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Pila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313.0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66.78056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34.15745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Plavezhma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w:r>
              <w:rPr>
                <w:sz w:val="20"/>
                <w:szCs w:val="20"/>
              </w:rPr>
              <w:t>Small</w:t>
            </w:r>
            <w:r>
              <w:rPr>
                <w:rFonts w:hint="default"/>
                <w:sz w:val="20"/>
                <w:szCs w:val="20"/>
                <w:lang w:val="en-US"/>
              </w:rPr>
              <w:t xml:space="preserve"> </w:t>
            </w:r>
            <w:r>
              <w:rPr>
                <w:rFonts w:hint="default"/>
                <w:sz w:val="20"/>
                <w:szCs w:val="20"/>
                <w:lang w:val="en-US"/>
              </w:rPr>
              <w:t>(map analysis)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66.25417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33.00065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Porya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66.81954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33.55116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Pulonga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630.0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66.30251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33.27729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Ryasanka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66.73710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33.44663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Salnitsa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66.37576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35.68487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Shoguy</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66.74761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34.02558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Shushpanikha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66.85175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33.60705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Sonreka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66.15655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34.22415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Umba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6250.0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66.66461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34.29766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w:t>
            </w:r>
          </w:p>
        </w:tc>
      </w:tr>
      <w:tr>
        <w:tblPrEx>
          <w:tblCellMar>
            <w:top w:w="0" w:type="dxa"/>
            <w:left w:w="108" w:type="dxa"/>
            <w:bottom w:w="0" w:type="dxa"/>
            <w:right w:w="108" w:type="dxa"/>
          </w:tblCellMar>
        </w:tblPrEx>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Varsuga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9840.0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Large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66.26487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36.94030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w:t>
            </w:r>
          </w:p>
        </w:tc>
      </w:tr>
      <w:tr>
        <w:tc>
          <w:tcPr>
            <w:tcW w:w="1352"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Vypcha</w:t>
            </w:r>
          </w:p>
        </w:tc>
        <w:tc>
          <w:tcPr>
            <w:tcW w:w="615" w:type="pct"/>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161.0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Small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66.63304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34.49202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w:t>
            </w:r>
          </w:p>
        </w:tc>
      </w:tr>
      <w:bookmarkEnd w:id="3"/>
    </w:tbl>
    <w:p>
      <w:bookmarkStart w:id="4" w:name="statistical-analysis"/>
      <w:r>
        <w:t>Statistical analysis</w:t>
      </w:r>
    </w:p>
    <w:p>
      <w:r>
        <w:t>All statistical processing was performed using the statistical programming language R 4.05 (R core Team, 2021). The aim of the analysis was to determine which of the candidate-factors have an influence on the MT:ME ratio (Ptros). We used PT (a proxy for Ptros, see above) as a dependent variable in further analyses. The analysis was aimed to answer two questions. First, which predictors are statistically significantly related to the response variable (the answer to this question was treated as Step 1 of our analysis). Second, in what ratio are the strengths of the influence of each of the factors (Step 2).</w:t>
      </w:r>
    </w:p>
    <w:p>
      <w:pPr>
        <w:pStyle w:val="8"/>
      </w:pPr>
      <w:r>
        <w:t>The solution in Step 1 is achieved by constructing a generalized linear mixed model (GLMM, Bolker et al., 2009). We constructed a random intercept logistic GLMM with beta-binomial residuals distribution where “Site” was considered as a random factor (</w:t>
      </w:r>
      <w:r>
        <w:rPr>
          <w:b/>
          <w:bCs/>
        </w:rPr>
        <w:t>Model 1</w:t>
      </w:r>
      <w:r>
        <w:t>). The fixed part of the model included predictors as follows:</w:t>
      </w:r>
      <w:r>
        <w:br w:type="textWrapping"/>
      </w:r>
      <w:r>
        <w:t>- Substrate (categorical predictor with two levels “Bottom” vs “Algae”);</w:t>
      </w:r>
      <w:r>
        <w:br w:type="textWrapping"/>
      </w:r>
      <w:r>
        <w:t>- Salinity (continuous predictor, characterising the directly measured salinity);</w:t>
      </w:r>
      <w:r>
        <w:br w:type="textWrapping"/>
      </w:r>
      <w:r>
        <w:t>- MinDistRiver (continuous predictor, characterising distance to the nearest river);</w:t>
      </w:r>
      <w:r>
        <w:br w:type="textWrapping"/>
      </w:r>
      <w:r>
        <w:t>- RiverSize (categorical predictor with two levels “Small” vs “Large” );</w:t>
      </w:r>
      <w:r>
        <w:br w:type="textWrapping"/>
      </w:r>
      <w:r>
        <w:t>- MinDistPort (continuous predictor, characterising distance to the nearest port);</w:t>
      </w:r>
      <w:r>
        <w:br w:type="textWrapping"/>
      </w:r>
      <w:r>
        <w:t>- PortStatus (categorical predictor with two levels “Abandoned” vs “Active”).</w:t>
      </w:r>
    </w:p>
    <w:p>
      <w:pPr>
        <w:pStyle w:val="8"/>
      </w:pPr>
      <w:r>
        <w:t>For all categorical predictors above, the first mentioned category was used as base level. The function glmmadmb() from the package “glmmADMB” (Fournier et al., 2012; Skaug et al., 2016 ) was used to build this GLMM.</w:t>
      </w:r>
    </w:p>
    <w:p>
      <w:pPr>
        <w:pStyle w:val="8"/>
      </w:pPr>
      <w:r>
        <w:t>Step 2 of the analysis is aimed to estimate the contribution of each predictor to the overall variation. The total variation explained by a model is usually estimated using the coefficient of determination R</w:t>
      </w:r>
      <w:r>
        <w:rPr>
          <w:vertAlign w:val="superscript"/>
        </w:rPr>
        <w:t>2</w:t>
      </w:r>
      <w:r>
        <w:t xml:space="preserve"> (Quinn &amp; Keugh, 2002; Nakagawa &amp; Schielzeth, 2013). In the case of GLMM, the fraction of total variability explained by the fixed part of the model is estimated using marginal R</w:t>
      </w:r>
      <w:r>
        <w:rPr>
          <w:vertAlign w:val="superscript"/>
        </w:rPr>
        <w:t>2</w:t>
      </w:r>
      <w:r>
        <w:t xml:space="preserve"> ( see Jagger et al., 2017; 2019 (read!!!!) Nakagawa &amp; Schielzeth, 2013).The latter can be decomposed into semi-partial coefficients of determination, also known as semi-part R</w:t>
      </w:r>
      <w:r>
        <w:rPr>
          <w:vertAlign w:val="superscript"/>
        </w:rPr>
        <w:t>2</w:t>
      </w:r>
      <w:r>
        <w:t xml:space="preserve">, that describe the contribution of each individual predictor to the overall coefficient of determination (Stoffel et al., 2021). The “partR2” package (Stoffel et al., 2021) was used for this analysis. Unfortunately this package for now is adopted to use GLMM with binomial residual distribution only (Stoffel et al., 2021). That is why we constructed the additional model, </w:t>
      </w:r>
      <w:r>
        <w:rPr>
          <w:b/>
          <w:bCs/>
        </w:rPr>
        <w:t>Model 2</w:t>
      </w:r>
      <w:r>
        <w:t xml:space="preserve">, fixed part of which was analogous to that in </w:t>
      </w:r>
      <w:r>
        <w:rPr>
          <w:b/>
          <w:bCs/>
        </w:rPr>
        <w:t>Model 1</w:t>
      </w:r>
      <w:r>
        <w:t xml:space="preserve">. However, to take into account the overdispersion in </w:t>
      </w:r>
      <w:r>
        <w:rPr>
          <w:b/>
          <w:bCs/>
        </w:rPr>
        <w:t>Model 2</w:t>
      </w:r>
      <w:r>
        <w:t xml:space="preserve"> we included in addition to “Site”, as a random factor, the observation level random effect (OLRE). OLRE is a random factor which adsorbs overdispersion in GLMM (Harrison, 2015; Harrison, 2014). The </w:t>
      </w:r>
      <w:r>
        <w:rPr>
          <w:b/>
          <w:bCs/>
        </w:rPr>
        <w:t>Model 2</w:t>
      </w:r>
      <w:r>
        <w:t xml:space="preserve"> was constructed using glmer() function from the lme4 package (Bates et al., 2015)</w:t>
      </w:r>
    </w:p>
    <w:bookmarkEnd w:id="1"/>
    <w:bookmarkEnd w:id="4"/>
    <w:p>
      <w:pPr>
        <w:pStyle w:val="3"/>
      </w:pPr>
      <w:bookmarkStart w:id="5" w:name="results"/>
      <w:r>
        <w:t>Results</w:t>
      </w:r>
    </w:p>
    <w:p>
      <w:bookmarkStart w:id="6" w:name="distribution-of-environmental-parameters"/>
      <w:r>
        <w:t>Distribution of environmental parameters</w:t>
      </w:r>
    </w:p>
    <w:p>
      <w:r>
        <w:t>There are 5 ports presented in Kandalaksha Bay (Table +++, Fig ++1). Most sites (34 sites) had “Vitino” as the closest harbor, which came into service in the 1990s. The remaining ports, in operation since the beginning of the 20th century, were attributed as closest to 14-17 sites. The distance from sampling sites to the nearest ports varied in broad range (0.11 - 82 km) but on average the distance from port to the corresponding sites ranges in more narrow limits (17 - 26 km, Fig ++, A).</w:t>
      </w:r>
    </w:p>
    <w:p>
      <w:pPr>
        <w:pStyle w:val="8"/>
      </w:pPr>
      <w:r>
        <w:t>Most of the sites visually evaluated during sampling as “Sheltered” have wind fetch values lower than those assigned to the “Exposed” group (Fig. ++, B). For sites in the latter group, the most open direction is the southeastern one (Fig. ++, B), which coincides with the wind direction that prevails in the region during the warm seasons (Lebedev, 2016). The most open sites (maximum wind fetch) were located on the northwestern coast and on the open areas of the islands closer to the top of the Kandalaksha bay (Fig. ++1).</w:t>
      </w:r>
    </w:p>
    <w:p>
      <w:pPr>
        <w:pStyle w:val="8"/>
      </w:pPr>
      <w:r>
        <w:t>Salinity measured at the time of sampling ranged from 2 to 30 ppm (Median = 19 ppm). The most desalinated areas were at the top of both the Kandalaksha Bay itself and at the tops of smaller inlets deeping into the shore, where rivers often flow into (Fig. ++1). The closest to the sampling sites were the mouths of 18 rivers, of which 11 were classified as “Large” (Table ++, Fig. ++). Salinity at sites where the nearest river was classified as “Large” was markedly lower than at sites closer to small rivers (Fig. ++, C). Salinity tended to increase as the distance to the nearest river increased (Fig. ++ D).</w:t>
      </w:r>
    </w:p>
    <w:p>
      <w:r>
        <w:drawing>
          <wp:inline distT="0" distB="0" distL="114300" distR="114300">
            <wp:extent cx="4619625" cy="4619625"/>
            <wp:effectExtent l="0" t="0" r="0" b="0"/>
            <wp:docPr id="2" name="Picture" descr="Figure ++. The distribution of values used for environmental factors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 The distribution of values used for environmental factors assessment"/>
                    <pic:cNvPicPr>
                      <a:picLocks noChangeAspect="1" noChangeArrowheads="1"/>
                    </pic:cNvPicPr>
                  </pic:nvPicPr>
                  <pic:blipFill>
                    <a:blip r:embed="rId9"/>
                    <a:stretch>
                      <a:fillRect/>
                    </a:stretch>
                  </pic:blipFill>
                  <pic:spPr>
                    <a:xfrm>
                      <a:off x="0" y="0"/>
                      <a:ext cx="4620126" cy="4620126"/>
                    </a:xfrm>
                    <a:prstGeom prst="rect">
                      <a:avLst/>
                    </a:prstGeom>
                    <a:noFill/>
                    <a:ln w="9525">
                      <a:noFill/>
                    </a:ln>
                  </pic:spPr>
                </pic:pic>
              </a:graphicData>
            </a:graphic>
          </wp:inline>
        </w:drawing>
      </w:r>
    </w:p>
    <w:p>
      <w:r>
        <w:t>Figure ++. The distribution of values used for environmental factors assessment</w:t>
      </w:r>
    </w:p>
    <w:bookmarkEnd w:id="5"/>
    <w:bookmarkEnd w:id="6"/>
    <w:p>
      <w:pPr>
        <w:pStyle w:val="3"/>
      </w:pPr>
      <w:bookmarkStart w:id="7" w:name="pt-distribution"/>
      <w:r>
        <w:t>PT distribution</w:t>
      </w:r>
    </w:p>
    <w:p>
      <w:r>
        <w:t>The values of PT ranged from 0 to 0.85 at different sites. The frequency distribution of PT values displayed a bimodal structure both in the case of “Bottom” and “Algae” samples (Fig. ++). Thus two types of populations can be recognized in the studied area: populations dominated by E-morphotype (conditional boundary PT &lt; 0.5) and samples in which mussels of T-morphotype dominated (PT &gt; 0.5). In collections from the “Bottom” substrate, samples belonging to the first group were more frequent (the left peak in the distribution predominated). In collections from fucoids, both groups of specimens were represented in more or less equal proportions.</w:t>
      </w:r>
    </w:p>
    <w:p>
      <w:r>
        <w:drawing>
          <wp:inline distT="0" distB="0" distL="114300" distR="114300">
            <wp:extent cx="4619625" cy="4619625"/>
            <wp:effectExtent l="0" t="0" r="0" b="0"/>
            <wp:docPr id="3" name="Picture" descr="Fig ++. The frequency distributon of PT values at different subst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 ++. The frequency distributon of PT values at different substrates"/>
                    <pic:cNvPicPr>
                      <a:picLocks noChangeAspect="1" noChangeArrowheads="1"/>
                    </pic:cNvPicPr>
                  </pic:nvPicPr>
                  <pic:blipFill>
                    <a:blip r:embed="rId10"/>
                    <a:stretch>
                      <a:fillRect/>
                    </a:stretch>
                  </pic:blipFill>
                  <pic:spPr>
                    <a:xfrm>
                      <a:off x="0" y="0"/>
                      <a:ext cx="4620126" cy="4620126"/>
                    </a:xfrm>
                    <a:prstGeom prst="rect">
                      <a:avLst/>
                    </a:prstGeom>
                    <a:noFill/>
                    <a:ln w="9525">
                      <a:noFill/>
                    </a:ln>
                  </pic:spPr>
                </pic:pic>
              </a:graphicData>
            </a:graphic>
          </wp:inline>
        </w:drawing>
      </w:r>
    </w:p>
    <w:p>
      <w:r>
        <w:t>Fig ++. The frequency distributon of PT values at different substrates</w:t>
      </w:r>
    </w:p>
    <w:p>
      <w:pPr>
        <w:pStyle w:val="8"/>
      </w:pPr>
      <w:r>
        <w:t>The maximum proportion of the T-morphotype was observed in the top of the Kandalaksha Bay itself and in the small bays deeping into the mainland (Fig. ++). At the same time, sites with a lower proportion of the T-morphotype were located in the immediate vicinity of sites where settlements with high PT values were represented (Fig. ++), reflecting the high level of patchiness in PT spatial distribution. Settlements with the lowest frequency of T-morphotype were represented in the open areas of the Northwest Coast.</w:t>
      </w:r>
    </w:p>
    <w:p>
      <w:r>
        <w:drawing>
          <wp:inline distT="0" distB="0" distL="114300" distR="114300">
            <wp:extent cx="5371465" cy="4991735"/>
            <wp:effectExtent l="0" t="0" r="0" b="0"/>
            <wp:docPr id="4" name="Picture" descr="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 + Proportion of mussels with T-morphotype on sampling sites. The fill of points represents PT and size of proportional to PT."/>
                    <pic:cNvPicPr>
                      <a:picLocks noChangeAspect="1" noChangeArrowheads="1"/>
                    </pic:cNvPicPr>
                  </pic:nvPicPr>
                  <pic:blipFill>
                    <a:blip r:embed="rId11"/>
                    <a:stretch>
                      <a:fillRect/>
                    </a:stretch>
                  </pic:blipFill>
                  <pic:spPr>
                    <a:xfrm>
                      <a:off x="0" y="0"/>
                      <a:ext cx="5371909" cy="4991799"/>
                    </a:xfrm>
                    <a:prstGeom prst="rect">
                      <a:avLst/>
                    </a:prstGeom>
                    <a:noFill/>
                    <a:ln w="9525">
                      <a:noFill/>
                    </a:ln>
                  </pic:spPr>
                </pic:pic>
              </a:graphicData>
            </a:graphic>
          </wp:inline>
        </w:drawing>
      </w:r>
    </w:p>
    <w:p>
      <w:r>
        <w:t>Fig. + Proportion of mussels with T-morphotype on sampling sites. The fill of points represents PT and size of proportional to PT.</w:t>
      </w:r>
    </w:p>
    <w:bookmarkEnd w:id="7"/>
    <w:p>
      <w:pPr>
        <w:pStyle w:val="3"/>
      </w:pPr>
      <w:bookmarkStart w:id="8" w:name="relationship-of-pt-to-predictors."/>
      <w:r>
        <w:t>Relationship of PT to predictors.</w:t>
      </w:r>
    </w:p>
    <w:p>
      <w:r>
        <w:t>The proportion of T-morphotype mussels was, on average, higher on fucoids than on bottom substrates (Fig. ++ A). This value was slightly higher at sites for which the nearest river was a large river than at sites in the vicinity of small ones (Fig. ++ B). PT at sites for which the nearest port was active was, on average, higher than at sites closer to abandoned ports (Fig. ++ C). The studied value tended to decrease as Salinity, Average wind fetch, and Distance to the nearest port increased (Figs. ++ D, F, G, respectively). No clear association of PT with distance to the nearest river mouth was revealed (Fig. ++, E).</w:t>
      </w:r>
    </w:p>
    <w:p>
      <w:r>
        <w:drawing>
          <wp:inline distT="0" distB="0" distL="114300" distR="114300">
            <wp:extent cx="4619625" cy="4619625"/>
            <wp:effectExtent l="0" t="0" r="0" b="0"/>
            <wp:docPr id="5" name="Picture" descr="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pic:cNvPicPr>
                      <a:picLocks noChangeAspect="1" noChangeArrowheads="1"/>
                    </pic:cNvPicPr>
                  </pic:nvPicPr>
                  <pic:blipFill>
                    <a:blip r:embed="rId12"/>
                    <a:stretch>
                      <a:fillRect/>
                    </a:stretch>
                  </pic:blipFill>
                  <pic:spPr>
                    <a:xfrm>
                      <a:off x="0" y="0"/>
                      <a:ext cx="4620126" cy="4620126"/>
                    </a:xfrm>
                    <a:prstGeom prst="rect">
                      <a:avLst/>
                    </a:prstGeom>
                    <a:noFill/>
                    <a:ln w="9525">
                      <a:noFill/>
                    </a:ln>
                  </pic:spPr>
                </pic:pic>
              </a:graphicData>
            </a:graphic>
          </wp:inline>
        </w:drawing>
      </w:r>
    </w:p>
    <w:p>
      <w:r>
        <w:t>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w:t>
      </w:r>
    </w:p>
    <w:p>
      <w:pPr>
        <w:pStyle w:val="8"/>
      </w:pPr>
      <w:r>
        <w:t>According to Model 1 (Table ++) significant relationships were found between PT and the substrate type, average wind fetch, distance to the nearest port, and the status of the nearest port. According to positive coefficients (Table ++) PT is higher on “Algae” in comparison with “Bottom” substrates and at sites for which the nearest port belongs to “Active” group in contrast to “Abandoned” one. The negative slope for “MinDistPort” and “WindFetch” (Table ++) indicates that PT decreased when distance to the nearest port increased and potential wave impacts were enforced.</w:t>
      </w:r>
    </w:p>
    <w:p>
      <w:pPr>
        <w:pStyle w:val="8"/>
      </w:pPr>
      <w:r>
        <w:t>Model 2 which was used for assessment of predictors influencing power shows the similar pattern of association between PT and predictors as was revealed in Model 1 (estimated coefficients for Model 2, Table ++, are close to those for Model 1). Partial R</w:t>
      </w:r>
      <w:r>
        <w:rPr>
          <w:vertAlign w:val="superscript"/>
        </w:rPr>
        <w:t>2</w:t>
      </w:r>
      <w:r>
        <w:t xml:space="preserve"> for Model 1 was quite low (part R</w:t>
      </w:r>
      <w:r>
        <w:rPr>
          <w:vertAlign w:val="superscript"/>
        </w:rPr>
        <w:t>2</w:t>
      </w:r>
      <w:r>
        <w:t xml:space="preserve"> = 0.21, Table ++, Fig. ++) indicating that none of the predictors included in the model unambiguously explained most of the variation.</w:t>
      </w:r>
    </w:p>
    <w:p>
      <w:r>
        <w:t>Table +. Parameters of the GLMM fitted</w:t>
      </w:r>
    </w:p>
    <w:tbl>
      <w:tblPr>
        <w:tblStyle w:val="6"/>
        <w:tblW w:w="0" w:type="pct"/>
        <w:tblCaption w:val="Table +. Parameters of the GLMM fitted"/>
        <w:tblInd w:w="0" w:type="dxa"/>
        <w:tblLayout w:type="autofit"/>
        <w:tblCellMar>
          <w:top w:w="0" w:type="dxa"/>
          <w:left w:w="108" w:type="dxa"/>
          <w:bottom w:w="0" w:type="dxa"/>
          <w:right w:w="108" w:type="dxa"/>
        </w:tblCellMar>
      </w:tblPr>
      <w:tblGrid>
        <w:gridCol w:w="889"/>
        <w:gridCol w:w="739"/>
        <w:gridCol w:w="1602"/>
        <w:gridCol w:w="883"/>
        <w:gridCol w:w="888"/>
        <w:gridCol w:w="828"/>
        <w:gridCol w:w="879"/>
      </w:tblGrid>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effect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group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term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estimate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std.error</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statistic</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p.value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Model 1</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m:sty m:val="p"/>
                  </m:rPr>
                  <w:rPr>
                    <w:sz w:val="20"/>
                    <w:szCs w:val="20"/>
                  </w:rPr>
                  <m:t>(</m:t>
                </m:r>
                <m:r>
                  <m:rPr/>
                  <w:rPr>
                    <w:sz w:val="20"/>
                    <w:szCs w:val="20"/>
                  </w:rPr>
                  <m:t>Intercept</m:t>
                </m:r>
                <m:r>
                  <m:rPr>
                    <m:sty m:val="p"/>
                  </m:rPr>
                  <w:rPr>
                    <w:sz w:val="20"/>
                    <w:szCs w:val="20"/>
                  </w:rPr>
                  <m: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0.385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-3.121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0.0018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rFonts w:hint="default" w:ascii="Cambria Math" w:hAnsi="Cambria Math"/>
                    <w:sz w:val="20"/>
                    <w:szCs w:val="20"/>
                    <w:lang w:val="en-US"/>
                  </w:rPr>
                  <m:t>Substrate</m:t>
                </m:r>
                <m:sSub>
                  <m:sSubPr>
                    <m:ctrlPr>
                      <w:rPr>
                        <w:sz w:val="20"/>
                        <w:szCs w:val="20"/>
                      </w:rPr>
                    </m:ctrlPr>
                  </m:sSubPr>
                  <m:e>
                    <m:ctrlPr>
                      <w:rPr>
                        <w:sz w:val="20"/>
                        <w:szCs w:val="20"/>
                      </w:rPr>
                    </m:ctrlPr>
                  </m:e>
                  <m:sub>
                    <m:r>
                      <m:rPr/>
                      <w:rPr>
                        <w:sz w:val="20"/>
                        <w:szCs w:val="20"/>
                      </w:rPr>
                      <m:t>Algae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15.224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-1.044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0.2965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-1.473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0.1409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m:t>
                </m:r>
                <m:sSub>
                  <m:sSubPr>
                    <m:ctrlPr>
                      <w:rPr>
                        <w:sz w:val="20"/>
                        <w:szCs w:val="20"/>
                      </w:rPr>
                    </m:ctrlPr>
                  </m:sSubPr>
                  <m:e>
                    <m:r>
                      <m:rPr/>
                      <w:rPr>
                        <w:sz w:val="20"/>
                        <w:szCs w:val="20"/>
                      </w:rPr>
                      <m:t>e</m:t>
                    </m:r>
                    <m:ctrlPr>
                      <w:rPr>
                        <w:sz w:val="20"/>
                        <w:szCs w:val="20"/>
                      </w:rPr>
                    </m:ctrlPr>
                  </m:e>
                  <m:sub>
                    <m:r>
                      <m:rPr/>
                      <w:rPr>
                        <w:sz w:val="20"/>
                        <w:szCs w:val="20"/>
                      </w:rPr>
                      <m:t>Large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2.199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0.0279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-3.035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0.0024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-2.630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0.0085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m:t>
                </m:r>
                <m:sSub>
                  <m:sSubPr>
                    <m:ctrlPr>
                      <w:rPr>
                        <w:sz w:val="20"/>
                        <w:szCs w:val="20"/>
                      </w:rPr>
                    </m:ctrlPr>
                  </m:sSubPr>
                  <m:e>
                    <m:r>
                      <m:rPr/>
                      <w:rPr>
                        <w:sz w:val="20"/>
                        <w:szCs w:val="20"/>
                      </w:rPr>
                      <m:t>s</m:t>
                    </m:r>
                    <m:ctrlPr>
                      <w:rPr>
                        <w:sz w:val="20"/>
                        <w:szCs w:val="20"/>
                      </w:rPr>
                    </m:ctrlPr>
                  </m:e>
                  <m:sub>
                    <m:r>
                      <m:rPr/>
                      <w:rPr>
                        <w:sz w:val="20"/>
                        <w:szCs w:val="20"/>
                      </w:rPr>
                      <m:t>Active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5.100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Site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0.83</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Model 2</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m:sty m:val="p"/>
                  </m:rPr>
                  <w:rPr>
                    <w:sz w:val="20"/>
                    <w:szCs w:val="20"/>
                  </w:rPr>
                  <m:t>(</m:t>
                </m:r>
                <m:r>
                  <m:rPr/>
                  <w:rPr>
                    <w:sz w:val="20"/>
                    <w:szCs w:val="20"/>
                  </w:rPr>
                  <m:t>Intercept</m:t>
                </m:r>
                <m:r>
                  <m:rPr>
                    <m:sty m:val="p"/>
                  </m:rPr>
                  <w:rPr>
                    <w:sz w:val="20"/>
                    <w:szCs w:val="20"/>
                  </w:rPr>
                  <m: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0.0021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rFonts w:hint="default" w:ascii="Cambria Math" w:hAnsi="Cambria Math"/>
                    <w:sz w:val="20"/>
                    <w:szCs w:val="20"/>
                    <w:lang w:val="en-US"/>
                  </w:rPr>
                  <m:t>Substrate</m:t>
                </m:r>
                <m:sSub>
                  <m:sSubPr>
                    <m:ctrlPr>
                      <w:rPr>
                        <w:sz w:val="20"/>
                        <w:szCs w:val="20"/>
                      </w:rPr>
                    </m:ctrlPr>
                  </m:sSubPr>
                  <m:e>
                    <m:ctrlPr>
                      <w:rPr>
                        <w:sz w:val="20"/>
                        <w:szCs w:val="20"/>
                      </w:rPr>
                    </m:ctrlPr>
                  </m:e>
                  <m:sub>
                    <m:r>
                      <m:rPr/>
                      <w:rPr>
                        <w:sz w:val="20"/>
                        <w:szCs w:val="20"/>
                      </w:rPr>
                      <m:t>Algae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15.361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-0.768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0.4426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-1.460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0.1442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m:t>
                </m:r>
                <m:sSub>
                  <m:sSubPr>
                    <m:ctrlPr>
                      <w:rPr>
                        <w:sz w:val="20"/>
                        <w:szCs w:val="20"/>
                      </w:rPr>
                    </m:ctrlPr>
                  </m:sSubPr>
                  <m:e>
                    <m:r>
                      <m:rPr/>
                      <w:rPr>
                        <w:sz w:val="20"/>
                        <w:szCs w:val="20"/>
                      </w:rPr>
                      <m:t>e</m:t>
                    </m:r>
                    <m:ctrlPr>
                      <w:rPr>
                        <w:sz w:val="20"/>
                        <w:szCs w:val="20"/>
                      </w:rPr>
                    </m:ctrlPr>
                  </m:e>
                  <m:sub>
                    <m:r>
                      <m:rPr/>
                      <w:rPr>
                        <w:sz w:val="20"/>
                        <w:szCs w:val="20"/>
                      </w:rPr>
                      <m:t>Large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1.865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0.0622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-3.683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0.0002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-2.528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0.0115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fixed</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m:t>
                </m:r>
                <m:sSub>
                  <m:sSubPr>
                    <m:ctrlPr>
                      <w:rPr>
                        <w:sz w:val="20"/>
                        <w:szCs w:val="20"/>
                      </w:rPr>
                    </m:ctrlPr>
                  </m:sSubPr>
                  <m:e>
                    <m:r>
                      <m:rPr/>
                      <w:rPr>
                        <w:sz w:val="20"/>
                        <w:szCs w:val="20"/>
                      </w:rPr>
                      <m:t>s</m:t>
                    </m:r>
                    <m:ctrlPr>
                      <w:rPr>
                        <w:sz w:val="20"/>
                        <w:szCs w:val="20"/>
                      </w:rPr>
                    </m:ctrlPr>
                  </m:e>
                  <m:sub>
                    <m:r>
                      <m:rPr/>
                      <w:rPr>
                        <w:sz w:val="20"/>
                        <w:szCs w:val="20"/>
                      </w:rPr>
                      <m:t>Active</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1.34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4.867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&lt;0.0001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OLRE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0.83</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random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Site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m:t>
                </m:r>
                <m:sSub>
                  <m:sSubPr>
                    <m:ctrlPr>
                      <w:rPr>
                        <w:sz w:val="20"/>
                        <w:szCs w:val="20"/>
                      </w:rPr>
                    </m:ctrlPr>
                  </m:sSubPr>
                  <m:e>
                    <m:r>
                      <m:rPr/>
                      <w:rPr>
                        <w:sz w:val="20"/>
                        <w:szCs w:val="20"/>
                      </w:rPr>
                      <m:t>D</m:t>
                    </m:r>
                    <m:ctrlPr>
                      <w:rPr>
                        <w:sz w:val="20"/>
                        <w:szCs w:val="20"/>
                      </w:rPr>
                    </m:ctrlPr>
                  </m:e>
                  <m:sub>
                    <m:r>
                      <m:rPr>
                        <m:sty m:val="p"/>
                      </m:rPr>
                      <w:rPr>
                        <w:sz w:val="20"/>
                        <w:szCs w:val="20"/>
                      </w:rPr>
                      <m:t>(</m:t>
                    </m:r>
                    <m:r>
                      <m:rPr/>
                      <w:rPr>
                        <w:sz w:val="20"/>
                        <w:szCs w:val="20"/>
                      </w:rPr>
                      <m:t>Intercept</m:t>
                    </m:r>
                    <m:r>
                      <m:rPr>
                        <m:sty m:val="p"/>
                      </m:rPr>
                      <w:rPr>
                        <w:sz w:val="20"/>
                        <w:szCs w:val="20"/>
                      </w:rPr>
                      <m:t>)</m:t>
                    </m:r>
                    <m:ctrlPr>
                      <w:rPr>
                        <w:sz w:val="20"/>
                        <w:szCs w:val="20"/>
                      </w:rPr>
                    </m:ctrlPr>
                  </m:sub>
                </m:sSub>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0.99</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rPr>
                <w:sz w:val="20"/>
                <w:szCs w:val="20"/>
              </w:rPr>
            </w:pPr>
          </w:p>
        </w:tc>
      </w:tr>
    </w:tbl>
    <w:p>
      <w:pPr>
        <w:pStyle w:val="8"/>
      </w:pPr>
    </w:p>
    <w:p>
      <w:pPr>
        <w:pStyle w:val="8"/>
      </w:pPr>
    </w:p>
    <w:p>
      <w:pPr>
        <w:pStyle w:val="8"/>
      </w:pPr>
    </w:p>
    <w:p>
      <w:pPr>
        <w:pStyle w:val="8"/>
      </w:pPr>
      <w:r>
        <w:t>However, the semi-partial R</w:t>
      </w:r>
      <w:r>
        <w:rPr>
          <w:vertAlign w:val="superscript"/>
        </w:rPr>
        <w:t>2</w:t>
      </w:r>
      <w:r>
        <w:t xml:space="preserve"> indicates that the best predictors for PT is substrate type (semi-part R</w:t>
      </w:r>
      <w:r>
        <w:rPr>
          <w:vertAlign w:val="superscript"/>
        </w:rPr>
        <w:t>2</w:t>
      </w:r>
      <w:r>
        <w:t xml:space="preserve"> = 0.040), followed by nearest port status (0.034), Average wind fetch (0.023), and distance to nearest port (0.013). The signal strength from all predictors characterizing salinity was in order of magnitude lower.</w:t>
      </w:r>
    </w:p>
    <w:p>
      <w:r>
        <w:t>Table +. Partial R</w:t>
      </w:r>
      <w:r>
        <w:rPr>
          <w:vertAlign w:val="superscript"/>
        </w:rPr>
        <w:t>2</w:t>
      </w:r>
      <w:r>
        <w:t xml:space="preserve"> for the full model and semi-partial R</w:t>
      </w:r>
      <w:r>
        <w:rPr>
          <w:vertAlign w:val="superscript"/>
        </w:rPr>
        <w:t>2</w:t>
      </w:r>
      <w:r>
        <w:t xml:space="preserve"> with bootstrap CI for predictors from the Model 1.</w:t>
      </w:r>
    </w:p>
    <w:tbl>
      <w:tblPr>
        <w:tblStyle w:val="6"/>
        <w:tblW w:w="0" w:type="pct"/>
        <w:tblCaption w:val="Table +. Partial R2 for the full model and semi-partial R2 with bootstrap CI for predictors from the Model 1."/>
        <w:tblInd w:w="0" w:type="dxa"/>
        <w:tblLayout w:type="autofit"/>
        <w:tblCellMar>
          <w:top w:w="0" w:type="dxa"/>
          <w:left w:w="108" w:type="dxa"/>
          <w:bottom w:w="0" w:type="dxa"/>
          <w:right w:w="108" w:type="dxa"/>
        </w:tblCellMar>
      </w:tblPr>
      <w:tblGrid>
        <w:gridCol w:w="1483"/>
        <w:gridCol w:w="916"/>
        <w:gridCol w:w="1272"/>
        <w:gridCol w:w="383"/>
      </w:tblGrid>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w:r>
              <w:rPr>
                <w:sz w:val="20"/>
                <w:szCs w:val="20"/>
              </w:rPr>
              <w:t>Term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Estimate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Bootstap_CI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df</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FullModel</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0.211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0.164 : 0.271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sz w:val="20"/>
                <w:szCs w:val="20"/>
                <w:lang w:val="en-US"/>
              </w:rPr>
            </w:pPr>
            <m:oMathPara>
              <m:oMath>
                <m:r>
                  <m:rPr/>
                  <w:rPr>
                    <w:rFonts w:hint="default" w:ascii="Cambria Math" w:hAnsi="Cambria Math"/>
                    <w:sz w:val="20"/>
                    <w:szCs w:val="20"/>
                    <w:lang w:val="en-US"/>
                  </w:rPr>
                  <m:t>Substrate</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0.109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Salinity</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MinDistRiver</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RiverSize</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AverageFetcℎ</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MinDistPort</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0.084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sz w:val="20"/>
                <w:szCs w:val="20"/>
              </w:rPr>
            </w:pPr>
            <m:oMathPara>
              <m:oMath>
                <m:r>
                  <m:rPr/>
                  <w:rPr>
                    <w:sz w:val="20"/>
                    <w:szCs w:val="20"/>
                  </w:rPr>
                  <m:t>PortStatus</m:t>
                </m:r>
              </m:oMath>
            </m:oMathPara>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0.034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0 : 0.104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rPr>
                <w:sz w:val="20"/>
                <w:szCs w:val="20"/>
              </w:rPr>
            </w:pPr>
            <w:r>
              <w:rPr>
                <w:sz w:val="20"/>
                <w:szCs w:val="20"/>
              </w:rPr>
              <w:t>7</w:t>
            </w:r>
          </w:p>
        </w:tc>
      </w:tr>
    </w:tbl>
    <w:p>
      <w:r>
        <w:drawing>
          <wp:inline distT="0" distB="0" distL="114300" distR="114300">
            <wp:extent cx="4619625" cy="4619625"/>
            <wp:effectExtent l="0" t="0" r="0" b="0"/>
            <wp:docPr id="6" name="Picture" descr="Figure ++. The importance of predictors as drivers of MT distribution. Partial R2 reflecting the proportion of total variation exp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Figure ++. The importance of predictors as drivers of MT distribution. Partial R2 reflecting the proportion of total variation explined."/>
                    <pic:cNvPicPr>
                      <a:picLocks noChangeAspect="1" noChangeArrowheads="1"/>
                    </pic:cNvPicPr>
                  </pic:nvPicPr>
                  <pic:blipFill>
                    <a:blip r:embed="rId13"/>
                    <a:stretch>
                      <a:fillRect/>
                    </a:stretch>
                  </pic:blipFill>
                  <pic:spPr>
                    <a:xfrm>
                      <a:off x="0" y="0"/>
                      <a:ext cx="4620126" cy="4620126"/>
                    </a:xfrm>
                    <a:prstGeom prst="rect">
                      <a:avLst/>
                    </a:prstGeom>
                    <a:noFill/>
                    <a:ln w="9525">
                      <a:noFill/>
                    </a:ln>
                  </pic:spPr>
                </pic:pic>
              </a:graphicData>
            </a:graphic>
          </wp:inline>
        </w:drawing>
      </w:r>
    </w:p>
    <w:p>
      <w:r>
        <w:t>Figure ++. The importance of predictors as drivers of MT distribution. Partial R</w:t>
      </w:r>
      <w:r>
        <w:rPr>
          <w:vertAlign w:val="superscript"/>
        </w:rPr>
        <w:t>2</w:t>
      </w:r>
      <w:r>
        <w:t xml:space="preserve"> reflecting the proportion of total variation explined.</w:t>
      </w:r>
    </w:p>
    <w:bookmarkEnd w:id="8"/>
    <w:p>
      <w:pPr>
        <w:pStyle w:val="3"/>
      </w:pPr>
      <w:bookmarkStart w:id="9" w:name="discussion"/>
      <w:r>
        <w:t>Discussion</w:t>
      </w:r>
    </w:p>
    <w:p>
      <w:r>
        <w:t>The application of the morphotype test (Khaitov et al., 2021), on which this study is based, leaves room for doubt that our results reflect the real MT:ME ratio. However, on the other hand, the high correlation between Ptros and PT (Khaitov et al., 2021), as well as the very large volume of material (numerous sites and a large number of individuals collected on them) allow us to hope that the obtained pattern correlates with the real pattern of species distribution.</w:t>
      </w:r>
    </w:p>
    <w:p>
      <w:pPr>
        <w:pStyle w:val="8"/>
      </w:pPr>
      <w:r>
        <w:t>An intriguing result of our study is the very weak signal of the influence of salinity on the MT:ME ratio in mixed settlements. GLMM fitted do not reveal a statistically significant relationship between PT and salinity, per se, measured at the time of sampling. The influence power of this predictor was extremely low. We attempted to estimate the degree of desalination indirectly by introducing into the model quantities that may alternatively characterize salinity at the sampling site: the distance to the nearest river and the size of the nearest river. Both of these quantities, like salinity, contributed negligibly to the total variance explained by the model. This result is in contradiction with the fact that many papers analyzing MT distribution in MT-ME contact zones indicate that MT setting populations to more desalinated habitats and MT gene frequencies decrease as salinity increases (Riginos and Cunningham, 2005; Katolikova et al., 2016; Stuckas et al., 2017; Kijewski et al 2019).</w:t>
      </w:r>
    </w:p>
    <w:p>
      <w:pPr>
        <w:pStyle w:val="8"/>
      </w:pPr>
      <w:r>
        <w:t>Surprisingly, in spite of the fact that salinity is considered as a leading factor determining the segregation of MT and ME (+++) all studies discussing this relationship are correlative. Only a few works have been devoted to comparison of ecophysiological responses of these two species to salinity (Gardner&amp;Thompson 2001; Qiu et al., 2002; Knobel et al. 2021), although this is the very kind of data that should be considered as evidence of causal relations.</w:t>
      </w:r>
    </w:p>
    <w:p>
      <w:pPr>
        <w:pStyle w:val="8"/>
      </w:pPr>
      <w:r>
        <w:t>Moreover, direct investigations tended to influence salinity analysis, did not reveal unequivocal evidence that adult MT stages are better adapted to reduced salinity than adult ME (Gardner&amp;Thompson 2001; Qiu et al., 2002). It has only been shown that larval stages of MT survive lower salinity better than the same ME stages (Qiu et al., 2002). That is, MT larvae are better performed in low salinity corresponding to those conditions in which adults exist (Knobel et al. 2021).</w:t>
      </w:r>
    </w:p>
    <w:p>
      <w:pPr>
        <w:pStyle w:val="8"/>
      </w:pPr>
      <w:r>
        <w:t>Looking at the raw data presented in our work, as in previous studies, one gets the impression that salinity is an important environmental parameter (Fig. ++ shows a clear negative correlation of PT with salinity). However more accurate analysis, where salinity influence is considered against the influence of other predictors included in a common model, is rather consistent with those ecophysiological works in which no explicit correlation between physiological indices of MT and ME and salinity was found. Thus, the correlation between salinity and the MT:ME ratio, noted on raw data, at least in our work, allows us to consider the above relationship as a spurious correlation. At the same time, it is apparently too early to completely abandon the regulatory role of salinity. A model based on beta-binomial distribution (</w:t>
      </w:r>
      <w:r>
        <w:rPr>
          <w:b/>
          <w:bCs/>
        </w:rPr>
        <w:t>Model 1</w:t>
      </w:r>
      <w:r>
        <w:t>) allowed us to capture weak but significant signal about the role of salinity: if we express salinity in terms of the size of the nearest river then PT turns out to be higher on average if the nearest river is large.</w:t>
      </w:r>
    </w:p>
    <w:p>
      <w:pPr>
        <w:pStyle w:val="8"/>
      </w:pPr>
      <w:r>
        <w:t>We admit that our methods of salinity determination, the way of sampling, the use of morphotype test instead of direct genotyping, all this does not allow us to reveal the fine relationship between the MT:ME ratio and salinity. However, if such clear links with salinity, which have been revealed in other regions, exist also in the Kandalaksha Bay of the White Sea, where salinity gradients are very pronounced, then these patterns should have been reflected in the distribution of morphotypes (which are very tightly associated with the species status of mussels) as well. Perhaps we should look for the answer in other influences that shift the observed pattern. For example, it has been shown that only larvae (Qiu et al., 20++) show a clear dependence on salinity. If the critical stage for the formation of the MT:ME ratio relationship with salinity is larvae, then the ratio of larval numbers of the two species in the plankton will play a crucial role. We currently have no data on this ratio in the White Sea. However, it is logical to assume that the number of larvae will be proportional to the abundance of adults living on the bottom. If we consider only bottom substrates, the relative frequency of ME-dominated settlements (low PT values, Fig. ++) greatly exceeds the frequency of MT-dominated settlements (high PT values, Fig. ++). In the case of fucoid settlements, this ratio is close to equal. Mussel settlements existing on the bottom substrates in the White Sea are very extensive and are represented by numerous extensive littoral and sublittoral mussel beds located on gravel or muddy-sand substrates (Lukanin +++; Khaitov, +++; Khaitov&amp;Lentsman, 2013). The fucoid belt is only a narrow band along the lower part of the intertidal zone (+++). These allow us to expect that in the plankton the absolute advantage should be with the ME. It is possible that with such ratios of species abundance in plankton and with a relatively small area of the Kandalaksha Bay, the salinity driven selection discussed in previous studies (Knobel et al., 2021) cannot manifest itself.</w:t>
      </w:r>
    </w:p>
    <w:p>
      <w:pPr>
        <w:pStyle w:val="8"/>
      </w:pPr>
      <w:r>
        <w:t>Against the background of the unexpected failure in identifying the relationship between the MT:ME ratio and salinity, we found other, previously poorly studied, correlations. We found that the proportion of MT is clearly governed by three factors: the nature of the substrate, the proximity of the mixed settlement to active port systems, and the degree to which the coast is open to wave action. According to the data we obtained, the highest MT concentration should be expected on the fuchcoid tally, in sheltered areas close to active ports.</w:t>
      </w:r>
    </w:p>
    <w:p>
      <w:pPr>
        <w:pStyle w:val="8"/>
      </w:pPr>
      <w:r>
        <w:t>It is believed that MT was introduced into the Barents and White Seas due to ship traffic during World War II (Vainola &amp; Strelkov, 2011). This hypothesis was based primarily on the fact that high concentrations of MT were found in the vicinity of currently active or abandoned ports in the Barents and White Seas (Vainola &amp; Strelkov, 2011; Katolikova et al. 2016). Our study confirmed this hypothesis. The proportion of T-morphotype (and hence MT) in the studied area decreases with the distance from the port (negative coefficients with the predictor MinDistPort in Models 1 and 2, Table ++).</w:t>
      </w:r>
    </w:p>
    <w:p>
      <w:pPr>
        <w:pStyle w:val="8"/>
      </w:pPr>
      <w:r>
        <w:t>Apparently, the degree of port activity also plays an important role (the predictor “PortStatus” is among the leaders by the strength of influence on the explained variance, Table ++, Fig. ++) . According to our data, if the port nearest to the mixed settlement is active, i.e. it serves the ships coming from outside the White Sea (in our case it is “Kandlaksha” and “Vitino” ports), then the PT value in such settlements is higher than in the settlements adjacent to the abandoned harbors. This can be explained in several ways.</w:t>
      </w:r>
    </w:p>
    <w:p>
      <w:pPr>
        <w:pStyle w:val="8"/>
      </w:pPr>
      <w:r>
        <w:t>It is possible that new MTs are constantly brought to the ports of the Kandalaksha Bay from the Barents Sea (primarily from the ports of Murmansk in the Kola Bay, where the abundance of MT is very high, Vainola&amp;Strelrov, 2013). In the abandoned ports this constant renewation is absent and during the time of port inactivity MTs have been displaced by MEs.</w:t>
      </w:r>
    </w:p>
    <w:p>
      <w:pPr>
        <w:pStyle w:val="8"/>
      </w:pPr>
      <w:r>
        <w:t>On the other hand, active ports tend to have a higher degree of anthropogenic pollution, leading to less stress tolerance of mussels (Hellou &amp; Law, 2003). Different mussel species are known to interact differently with pollutants (Beyer et al., 2017) and in the Halifax area, for example, MT are more abundant in the most polluted habitats than ME, but show less stress tolerance than ME (Hellou &amp; Law, 2003). However, studies of the immune systems of MT and ME in the Canadian contact zone suggest a greater suppression of the MT immune system in areas prone to pollution (Coray et al., 2006), making them more sensitive to stress than ME. The last fact contradicts the hypothesis of better performance of MT to pollutant influence allowing them to set populations in active port harbors.</w:t>
      </w:r>
    </w:p>
    <w:p>
      <w:pPr>
        <w:pStyle w:val="8"/>
      </w:pPr>
      <w:r>
        <w:t>A third explanation is also possible. Transmissible cancer is known to circulate in MT populations (Skazina et al., 2021). This disease can cross species barriers (Metzger et al., 2016): MTs can infect other mussel species with their cancer cells, causing disseminated neoplasia in them. Although it has not yet been proven that transmissive cancer coming from MT can cause a spike in clam mortality, it can be assumed that it is very likely, since cancer-like diseases are one of the cause of mussels mortality (Benabdelmouna &amp;Ledu, 2016; Burioli et al 2019), mussels infected by MT-originated neoplasia die during several weeks, but cases of remission is known as well (Burioli et al 2019). If propose that MT are more resistant to MT-originated transmissible cancer (Yonemitsu et al., 2019, проверить)then it is expected that in port harbors where MT were introduced to, the abundance and sequently the proportion of ME should decrease due to their higher mortality.</w:t>
      </w:r>
    </w:p>
    <w:p>
      <w:pPr>
        <w:pStyle w:val="8"/>
      </w:pPr>
      <w:r>
        <w:t>In any case, our data allow us to confirm the earlier stated hypothesis that in the case of the White Sea, at least, MT is an invasive species (Vainola&amp;Strelkov 2011). Unfortunately, only few data could be provided to check this hypothesis for other european MT populations since the closeness to the port harbors was never included into species distribution models developed for other areas. In some cases it is probably an unrealistic aim due to absence of predictor variability. For example in the case of MT populations in the Baltic Sea, where there is extremely active ship traffic and vessels visiting almost all parts of the Baltic, it is not possible to identify a correlation between the distribution of MTs and the presence of ports. Unless, of course, we consider the whole Baltic Sea as a huge port area where MTs were once introduced some ages ago. This is contradicted by the significant genetic difference of the Baltic MTs from the conspecifics represented in other regions of the Atlantic (Wenne et al., 2020). At the same time, if we look at the map of MT distribution (Vainola &amp; Strelkov, 2011), the confinement of MT to large European ports out of the Baltic Sea (e.g. Bergen, Murmansk), rather speaks in favor of the hypothesis of MT introduction due to ship traffic. The unexpected increase in the number of MT in aquaculture plantations in the Scottish fjords (Beaumont 200+) is rather consistent with the hypothesis of the recent invasion as well.</w:t>
      </w:r>
    </w:p>
    <w:p>
      <w:pPr>
        <w:pStyle w:val="8"/>
      </w:pPr>
      <w:r>
        <w:t>Our analysis revealed that the higher the wind fetch value, the lower the PT i.e. MTs avoid open coasts potentially exposed to the surf. The lowest PT value (i.e., E-morphotype mussels dominate in the settlements) is observed on open shores of the northeast coast of Kandalaksha Bay (Fig. ++), exposed to wave action due to southeast and southwest winds which are frequent in Kandalaksha Bay (+++). This result corresponds well with the data on the thickness of MT and ME shells. It is known that MT have thinner, more fragile shells (Beaumont et al., 2008; Michalek et al, 2021). It is logical to expect that mollusks with such characteristics should avoid places with high wave loading. In such habitats, MEs with stronger shells are expected to benefit. A similar pattern can be seen in other contact zones. For example, in Greenland, an increased frequency of MT was noted at the sheltered top of the fjord (GLS and GLD sites, Fig. 1 in Wenne et al. 2016), while the population at a more open site located near fjord mouth (GLL site in Wenne et al. 2016) is dominated by ME.</w:t>
      </w:r>
    </w:p>
    <w:p>
      <w:pPr>
        <w:pStyle w:val="8"/>
      </w:pPr>
      <w:r>
        <w:t>Finally the nature of the substrate is the most powerful predictor that has an influence on PT variation (Table ++, Figure ++). The proportion of T-morphotype mussels appears to be significantly higher on fucoids than on bottom substrates (silty-sandy sediment, pebbles, boulders and rock surfaces) located in close proximity (not more than 20 m, within the same fucoid belt). This pattern was first detected in the analysis of a significantly smaller volume of material (Katolikova et al., 2016). Bringing in new data collected in a wider range of conditions confirmed the presence of this pattern. It can be assumed that the effect of substrate type on PT has the same mechanism that underlies the negative correlation of PT with wind fetch. Fucoids may work as shock absorbers, mitigating, to a certain extent, the impact of the surf. Another explanation could also be given. Perhaps MTs are capable of attaching to underwater substrates more strongly than MEs do. This should cause less strongly attached molluscs to break off and remain on the bottom under constant fluctuations in the thallus of the fucoids. This hypothesis is contradicted by the fact that a comparison of attachment strength in MTs and MEs from the contact zone in Canada, showed no significant differences between the species when they were kept under laboratory conditions (Lowen et al., 200+). Additional investigations of attachment strength of both species are needed.</w:t>
      </w:r>
    </w:p>
    <w:bookmarkEnd w:id="9"/>
    <w:p>
      <w:pPr>
        <w:pStyle w:val="3"/>
      </w:pPr>
      <w:bookmarkStart w:id="10" w:name="conclusion"/>
      <w:r>
        <w:t>Conclusion</w:t>
      </w:r>
    </w:p>
    <w:p>
      <w:r>
        <w:t>Our analysis did not reveal the large-scale clinal patterns in the distribution of MT and ME associated with salinity gradients (temperature gradient was out of our interest since temperature does not show variation in the studied region) discussed in previous works. We have shown that in Kandalaksha Bay MTs avoiding exposed areas are concentrated near port harbors, where they were probably originally introduced. Apparently, there are some factors preventing MT dispersal from these refugia. We have previously suggested that such a factor may be predators (Khaitov et al., 2018), for which port areas may be unfavorable due to their anthropogenic contamination. Our current study revealed the segregation of MT and ME at even smaller spatial scales. We showed that these two species segregate within the same habitat (the local fucoid belt), inhabiting different substrate types. This is the pattern to be expected if we have deal with the two competing species occurring in common habitat. This suggests that, in addition to the influence of predators, competitive relations with ME may also constrain MT dispersal.</w:t>
      </w:r>
    </w:p>
    <w:p>
      <w:pPr>
        <w:pStyle w:val="8"/>
      </w:pPr>
      <w:r>
        <w:t>If this hypothesis is correct, then we can expect three temporal patterns in changes of MT:ME ratio. Firstly, one of the species can complitelly outcompete the other. Secondly, MT and ME can form a stable system with each species occupying its own ecological niche. Or, more likely, taking into account the instability of mussel settlements (Khaitov, Lentsman, +++), these two species will alternately colonize certain habitats changing each other in time.</w:t>
      </w:r>
    </w:p>
    <w:bookmarkEnd w:id="10"/>
    <w:p>
      <w:pPr>
        <w:pStyle w:val="3"/>
      </w:pPr>
      <w:bookmarkStart w:id="11" w:name="literature-cited"/>
      <w:r>
        <w:t>Literature cited</w:t>
      </w:r>
    </w:p>
    <w:bookmarkEnd w:id="11"/>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6"/>
          <w:jc w:val="right"/>
        </w:pPr>
        <w:r>
          <w:fldChar w:fldCharType="begin"/>
        </w:r>
        <w:r>
          <w:instrText xml:space="preserve">PAGE   \* MERGEFORMAT</w:instrText>
        </w:r>
        <w:r>
          <w:fldChar w:fldCharType="separate"/>
        </w:r>
        <w:r>
          <w:t>3</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Style w:val="23"/>
      </w:rPr>
    </w:pPr>
    <w:r>
      <w:rPr>
        <w:rStyle w:val="23"/>
      </w:rPr>
      <w:fldChar w:fldCharType="begin"/>
    </w:r>
    <w:r>
      <w:rPr>
        <w:rStyle w:val="23"/>
      </w:rPr>
      <w:instrText xml:space="preserve">PAGE  </w:instrText>
    </w:r>
    <w:r>
      <w:rPr>
        <w:rStyle w:val="23"/>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05763E7"/>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9"/>
    <w:semiHidden/>
    <w:qFormat/>
    <w:uiPriority w:val="0"/>
    <w:pPr>
      <w:widowControl w:val="0"/>
      <w:autoSpaceDE w:val="0"/>
      <w:autoSpaceDN w:val="0"/>
      <w:adjustRightInd w:val="0"/>
    </w:pPr>
    <w:rPr>
      <w:sz w:val="0"/>
      <w:szCs w:val="0"/>
    </w:rPr>
  </w:style>
  <w:style w:type="paragraph" w:styleId="8">
    <w:name w:val="Body Text"/>
    <w:basedOn w:val="1"/>
    <w:link w:val="34"/>
    <w:uiPriority w:val="0"/>
  </w:style>
  <w:style w:type="paragraph" w:styleId="9">
    <w:name w:val="Body Text 2"/>
    <w:basedOn w:val="1"/>
    <w:uiPriority w:val="0"/>
    <w:pPr>
      <w:spacing w:after="240"/>
      <w:ind w:firstLine="0"/>
    </w:pPr>
    <w:rPr>
      <w:sz w:val="28"/>
    </w:rPr>
  </w:style>
  <w:style w:type="paragraph" w:styleId="10">
    <w:name w:val="Body Text 3"/>
    <w:basedOn w:val="1"/>
    <w:uiPriority w:val="0"/>
    <w:rPr>
      <w:sz w:val="16"/>
      <w:szCs w:val="16"/>
    </w:rPr>
  </w:style>
  <w:style w:type="paragraph" w:styleId="11">
    <w:name w:val="Body Text Indent"/>
    <w:basedOn w:val="1"/>
    <w:link w:val="33"/>
    <w:qFormat/>
    <w:uiPriority w:val="0"/>
    <w:pPr>
      <w:ind w:left="283" w:firstLine="0"/>
    </w:pPr>
  </w:style>
  <w:style w:type="paragraph" w:styleId="12">
    <w:name w:val="Body Text Indent 2"/>
    <w:basedOn w:val="1"/>
    <w:link w:val="32"/>
    <w:qFormat/>
    <w:uiPriority w:val="0"/>
    <w:pPr>
      <w:ind w:left="283"/>
    </w:pPr>
  </w:style>
  <w:style w:type="paragraph" w:styleId="13">
    <w:name w:val="Body Text Indent 3"/>
    <w:basedOn w:val="1"/>
    <w:uiPriority w:val="0"/>
    <w:pPr>
      <w:ind w:left="283"/>
    </w:pPr>
    <w:rPr>
      <w:sz w:val="16"/>
      <w:szCs w:val="16"/>
    </w:rPr>
  </w:style>
  <w:style w:type="character" w:styleId="14">
    <w:name w:val="Emphasis"/>
    <w:basedOn w:val="5"/>
    <w:qFormat/>
    <w:uiPriority w:val="0"/>
    <w:rPr>
      <w:b/>
      <w:bCs/>
    </w:rPr>
  </w:style>
  <w:style w:type="character" w:styleId="15">
    <w:name w:val="FollowedHyperlink"/>
    <w:basedOn w:val="5"/>
    <w:qFormat/>
    <w:uiPriority w:val="0"/>
    <w:rPr>
      <w:color w:val="800080"/>
      <w:u w:val="single"/>
    </w:rPr>
  </w:style>
  <w:style w:type="paragraph" w:styleId="16">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character" w:styleId="17">
    <w:name w:val="footnote reference"/>
    <w:basedOn w:val="5"/>
    <w:semiHidden/>
    <w:qFormat/>
    <w:uiPriority w:val="0"/>
    <w:rPr>
      <w:vertAlign w:val="superscript"/>
    </w:rPr>
  </w:style>
  <w:style w:type="paragraph" w:styleId="18">
    <w:name w:val="footnote text"/>
    <w:basedOn w:val="1"/>
    <w:link w:val="44"/>
    <w:semiHidden/>
    <w:qFormat/>
    <w:uiPriority w:val="0"/>
    <w:pPr>
      <w:ind w:firstLine="0"/>
    </w:pPr>
    <w:rPr>
      <w:sz w:val="20"/>
    </w:rPr>
  </w:style>
  <w:style w:type="paragraph" w:styleId="19">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character" w:styleId="20">
    <w:name w:val="Hyperlink"/>
    <w:basedOn w:val="5"/>
    <w:qFormat/>
    <w:uiPriority w:val="0"/>
    <w:rPr>
      <w:color w:val="0000FF"/>
      <w:u w:val="single"/>
    </w:rPr>
  </w:style>
  <w:style w:type="character" w:styleId="21">
    <w:name w:val="line number"/>
    <w:basedOn w:val="5"/>
    <w:semiHidden/>
    <w:unhideWhenUsed/>
    <w:uiPriority w:val="99"/>
  </w:style>
  <w:style w:type="paragraph" w:styleId="22">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character" w:styleId="23">
    <w:name w:val="page number"/>
    <w:basedOn w:val="5"/>
    <w:uiPriority w:val="0"/>
  </w:style>
  <w:style w:type="paragraph" w:styleId="24">
    <w:name w:val="Plain Text"/>
    <w:basedOn w:val="1"/>
    <w:qFormat/>
    <w:uiPriority w:val="0"/>
    <w:pPr>
      <w:ind w:firstLine="0"/>
    </w:pPr>
    <w:rPr>
      <w:rFonts w:ascii="Courier New" w:hAnsi="Courier New"/>
      <w:sz w:val="20"/>
    </w:rPr>
  </w:style>
  <w:style w:type="character" w:styleId="25">
    <w:name w:val="Strong"/>
    <w:basedOn w:val="5"/>
    <w:qFormat/>
    <w:uiPriority w:val="0"/>
    <w:rPr>
      <w:b/>
      <w:bCs/>
    </w:rPr>
  </w:style>
  <w:style w:type="table" w:styleId="26">
    <w:name w:val="Table Grid"/>
    <w:basedOn w:val="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paragraph" w:styleId="27">
    <w:name w:val="Title"/>
    <w:basedOn w:val="2"/>
    <w:link w:val="46"/>
    <w:qFormat/>
    <w:uiPriority w:val="0"/>
  </w:style>
  <w:style w:type="table" w:styleId="28">
    <w:name w:val="Light Shading"/>
    <w:basedOn w:val="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29">
    <w:name w:val="Заголовок 1 Знак"/>
    <w:basedOn w:val="5"/>
    <w:link w:val="2"/>
    <w:uiPriority w:val="0"/>
    <w:rPr>
      <w:rFonts w:ascii="Arial" w:hAnsi="Arial" w:eastAsia="Times New Roman" w:cs="Arial"/>
      <w:b/>
      <w:sz w:val="32"/>
      <w:szCs w:val="32"/>
    </w:rPr>
  </w:style>
  <w:style w:type="character" w:customStyle="1" w:styleId="30">
    <w:name w:val="Заголовок 2 Знак"/>
    <w:basedOn w:val="5"/>
    <w:link w:val="3"/>
    <w:qFormat/>
    <w:locked/>
    <w:uiPriority w:val="0"/>
    <w:rPr>
      <w:rFonts w:ascii="Arial" w:hAnsi="Arial" w:eastAsia="Times New Roman" w:cs="Cambria"/>
      <w:bCs/>
      <w:i/>
      <w:iCs/>
      <w:sz w:val="32"/>
      <w:szCs w:val="28"/>
    </w:rPr>
  </w:style>
  <w:style w:type="paragraph" w:customStyle="1" w:styleId="31">
    <w:name w:val="Дерюгин 2"/>
    <w:basedOn w:val="1"/>
    <w:uiPriority w:val="0"/>
    <w:rPr>
      <w:b/>
    </w:rPr>
  </w:style>
  <w:style w:type="character" w:customStyle="1" w:styleId="32">
    <w:name w:val="Основной текст с отступом 2 Знак"/>
    <w:basedOn w:val="5"/>
    <w:link w:val="12"/>
    <w:semiHidden/>
    <w:uiPriority w:val="0"/>
    <w:rPr>
      <w:sz w:val="24"/>
      <w:lang w:val="ru-RU" w:eastAsia="ru-RU" w:bidi="ar-SA"/>
    </w:rPr>
  </w:style>
  <w:style w:type="character" w:customStyle="1" w:styleId="33">
    <w:name w:val="Основной текст с отступом Знак"/>
    <w:basedOn w:val="5"/>
    <w:link w:val="11"/>
    <w:semiHidden/>
    <w:qFormat/>
    <w:uiPriority w:val="0"/>
    <w:rPr>
      <w:sz w:val="24"/>
      <w:szCs w:val="24"/>
      <w:lang w:val="ru-RU" w:eastAsia="ru-RU" w:bidi="ar-SA"/>
    </w:rPr>
  </w:style>
  <w:style w:type="character" w:customStyle="1" w:styleId="34">
    <w:name w:val="Основной текст Знак"/>
    <w:basedOn w:val="5"/>
    <w:link w:val="8"/>
    <w:uiPriority w:val="0"/>
    <w:rPr>
      <w:rFonts w:eastAsia="Times New Roman"/>
      <w:sz w:val="24"/>
      <w:szCs w:val="24"/>
    </w:rPr>
  </w:style>
  <w:style w:type="character" w:customStyle="1" w:styleId="35">
    <w:name w:val="Heading 2 Char"/>
    <w:basedOn w:val="5"/>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5"/>
    <w:link w:val="16"/>
    <w:qFormat/>
    <w:locked/>
    <w:uiPriority w:val="99"/>
    <w:rPr>
      <w:rFonts w:ascii="Courier New" w:hAnsi="Courier New" w:cs="Courier New"/>
      <w:sz w:val="24"/>
      <w:szCs w:val="24"/>
      <w:lang w:val="ru-RU" w:eastAsia="ru-RU" w:bidi="ar-SA"/>
    </w:rPr>
  </w:style>
  <w:style w:type="character" w:customStyle="1" w:styleId="37">
    <w:name w:val="Footer Char"/>
    <w:basedOn w:val="5"/>
    <w:semiHidden/>
    <w:qFormat/>
    <w:uiPriority w:val="0"/>
    <w:rPr>
      <w:rFonts w:ascii="Courier New" w:hAnsi="Courier New" w:cs="Courier New"/>
      <w:sz w:val="24"/>
      <w:szCs w:val="24"/>
    </w:rPr>
  </w:style>
  <w:style w:type="character" w:customStyle="1" w:styleId="38">
    <w:name w:val="Верхний колонтитул Знак"/>
    <w:basedOn w:val="5"/>
    <w:link w:val="19"/>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5"/>
    <w:link w:val="7"/>
    <w:semiHidden/>
    <w:qFormat/>
    <w:uiPriority w:val="0"/>
    <w:rPr>
      <w:sz w:val="0"/>
      <w:szCs w:val="0"/>
      <w:lang w:val="ru-RU" w:eastAsia="ru-RU" w:bidi="ar-SA"/>
    </w:rPr>
  </w:style>
  <w:style w:type="character" w:customStyle="1" w:styleId="40">
    <w:name w:val="Знак4"/>
    <w:basedOn w:val="5"/>
    <w:qFormat/>
    <w:locked/>
    <w:uiPriority w:val="0"/>
    <w:rPr>
      <w:sz w:val="28"/>
      <w:szCs w:val="28"/>
    </w:rPr>
  </w:style>
  <w:style w:type="character" w:customStyle="1" w:styleId="41">
    <w:name w:val="Знак3"/>
    <w:basedOn w:val="5"/>
    <w:qFormat/>
    <w:locked/>
    <w:uiPriority w:val="0"/>
    <w:rPr>
      <w:rFonts w:ascii="Courier New" w:hAnsi="Courier New" w:cs="Courier New"/>
      <w:sz w:val="24"/>
      <w:szCs w:val="24"/>
    </w:rPr>
  </w:style>
  <w:style w:type="character" w:customStyle="1" w:styleId="42">
    <w:name w:val="Знак2"/>
    <w:basedOn w:val="5"/>
    <w:semiHidden/>
    <w:qFormat/>
    <w:locked/>
    <w:uiPriority w:val="0"/>
    <w:rPr>
      <w:rFonts w:ascii="Courier New" w:hAnsi="Courier New" w:cs="Courier New"/>
      <w:sz w:val="24"/>
      <w:szCs w:val="24"/>
    </w:rPr>
  </w:style>
  <w:style w:type="character" w:customStyle="1" w:styleId="43">
    <w:name w:val="Знак9"/>
    <w:basedOn w:val="5"/>
    <w:qFormat/>
    <w:locked/>
    <w:uiPriority w:val="0"/>
    <w:rPr>
      <w:b/>
      <w:bCs/>
    </w:rPr>
  </w:style>
  <w:style w:type="character" w:customStyle="1" w:styleId="44">
    <w:name w:val="Текст сноски Знак"/>
    <w:basedOn w:val="5"/>
    <w:link w:val="18"/>
    <w:semiHidden/>
    <w:qFormat/>
    <w:locked/>
    <w:uiPriority w:val="0"/>
    <w:rPr>
      <w:lang w:val="ru-RU" w:eastAsia="ru-RU" w:bidi="ar-SA"/>
    </w:rPr>
  </w:style>
  <w:style w:type="character" w:customStyle="1" w:styleId="45">
    <w:name w:val="Footnote Text Char"/>
    <w:basedOn w:val="5"/>
    <w:semiHidden/>
    <w:qFormat/>
    <w:uiPriority w:val="0"/>
    <w:rPr>
      <w:rFonts w:ascii="Courier New" w:hAnsi="Courier New" w:cs="Courier New"/>
      <w:sz w:val="20"/>
      <w:szCs w:val="20"/>
    </w:rPr>
  </w:style>
  <w:style w:type="character" w:customStyle="1" w:styleId="46">
    <w:name w:val="Название Знак"/>
    <w:basedOn w:val="5"/>
    <w:link w:val="27"/>
    <w:qFormat/>
    <w:locked/>
    <w:uiPriority w:val="0"/>
    <w:rPr>
      <w:rFonts w:ascii="Arial" w:hAnsi="Arial" w:eastAsia="Times New Roman"/>
      <w:sz w:val="36"/>
    </w:rPr>
  </w:style>
  <w:style w:type="character" w:customStyle="1" w:styleId="47">
    <w:name w:val="Title Char"/>
    <w:basedOn w:val="5"/>
    <w:qFormat/>
    <w:uiPriority w:val="0"/>
    <w:rPr>
      <w:rFonts w:ascii="Cambria" w:hAnsi="Cambria" w:eastAsia="Times New Roman" w:cs="Times New Roman"/>
      <w:b/>
      <w:bCs/>
      <w:kern w:val="28"/>
      <w:sz w:val="32"/>
      <w:szCs w:val="32"/>
    </w:rPr>
  </w:style>
  <w:style w:type="character" w:customStyle="1" w:styleId="48">
    <w:name w:val="spelle"/>
    <w:basedOn w:val="5"/>
    <w:qFormat/>
    <w:uiPriority w:val="0"/>
  </w:style>
  <w:style w:type="character" w:customStyle="1" w:styleId="49">
    <w:name w:val="grame"/>
    <w:basedOn w:val="5"/>
    <w:qFormat/>
    <w:uiPriority w:val="0"/>
  </w:style>
  <w:style w:type="character" w:customStyle="1" w:styleId="50">
    <w:name w:val="ref-journal"/>
    <w:basedOn w:val="5"/>
    <w:qFormat/>
    <w:uiPriority w:val="0"/>
  </w:style>
  <w:style w:type="character" w:customStyle="1" w:styleId="51">
    <w:name w:val="ref-vol"/>
    <w:basedOn w:val="5"/>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4"/>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24"/>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uiPriority w:val="0"/>
    <w:pPr>
      <w:jc w:val="center"/>
    </w:pPr>
    <w:rPr>
      <w:sz w:val="36"/>
    </w:rPr>
  </w:style>
  <w:style w:type="character" w:customStyle="1" w:styleId="60">
    <w:name w:val="Стиль Arial 16 пт"/>
    <w:basedOn w:val="5"/>
    <w:qFormat/>
    <w:uiPriority w:val="0"/>
    <w:rPr>
      <w:rFonts w:ascii="Arial" w:hAnsi="Arial"/>
      <w:sz w:val="32"/>
    </w:r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4</TotalTime>
  <ScaleCrop>false</ScaleCrop>
  <LinksUpToDate>false</LinksUpToDate>
  <CharactersWithSpaces>3680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2021-09-12T19:19:00Z</dcterms:created>
  <dc:creator>polyd</dc:creator>
  <cp:lastModifiedBy>polyd</cp:lastModifiedBy>
  <dcterms:modified xsi:type="dcterms:W3CDTF">2021-09-12T19:27:14Z</dcterms:modified>
  <dc:title>Factors regulating distribution of Mytilus trossulus and M.edulis in the Kandalaksha Bay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1033-11.2.0.10265</vt:lpwstr>
  </property>
  <property fmtid="{D5CDD505-2E9C-101B-9397-08002B2CF9AE}" pid="4" name="ICV">
    <vt:lpwstr>DD68421F5477407CBF85C7347A86F411</vt:lpwstr>
  </property>
</Properties>
</file>