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Моллюски рода </w:t>
      </w:r>
      <w:r>
        <w:rPr>
          <w:rFonts w:hint="default"/>
          <w:lang w:val="en-US"/>
        </w:rPr>
        <w:t>Mytilus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будучи мощными экосистемными инженерами ((Günther, 1996; Commito &amp; Rusignuolo, 2000;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Arribas et al., 2014</w:t>
      </w:r>
      <w:r>
        <w:rPr>
          <w:rFonts w:hint="default"/>
          <w:lang w:val="en-US"/>
        </w:rPr>
        <w:t>; Khalaman et al 2021</w:t>
      </w:r>
      <w:r>
        <w:rPr>
          <w:rFonts w:hint="default"/>
          <w:lang w:val="ru-RU"/>
        </w:rPr>
        <w:t xml:space="preserve">) играют важную роль в формировании облика прибрежных сообществ морей Северного полушария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Buschbaum et al. 2009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Плотные скопления этих моллюсков среду обитания для огромного количества животных, растений и микроорганизмов, поселяющихся в биогеной среде, создаваемой мидиями (Tsuchia &amp; Nishihira, 1985, 1986; </w:t>
      </w:r>
      <w:r>
        <w:rPr>
          <w:rFonts w:hint="default"/>
          <w:lang w:val="en-US"/>
        </w:rPr>
        <w:t>Dittman 1990; Khaitov 2013; Khalaman et al 2021</w:t>
      </w:r>
      <w:r>
        <w:rPr>
          <w:rFonts w:hint="default"/>
          <w:lang w:val="ru-RU"/>
        </w:rPr>
        <w:t xml:space="preserve"> +++). С другой стороны мидии сами выступают в качестве важнейшего пищевого компонента для потребителей высоких порядков таких как </w:t>
      </w:r>
      <w:r>
        <w:rPr>
          <w:rFonts w:hint="default"/>
          <w:lang w:val="en-US"/>
        </w:rPr>
        <w:t xml:space="preserve">whelks (Hunt, Sheibling 1998), </w:t>
      </w:r>
      <w:r>
        <w:rPr>
          <w:rFonts w:hint="default"/>
          <w:lang w:val="ru-RU"/>
        </w:rPr>
        <w:t xml:space="preserve"> крабы (Chakravarti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Cotton</w:t>
      </w:r>
      <w:r>
        <w:rPr>
          <w:rFonts w:hint="default"/>
          <w:lang w:val="en-US"/>
        </w:rPr>
        <w:t xml:space="preserve">, 2013; Lowen et al., 2013; Wójcik et al. 2015 </w:t>
      </w:r>
      <w:r>
        <w:rPr>
          <w:rFonts w:hint="default"/>
          <w:lang w:val="ru-RU"/>
        </w:rPr>
        <w:t>), морские звезды (</w:t>
      </w:r>
      <w:r>
        <w:rPr>
          <w:rFonts w:hint="default"/>
          <w:lang w:val="en-US"/>
        </w:rPr>
        <w:t xml:space="preserve">Nauen, 1978; Dare 1982; </w:t>
      </w:r>
      <w:r>
        <w:rPr>
          <w:rFonts w:hint="default"/>
          <w:lang w:val="ru-RU"/>
        </w:rPr>
        <w:t>Kautsky et al., 1990</w:t>
      </w:r>
      <w:r>
        <w:rPr>
          <w:rFonts w:hint="default"/>
          <w:lang w:val="en-US"/>
        </w:rPr>
        <w:t xml:space="preserve">; Seed, Suchanek, 1992; Gaymer et al., 2001; Saier 2001 </w:t>
      </w:r>
      <w:r>
        <w:rPr>
          <w:rFonts w:hint="default"/>
          <w:lang w:val="ru-RU"/>
        </w:rPr>
        <w:t>), рыбы (Lappalainen</w:t>
      </w:r>
      <w:r>
        <w:rPr>
          <w:rFonts w:hint="default"/>
          <w:lang w:val="en-US"/>
        </w:rPr>
        <w:t xml:space="preserve"> et al., 2005</w:t>
      </w:r>
      <w:r>
        <w:rPr>
          <w:rFonts w:hint="default"/>
          <w:lang w:val="ru-RU"/>
        </w:rPr>
        <w:t>), птицы (</w:t>
      </w:r>
      <w:r>
        <w:rPr>
          <w:rFonts w:hint="default"/>
          <w:lang w:val="en-US"/>
        </w:rPr>
        <w:t xml:space="preserve"> Norton-Griffiths, 1967; </w:t>
      </w:r>
      <w:r>
        <w:rPr>
          <w:rFonts w:hint="default"/>
          <w:lang w:val="ru-RU"/>
        </w:rPr>
        <w:t>Beukema</w:t>
      </w:r>
      <w:r>
        <w:rPr>
          <w:rFonts w:hint="default"/>
          <w:lang w:val="en-US"/>
        </w:rPr>
        <w:t xml:space="preserve"> et al., 2010; Ens, Goss-Custardt, 1984</w:t>
      </w:r>
      <w:r>
        <w:rPr>
          <w:rFonts w:hint="default"/>
          <w:lang w:val="ru-RU"/>
        </w:rPr>
        <w:t>)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люди как древние (</w:t>
      </w:r>
      <w:r>
        <w:rPr>
          <w:rFonts w:hint="default"/>
          <w:lang w:val="en-US"/>
        </w:rPr>
        <w:t>Colonese et al., 2011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 и современные (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Одной из существенных проблем в изучении экологической роли мидий, которая начала осознаваться в последние десятилетия, является таксономическая неоднородность самого экосистемного инженера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Так, в морях Северной Атлантики представлены три близких, криптических, вида </w:t>
      </w:r>
      <w:r>
        <w:rPr>
          <w:i/>
        </w:rPr>
        <w:t>M. edul</w:t>
      </w:r>
      <w:r>
        <w:rPr>
          <w:i/>
          <w:lang w:val="en-US"/>
        </w:rPr>
        <w:t>i</w:t>
      </w:r>
      <w:r>
        <w:rPr>
          <w:i/>
        </w:rPr>
        <w:t>s</w:t>
      </w:r>
      <w:r>
        <w:t xml:space="preserve"> (МЕ), </w:t>
      </w:r>
      <w:r>
        <w:rPr>
          <w:i/>
        </w:rPr>
        <w:t>M. trossulus</w:t>
      </w:r>
      <w:r>
        <w:t xml:space="preserve"> (</w:t>
      </w:r>
      <w:r>
        <w:rPr>
          <w:lang w:val="en-US"/>
        </w:rPr>
        <w:t>MT</w:t>
      </w:r>
      <w:r>
        <w:t xml:space="preserve">) и </w:t>
      </w:r>
      <w:r>
        <w:rPr>
          <w:i/>
        </w:rPr>
        <w:t>M. galloprovincialis</w:t>
      </w:r>
      <w:r>
        <w:t xml:space="preserve"> (</w:t>
      </w:r>
      <w:r>
        <w:rPr>
          <w:lang w:val="en-US"/>
        </w:rPr>
        <w:t>MG</w:t>
      </w:r>
      <w:r>
        <w:t>)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Varvio et al., 1988; Hilbish et al., 2000; Mathiesen et al. ++++;  Brooks, Farmen, 2013; Riginos, Cunningham, 2005; Katolikova et al. 2016; </w:t>
      </w:r>
      <w:r>
        <w:rPr>
          <w:lang w:val="en-US"/>
        </w:rPr>
        <w:t>Vainola</w:t>
      </w:r>
      <w:r>
        <w:t xml:space="preserve">, </w:t>
      </w:r>
      <w:r>
        <w:rPr>
          <w:lang w:val="en-US"/>
        </w:rPr>
        <w:t>Strelkov</w:t>
      </w:r>
      <w:r>
        <w:t xml:space="preserve"> 2011</w:t>
      </w:r>
      <w:r>
        <w:rPr>
          <w:rFonts w:hint="default"/>
          <w:lang w:val="en-US"/>
        </w:rPr>
        <w:t xml:space="preserve">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</w:t>
      </w:r>
      <w:r>
        <w:rPr>
          <w:rFonts w:hint="default"/>
          <w:lang w:val="ru-RU"/>
        </w:rPr>
        <w:t>), которые в зонах контакта могут формировать смешанные поселения. Генетические эффекты, возникающие в гибридных зонах хорошо описаны (</w:t>
      </w:r>
      <w:r>
        <w:rPr>
          <w:rFonts w:hint="default"/>
          <w:lang w:val="en-US"/>
        </w:rPr>
        <w:t>Bierne et al., 2002; Bierne et al., 2003;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Simon et al., 2019</w:t>
      </w:r>
      <w:r>
        <w:rPr>
          <w:rFonts w:hint="default"/>
          <w:lang w:val="ru-RU"/>
        </w:rPr>
        <w:t>). Они сводятся к тому, что такие криптические виды вступают в ограниченную интрогрессивную гибридизацию (</w:t>
      </w:r>
      <w:r>
        <w:rPr>
          <w:rFonts w:hint="default"/>
          <w:lang w:val="en-US"/>
        </w:rPr>
        <w:t>Michalek et al 2016; Simon et al., 2019 and references therein</w:t>
      </w:r>
      <w:r>
        <w:rPr>
          <w:rFonts w:hint="default"/>
          <w:lang w:val="ru-RU"/>
        </w:rPr>
        <w:t>). Гибридизацаия может приводит не только к срытому перераспределению аллелей между генофорндами (+++), но и к некоторым смещениям морфологических признаков, существенных с экологической точки зрения (</w:t>
      </w:r>
      <w:r>
        <w:rPr>
          <w:rFonts w:hint="default"/>
          <w:lang w:val="en-US"/>
        </w:rPr>
        <w:t>Michalek et al., 2021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то же время, вопрос о том, различается ли экологическая роль криптических видов мидий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формирующих симпатрические поселения, остается открытым. В ряде случаев авторы закрывают глаза на присутствие нескольких криптических видов, по прежнему считая, что в их регионе представлен один единственный вид (</w:t>
      </w:r>
      <w:r>
        <w:rPr>
          <w:rFonts w:hint="default"/>
          <w:lang w:val="en-US"/>
        </w:rPr>
        <w:t xml:space="preserve">Khalaman et al. 2021). </w:t>
      </w:r>
      <w:r>
        <w:rPr>
          <w:rFonts w:hint="default"/>
          <w:lang w:val="ru-RU"/>
        </w:rPr>
        <w:t xml:space="preserve">Другой подход заключается в обозначении комплекса криптических видов, как </w:t>
      </w:r>
      <w:r>
        <w:rPr>
          <w:rFonts w:hint="default"/>
          <w:lang w:val="en-US"/>
        </w:rPr>
        <w:t>“Mytilus spp.” (Beyer et al., 2017; Leopold et al 2019)</w:t>
      </w:r>
      <w:r>
        <w:rPr>
          <w:rFonts w:hint="default"/>
          <w:lang w:val="ru-RU"/>
        </w:rPr>
        <w:t>. Оба подхода могут потенциально приводить к огрублению результатов и потери из внимания некоторых важных экологических закономерностей. Так, например, показано, что хищники различают криптические виды в симпатрических поселениях, отдавая предпочтение одному из них (</w:t>
      </w:r>
      <w:r>
        <w:rPr>
          <w:rFonts w:hint="default"/>
          <w:lang w:val="en-US"/>
        </w:rPr>
        <w:t>Khaitov et al. 2018)</w:t>
      </w:r>
      <w:r>
        <w:rPr>
          <w:rFonts w:hint="default"/>
          <w:lang w:val="ru-RU"/>
        </w:rPr>
        <w:t>. Разные виды мидий, в свою очередь, демонстрируют различный арсенал защитных средств против хищников (</w:t>
      </w:r>
      <w:r>
        <w:rPr>
          <w:rFonts w:hint="default"/>
          <w:lang w:val="en-US"/>
        </w:rPr>
        <w:t>Lowen et al., 2013).</w:t>
      </w:r>
      <w:r>
        <w:rPr>
          <w:rFonts w:hint="default"/>
          <w:lang w:val="ru-RU"/>
        </w:rPr>
        <w:t xml:space="preserve"> Несомненно самым ярким различием экологической роли криптических видов является их разная коммерческой ценность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как объекта аквакультуры </w:t>
      </w:r>
      <w:r>
        <w:rPr>
          <w:rFonts w:hint="default"/>
          <w:lang w:val="en-US"/>
        </w:rPr>
        <w:t xml:space="preserve">(Mallet et al., 1995; </w:t>
      </w:r>
      <w:r>
        <w:rPr>
          <w:rFonts w:hint="default" w:ascii="Helvetica" w:hAnsi="Helvetica" w:eastAsia="Helvetica"/>
          <w:sz w:val="16"/>
          <w:szCs w:val="24"/>
        </w:rPr>
        <w:t>Penney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 2002; </w:t>
      </w:r>
      <w:r>
        <w:rPr>
          <w:rFonts w:hint="default" w:ascii="Helvetica" w:hAnsi="Helvetica" w:eastAsia="Helvetica"/>
          <w:sz w:val="16"/>
          <w:szCs w:val="24"/>
        </w:rPr>
        <w:t>Beaumont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2008; 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en-US"/>
        </w:rPr>
        <w:t xml:space="preserve">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свете сказанного видится важным развитие подходов к анализу экологической роли криптических видов мидий с учетом их таксономической неоднородности. Если исследователь осознал, что в регионе, в котором он проводит свои экологические исследования представлено несколько криптических видов мидий, то первостепенной задачей становится понять какие факторы регулируют распределение видов, где следует ожидать скопление одного вида, а где другого. В данной работе мы рассмотрим только случай, когда в контакт вступают два вида (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В настоящее время в Северной Атлантике известно как минимум семь таких зон контакта: Западная Гренландия, Побережье Северной Америки от от the Gulf of Maine to Hudson Bay, northeastern Scotland, western Baltic Sea, western Norway (</w:t>
      </w:r>
      <w:r>
        <w:rPr>
          <w:rFonts w:hint="default"/>
          <w:lang w:val="en-US"/>
        </w:rPr>
        <w:t>Vainola, Strolkov, 2011;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Wenne et al 2020), </w:t>
      </w:r>
      <w:r>
        <w:rPr>
          <w:rFonts w:hint="default"/>
          <w:lang w:val="ru-RU"/>
        </w:rPr>
        <w:t xml:space="preserve"> the coasts of the Kola Peninsula </w:t>
      </w:r>
      <w:r>
        <w:rPr>
          <w:rFonts w:hint="default"/>
          <w:lang w:val="en-US"/>
        </w:rPr>
        <w:t xml:space="preserve">in the </w:t>
      </w:r>
      <w:r>
        <w:rPr>
          <w:rFonts w:hint="default"/>
          <w:lang w:val="ru-RU"/>
        </w:rPr>
        <w:t>Barents Sea</w:t>
      </w:r>
      <w:r>
        <w:rPr>
          <w:rFonts w:hint="default"/>
          <w:lang w:val="en-US"/>
        </w:rPr>
        <w:t xml:space="preserve"> (Vainola, Strolkov, 2011; Khaitov et al. 2021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побережье Кандалакшского залива Белого моря (</w:t>
      </w:r>
      <w:r>
        <w:rPr>
          <w:rFonts w:hint="default"/>
          <w:lang w:val="en-US"/>
        </w:rPr>
        <w:t>Katolikova et al. 2016</w:t>
      </w:r>
      <w:r>
        <w:rPr>
          <w:rFonts w:hint="default"/>
          <w:lang w:val="ru-RU"/>
        </w:rPr>
        <w:t xml:space="preserve">; </w:t>
      </w:r>
      <w:r>
        <w:rPr>
          <w:rFonts w:hint="default"/>
          <w:lang w:val="en-US"/>
        </w:rPr>
        <w:t>Khaitov et al., 2021).</w:t>
      </w:r>
      <w:r>
        <w:rPr>
          <w:rFonts w:hint="default"/>
          <w:lang w:val="ru-RU"/>
        </w:rPr>
        <w:t xml:space="preserve"> Общей чертой всех указанных зон контакта является пространственная сегрегация </w:t>
      </w:r>
      <w:r>
        <w:t>МЕ и МТ</w:t>
      </w:r>
      <w:r>
        <w:rPr>
          <w:rFonts w:hint="default"/>
          <w:lang w:val="ru-RU"/>
        </w:rPr>
        <w:t>. Ч</w:t>
      </w:r>
      <w:r>
        <w:rPr>
          <w:lang w:val="ru-RU"/>
        </w:rPr>
        <w:t>астоты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rFonts w:hint="default"/>
          <w:lang w:val="ru-RU"/>
        </w:rPr>
        <w:t xml:space="preserve">в зонах контакта </w:t>
      </w:r>
      <w:r>
        <w:rPr>
          <w:lang w:val="ru-RU"/>
        </w:rPr>
        <w:t>могут</w:t>
      </w:r>
      <w:r>
        <w:rPr>
          <w:rFonts w:hint="default"/>
          <w:lang w:val="ru-RU"/>
        </w:rPr>
        <w:t xml:space="preserve"> изменяться клинально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вдоль некоторых ключевых градиентов параметров среды </w:t>
      </w:r>
      <w:r>
        <w:rPr>
          <w:rFonts w:hint="default"/>
          <w:lang w:val="en-US"/>
        </w:rPr>
        <w:t>(Väinölä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Hvilsom 1991; </w:t>
      </w:r>
      <w:r>
        <w:t xml:space="preserve">Riginos, Cunningham, 2005; </w:t>
      </w:r>
      <w:r>
        <w:rPr>
          <w:rFonts w:hint="default"/>
          <w:lang w:val="en-US"/>
        </w:rPr>
        <w:t>Väinölä and Strelkov 2011)</w:t>
      </w:r>
      <w:r>
        <w:rPr>
          <w:rFonts w:hint="default"/>
          <w:lang w:val="ru-RU"/>
        </w:rPr>
        <w:t>. При этом пространственная струкутра клина может меняться во времени (</w:t>
      </w:r>
      <w:r>
        <w:rPr>
          <w:rFonts w:hint="default"/>
          <w:lang w:val="en-US"/>
        </w:rPr>
        <w:t xml:space="preserve">Strlkov et al., 2017). </w:t>
      </w:r>
      <w:r>
        <w:rPr>
          <w:rFonts w:hint="default"/>
          <w:lang w:val="ru-RU"/>
        </w:rPr>
        <w:t xml:space="preserve">Однако описаны и случаи мозаичного распространения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, когда в пределах одного региона присутствуют отдельные пятна с более высокой концентрацией одного или другого вида </w:t>
      </w:r>
      <w: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2016;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2020).</w:t>
      </w:r>
      <w:r>
        <w:rPr>
          <w:rFonts w:hint="default"/>
          <w:lang w:val="ru-RU"/>
        </w:rPr>
        <w:t xml:space="preserve"> Пространственный масштаб этой пятнистости может варьировать от </w:t>
      </w:r>
      <w:r>
        <w:t xml:space="preserve">километров </w:t>
      </w:r>
      <w:r>
        <w:rPr>
          <w:lang w:val="ru-RU"/>
        </w:rPr>
        <w:t>до</w:t>
      </w:r>
      <w:r>
        <w:rPr>
          <w:rFonts w:hint="default"/>
          <w:lang w:val="ru-RU"/>
        </w:rPr>
        <w:t xml:space="preserve"> единиц </w:t>
      </w:r>
      <w:r>
        <w:t xml:space="preserve">метров </w:t>
      </w:r>
      <w:r>
        <w:rPr>
          <w:rFonts w:hint="default"/>
          <w:lang w:val="ru-RU"/>
        </w:rP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2016</w:t>
      </w:r>
      <w:r>
        <w:rPr>
          <w:rFonts w:hint="default"/>
          <w:lang w:val="ru-RU"/>
        </w:rPr>
        <w:t>).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ключевого фактора, определяющего </w:t>
      </w:r>
      <w:r>
        <w:t>пространственн</w:t>
      </w:r>
      <w:r>
        <w:rPr>
          <w:lang w:val="ru-RU"/>
        </w:rPr>
        <w:t>ую</w:t>
      </w:r>
      <w:r>
        <w:rPr>
          <w:rFonts w:hint="default"/>
          <w:lang w:val="ru-RU"/>
        </w:rPr>
        <w:t xml:space="preserve"> </w:t>
      </w:r>
      <w:r>
        <w:t>сегрегаци</w:t>
      </w:r>
      <w:r>
        <w:rPr>
          <w:lang w:val="ru-RU"/>
        </w:rPr>
        <w:t>ю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lang w:val="ru-RU"/>
        </w:rPr>
        <w:t>часто</w:t>
      </w:r>
      <w:r>
        <w:rPr>
          <w:rFonts w:hint="default"/>
          <w:lang w:val="ru-RU"/>
        </w:rPr>
        <w:t xml:space="preserve"> рассматривают </w:t>
      </w:r>
      <w:r>
        <w:t>соленость</w:t>
      </w:r>
      <w:r>
        <w:rPr>
          <w:rFonts w:hint="default"/>
          <w:lang w:val="ru-RU"/>
        </w:rPr>
        <w:t xml:space="preserve">, считая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тяготеет к местам с пониженной соленостью, а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неопресненным участкам</w:t>
      </w:r>
      <w:r>
        <w:t xml:space="preserve"> (Riginos, Cunningham, 2005</w:t>
      </w:r>
      <w:r>
        <w:rPr>
          <w:rFonts w:hint="default"/>
          <w:lang w:val="ru-RU"/>
        </w:rPr>
        <w:t xml:space="preserve">; </w:t>
      </w:r>
      <w:r>
        <w:t>Ridgway, Naewdal, 2004)</w:t>
      </w:r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Иногда, в качестве ведущего фактора, разделяющего виды в пространстве рассматривается </w:t>
      </w:r>
      <w:r>
        <w:t>волново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</w:t>
      </w:r>
      <w:r>
        <w:t>воздействи</w:t>
      </w:r>
      <w:r>
        <w:rPr>
          <w:lang w:val="ru-RU"/>
        </w:rPr>
        <w:t>е</w:t>
      </w:r>
      <w:r>
        <w:rPr>
          <w:rFonts w:hint="default"/>
          <w:lang w:val="ru-RU"/>
        </w:rPr>
        <w:t>. Было показано, что</w:t>
      </w:r>
      <w:r>
        <w:t xml:space="preserve"> МТ </w:t>
      </w:r>
      <w:r>
        <w:rPr>
          <w:lang w:val="ru-RU"/>
        </w:rPr>
        <w:t>тяготеет</w:t>
      </w:r>
      <w:r>
        <w:rPr>
          <w:rFonts w:hint="default"/>
          <w:lang w:val="ru-RU"/>
        </w:rPr>
        <w:t xml:space="preserve"> к более прибойным местообитаниям, 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>к более затишным участками (</w:t>
      </w:r>
      <w:r>
        <w:t xml:space="preserve">Tam, Scrosati, 2014; Comesaña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1999; </w:t>
      </w:r>
      <w:r>
        <w:rPr>
          <w:lang w:val="en-US"/>
        </w:rPr>
        <w:t>Bates</w:t>
      </w:r>
      <w:r>
        <w:t xml:space="preserve">, </w:t>
      </w:r>
      <w:r>
        <w:rPr>
          <w:lang w:val="en-US"/>
        </w:rPr>
        <w:t>Innes</w:t>
      </w:r>
      <w:r>
        <w:t>, 1995</w:t>
      </w:r>
      <w:r>
        <w:rPr>
          <w:rFonts w:hint="default"/>
          <w:lang w:val="ru-RU"/>
        </w:rPr>
        <w:t>).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воздействием прибоя пытались связать и хорошо выраженный паттерн расхождения видов по субстратам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зарослям фукоидов, а 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поверхности каменистых субстратов. Авторы предположили, что фукоиды выполняют роль амортизаторов, смягчая воздействие прибоя губительное для</w:t>
      </w:r>
      <w:r>
        <w:rPr>
          <w:rFonts w:hint="default"/>
          <w:lang w:val="en-US"/>
        </w:rPr>
        <w:t xml:space="preserve"> MT, </w:t>
      </w:r>
      <w:r>
        <w:rPr>
          <w:rFonts w:hint="default"/>
          <w:lang w:val="ru-RU"/>
        </w:rPr>
        <w:t>обладающих более тонкостенными раковинами (</w:t>
      </w:r>
      <w:r>
        <w:rPr>
          <w:rFonts w:hint="default"/>
          <w:lang w:val="en-US"/>
        </w:rPr>
        <w:t>Beaumont et al., 2008; Michalek et al, 20021)</w:t>
      </w:r>
      <w:r>
        <w:rPr>
          <w:rFonts w:hint="default"/>
          <w:lang w:val="ru-RU"/>
        </w:rPr>
        <w:t xml:space="preserve">. То есть в этом случае предполагается обратная зависимость: ожидается,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более затишным участкам. В некоторых исследованиях, когда дизайн сбора материала был специально адаптирован для изучение роли прибойности, роль этого фактора в регуляции соотношения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доказана не была (</w:t>
      </w:r>
      <w:r>
        <w:rPr>
          <w:lang w:val="en-US"/>
        </w:rPr>
        <w:t>Moreau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2005)</w:t>
      </w:r>
      <w:r>
        <w:rPr>
          <w:rFonts w:hint="default"/>
          <w:lang w:val="ru-RU"/>
        </w:rPr>
        <w:t>.</w:t>
      </w:r>
      <w:r>
        <w:t xml:space="preserve"> 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Еще одно объяснение пространственной сегрегации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может быть связано с историей формирования контактной зоны. Так например, считается, что в Баренцевом и Белом морях, где изначально были представлены только </w:t>
      </w:r>
      <w:r>
        <w:rPr>
          <w:rFonts w:hint="default"/>
          <w:lang w:val="en-US"/>
        </w:rPr>
        <w:t xml:space="preserve">ME, </w:t>
      </w:r>
      <w:r>
        <w:rPr>
          <w:rFonts w:hint="default"/>
          <w:lang w:val="ru-RU"/>
        </w:rPr>
        <w:t xml:space="preserve">поселения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возникли в результате заноса этого вида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побережья Северной Америки за счет судов, осуществлявших трансатлантические рейсы во время второй мировой войны (</w:t>
      </w:r>
      <w:r>
        <w:rPr>
          <w:rFonts w:hint="default"/>
          <w:lang w:val="en-US"/>
        </w:rPr>
        <w:t xml:space="preserve">Vainola, Strlkov, 2011). </w:t>
      </w:r>
      <w:r>
        <w:rPr>
          <w:rFonts w:hint="default"/>
          <w:lang w:val="ru-RU"/>
        </w:rPr>
        <w:t xml:space="preserve">Соответственно повышенная концентрация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наблюдается в районах портов (</w:t>
      </w:r>
      <w:r>
        <w:rPr>
          <w:rFonts w:hint="default"/>
          <w:lang w:val="en-US"/>
        </w:rPr>
        <w:t>Vainola, Strlkov, 2011; Katolikova et al. 2016)</w:t>
      </w:r>
      <w:r>
        <w:rPr>
          <w:rFonts w:hint="default"/>
          <w:lang w:val="ru-RU"/>
        </w:rPr>
        <w:t xml:space="preserve">, куда этот вид был изначально интродуцирован.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Таким образом, довольно большой спектр факторов (соленость, уровень волнового воздействия, близость к портам и характер субстрата) рассматривался в качестве возможных агентов, регулирующих пространственную сегрегацию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MT. </w:t>
      </w:r>
      <w:r>
        <w:rPr>
          <w:rFonts w:hint="default"/>
          <w:lang w:val="ru-RU"/>
        </w:rPr>
        <w:t xml:space="preserve">Однако единой концепции, объясняющей причины формирования пространственных паттернов в распределении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 зонах их симпатрии нет. Более того некоторые корреляции, которые кажутся явными, могут иметь и другую трактовку. Например, связь высокого обилия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с пониженной соленостью может трактоваться и иначе: наиболее опресненные участки (устьях рек) часто являются и наиболее затишными участками. Портовые структуры, аналогично, нередко представлены в наиболее затишных и опресненных участках. Таким образом, строгих доказательств роли того ии иного фактора в регуляции распределения видов нет. Единственный путь для решения поставленной задачи - это включение в единую регрессионную модель всех предикторов, потенциально влияющих на состав смешанных поселений.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Зона контакта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обнаруженная в Кандалакшском заливе Белого моря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дает возможность для решения этой задачи. Во-первых, здесь представлены хорошо выраженные градиенты солености, определяющиеся впадением в море нескольких крупных рек (+++++ </w:t>
      </w:r>
      <w:r>
        <w:rPr>
          <w:rFonts w:hint="default"/>
          <w:lang w:val="en-US"/>
        </w:rPr>
        <w:t>Katolikova et al., 2016</w:t>
      </w:r>
      <w:r>
        <w:rPr>
          <w:rFonts w:hint="default"/>
          <w:lang w:val="ru-RU"/>
        </w:rPr>
        <w:t>). Во-вторых, на побережье залива чередуются затишные участки (многочисленные заливы и шхеры), и участки открытые для воздействия прибоя. В-третьих, на побережье залива представлено несколько активных и несколько заброшенных портов (</w:t>
      </w:r>
      <w:r>
        <w:rPr>
          <w:rFonts w:hint="default"/>
          <w:lang w:val="en-US"/>
        </w:rPr>
        <w:t>Fig. +</w:t>
      </w:r>
      <w:r>
        <w:rPr>
          <w:rFonts w:hint="default"/>
          <w:lang w:val="ru-RU"/>
        </w:rPr>
        <w:t>).  В-четвертых, на литорали залива, практически повсеместно, выражен пояс фукоидов и мидии на всей акватории залива поселяются как на водорослях, так и на поверхности грунта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 что позволяет оценить роль субстрата в регуляции микромасштабной сегрегации видов.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green"/>
          <w:lang w:val="ru-RU"/>
        </w:rPr>
        <w:t xml:space="preserve">При этом, пояс фукоидов в разных местах представлен в одинаковых условиях осушки (++++), что позволяет формировать выборки из стандартных условий осушки. </w:t>
      </w:r>
      <w:r>
        <w:rPr>
          <w:rFonts w:hint="default"/>
          <w:lang w:val="ru-RU"/>
        </w:rPr>
        <w:t xml:space="preserve">И, наконец, было показано, что в Кандалакшском заливе Белого моря сложные гентические манипуляции, напрвленные на идентификацию видов, могут быть заменены простым </w:t>
      </w:r>
      <w:r>
        <w:rPr>
          <w:rFonts w:hint="default"/>
          <w:lang w:val="en-US"/>
        </w:rPr>
        <w:t>“morphtype test”</w:t>
      </w:r>
      <w:r>
        <w:rPr>
          <w:rFonts w:hint="default"/>
          <w:lang w:val="ru-RU"/>
        </w:rPr>
        <w:t xml:space="preserve">, основанном на изучении простого конхологического признака </w:t>
      </w:r>
      <w:r>
        <w:rPr>
          <w:rFonts w:hint="default"/>
          <w:lang w:val="en-US"/>
        </w:rPr>
        <w:t xml:space="preserve"> (Khaitov et al. 2021)</w:t>
      </w:r>
      <w:r>
        <w:rPr>
          <w:rFonts w:hint="default"/>
          <w:lang w:val="ru-RU"/>
        </w:rPr>
        <w:t>. Результаты этого теста позволяют с высокой точностью идентифицировать виды мидий (</w:t>
      </w:r>
      <w:r>
        <w:rPr>
          <w:rFonts w:hint="default"/>
          <w:lang w:val="en-US"/>
        </w:rPr>
        <w:t>Katolikova et al., 2016; Khaitov et al. 2021).</w:t>
      </w:r>
      <w:r>
        <w:rPr>
          <w:rFonts w:hint="default"/>
          <w:lang w:val="ru-RU"/>
        </w:rPr>
        <w:t xml:space="preserve"> Это позволяет обработать большой материал, который не реально было бы обработать с использованием генетических технологий.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green"/>
          <w:lang w:val="ru-RU"/>
        </w:rPr>
      </w:pPr>
      <w:r>
        <w:rPr>
          <w:rFonts w:hint="default"/>
          <w:lang w:val="ru-RU"/>
        </w:rPr>
        <w:t xml:space="preserve">В данной работе мы на основе большого материала, собранного в Кандалакшском заливе Белого моря, проведем регрессионый анализ, включающий в одну модель все указанные выше факторы-кандидаты одновременно. </w:t>
      </w:r>
      <w:r>
        <w:rPr>
          <w:rFonts w:hint="default"/>
          <w:highlight w:val="green"/>
          <w:lang w:val="ru-RU"/>
        </w:rPr>
        <w:t xml:space="preserve">Отдельной задачей мы поставили сопоставление силы прикрепления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к донным субстратам, как одного из ключевых свойств различающих роль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в донных сообществах.  </w:t>
      </w:r>
      <w:bookmarkStart w:id="0" w:name="_GoBack"/>
      <w:bookmarkEnd w:id="0"/>
      <w:r>
        <w:rPr>
          <w:rFonts w:hint="default"/>
          <w:highlight w:val="green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D30130"/>
    <w:rsid w:val="15BE36F2"/>
    <w:rsid w:val="217D2628"/>
    <w:rsid w:val="37183C10"/>
    <w:rsid w:val="3C43568E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2021-07-31T08:52:00Z</dcterms:created>
  <dc:creator>polyd</dc:creator>
  <cp:lastModifiedBy>polyd</cp:lastModifiedBy>
  <dcterms:modified xsi:type="dcterms:W3CDTF">2021-08-01T11:58:10Z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