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Lines="0"/>
        <w:jc w:val="left"/>
        <w:rPr>
          <w:rFonts w:hint="default" w:ascii="Candida-Roman" w:hAnsi="Candida-Roman" w:eastAsia="Candida-Roman"/>
          <w:color w:val="231F20"/>
          <w:sz w:val="16"/>
          <w:szCs w:val="24"/>
        </w:rPr>
      </w:pPr>
      <w:r>
        <w:rPr>
          <w:rFonts w:hint="default" w:ascii="Candida-Roman" w:hAnsi="Candida-Roman" w:eastAsia="Candida-Roman"/>
          <w:color w:val="231F20"/>
          <w:sz w:val="16"/>
          <w:szCs w:val="24"/>
        </w:rPr>
        <w:t>Elith J, Graham CH (2009) Do they? How do they? WHY do</w:t>
      </w:r>
    </w:p>
    <w:p>
      <w:pPr>
        <w:spacing w:beforeLines="0" w:afterLines="0"/>
        <w:jc w:val="left"/>
        <w:rPr>
          <w:rFonts w:hint="default" w:ascii="Candida-Roman" w:hAnsi="Candida-Roman" w:eastAsia="Candida-Roman"/>
          <w:color w:val="231F20"/>
          <w:sz w:val="16"/>
          <w:szCs w:val="24"/>
        </w:rPr>
      </w:pPr>
      <w:r>
        <w:rPr>
          <w:rFonts w:hint="default" w:ascii="Candida-Roman" w:hAnsi="Candida-Roman" w:eastAsia="Candida-Roman"/>
          <w:color w:val="231F20"/>
          <w:sz w:val="16"/>
          <w:szCs w:val="24"/>
        </w:rPr>
        <w:t>they differ? On finding reasons for differing performances</w:t>
      </w:r>
    </w:p>
    <w:p>
      <w:r>
        <w:rPr>
          <w:rFonts w:hint="default" w:ascii="Candida-Roman" w:hAnsi="Candida-Roman" w:eastAsia="Candida-Roman"/>
          <w:color w:val="231F20"/>
          <w:sz w:val="16"/>
          <w:szCs w:val="24"/>
        </w:rPr>
        <w:t>of species distribution models. Ecography 32: 66−77</w:t>
      </w:r>
    </w:p>
    <w:p>
      <w:pPr>
        <w:rPr>
          <w:lang w:val="en-US"/>
        </w:rPr>
      </w:pPr>
    </w:p>
    <w:p>
      <w:pPr>
        <w:spacing w:beforeLines="0" w:afterLines="0"/>
        <w:jc w:val="left"/>
        <w:rPr>
          <w:rFonts w:hint="default" w:ascii="AdvPSPAL-R" w:hAnsi="AdvPSPAL-R" w:eastAsia="AdvPSPAL-R"/>
          <w:sz w:val="18"/>
          <w:szCs w:val="24"/>
          <w:lang w:val="ru-RU"/>
        </w:rPr>
      </w:pPr>
      <w:r>
        <w:rPr>
          <w:rFonts w:hint="default" w:ascii="AdvPSPAL-R" w:hAnsi="AdvPSPAL-R" w:eastAsia="AdvPSPAL-R"/>
          <w:sz w:val="18"/>
          <w:szCs w:val="24"/>
          <w:lang w:val="ru-RU"/>
        </w:rPr>
        <w:t>Про криптические виды в море</w:t>
      </w:r>
    </w:p>
    <w:p>
      <w:pPr>
        <w:spacing w:beforeLines="0" w:afterLines="0"/>
        <w:jc w:val="left"/>
        <w:rPr>
          <w:rFonts w:hint="default" w:ascii="AdvPSPAL-R" w:hAnsi="AdvPSPAL-R" w:eastAsia="AdvPSPAL-R"/>
          <w:sz w:val="18"/>
          <w:szCs w:val="24"/>
          <w:lang w:val="ru-RU"/>
        </w:rPr>
      </w:pPr>
    </w:p>
    <w:p>
      <w:pPr>
        <w:spacing w:beforeLines="0" w:afterLines="0"/>
        <w:jc w:val="left"/>
        <w:rPr>
          <w:rFonts w:hint="default" w:ascii="AdvPSPAL-R" w:hAnsi="AdvPSPAL-R" w:eastAsia="AdvPSPAL-R"/>
          <w:sz w:val="18"/>
          <w:szCs w:val="24"/>
        </w:rPr>
      </w:pPr>
      <w:r>
        <w:rPr>
          <w:rFonts w:hint="default" w:ascii="AdvPSPAL-R" w:hAnsi="AdvPSPAL-R" w:eastAsia="AdvPSPAL-R"/>
          <w:sz w:val="18"/>
          <w:szCs w:val="24"/>
        </w:rPr>
        <w:t>Knowlton 1993; Chen &amp; Hare</w:t>
      </w:r>
    </w:p>
    <w:p>
      <w:pPr>
        <w:rPr>
          <w:rFonts w:hint="default" w:ascii="AdvPSPAL-R" w:hAnsi="AdvPSPAL-R" w:eastAsia="AdvPSPAL-R"/>
          <w:sz w:val="18"/>
          <w:szCs w:val="24"/>
        </w:rPr>
      </w:pPr>
      <w:r>
        <w:rPr>
          <w:rFonts w:hint="default" w:ascii="AdvPSPAL-R" w:hAnsi="AdvPSPAL-R" w:eastAsia="AdvPSPAL-R"/>
          <w:sz w:val="18"/>
          <w:szCs w:val="24"/>
        </w:rPr>
        <w:t>2008; Hellberg 2009; Marko &amp; Moran 2009</w:t>
      </w:r>
    </w:p>
    <w:p>
      <w:pPr>
        <w:rPr>
          <w:rFonts w:hint="default" w:ascii="AdvPSPAL-R" w:hAnsi="AdvPSPAL-R" w:eastAsia="AdvPSPAL-R"/>
          <w:sz w:val="18"/>
          <w:szCs w:val="24"/>
        </w:rPr>
      </w:pPr>
    </w:p>
    <w:p>
      <w:pPr>
        <w:rPr>
          <w:rFonts w:hint="default" w:ascii="AdvPSPAL-R" w:hAnsi="AdvPSPAL-R" w:eastAsia="AdvPSPAL-R"/>
          <w:sz w:val="18"/>
          <w:szCs w:val="24"/>
          <w:lang w:val="en-US"/>
        </w:rPr>
      </w:pPr>
    </w:p>
    <w:p>
      <w:pPr>
        <w:spacing w:beforeLines="0" w:afterLines="0"/>
        <w:jc w:val="left"/>
        <w:rPr>
          <w:rFonts w:hint="default" w:ascii="AdvPSPAL-R" w:hAnsi="AdvPSPAL-R" w:eastAsia="AdvPSPAL-R"/>
          <w:sz w:val="16"/>
          <w:szCs w:val="24"/>
        </w:rPr>
      </w:pPr>
      <w:r>
        <w:rPr>
          <w:rFonts w:hint="default" w:ascii="AdvPSPAL-R" w:hAnsi="AdvPSPAL-R" w:eastAsia="AdvPSPAL-R"/>
          <w:sz w:val="16"/>
          <w:szCs w:val="24"/>
        </w:rPr>
        <w:t>Marko PB, Moran AL (2009) Out of sight, out of mind: high</w:t>
      </w:r>
    </w:p>
    <w:p>
      <w:pPr>
        <w:spacing w:beforeLines="0" w:afterLines="0"/>
        <w:jc w:val="left"/>
        <w:rPr>
          <w:rFonts w:hint="default" w:ascii="AdvPSPAL-R" w:hAnsi="AdvPSPAL-R" w:eastAsia="AdvPSPAL-R"/>
          <w:sz w:val="16"/>
          <w:szCs w:val="24"/>
        </w:rPr>
      </w:pPr>
      <w:r>
        <w:rPr>
          <w:rFonts w:hint="default" w:ascii="AdvPSPAL-R" w:hAnsi="AdvPSPAL-R" w:eastAsia="AdvPSPAL-R"/>
          <w:sz w:val="16"/>
          <w:szCs w:val="24"/>
        </w:rPr>
        <w:t>cryptic diversity obscures the identities and histories of</w:t>
      </w:r>
    </w:p>
    <w:p>
      <w:pPr>
        <w:spacing w:beforeLines="0" w:afterLines="0"/>
        <w:jc w:val="left"/>
        <w:rPr>
          <w:rFonts w:hint="default" w:ascii="AdvPSPAL-R" w:hAnsi="AdvPSPAL-R" w:eastAsia="AdvPSPAL-R"/>
          <w:sz w:val="16"/>
          <w:szCs w:val="24"/>
        </w:rPr>
      </w:pPr>
      <w:r>
        <w:rPr>
          <w:rFonts w:hint="default" w:ascii="AdvPSPAL-R" w:hAnsi="AdvPSPAL-R" w:eastAsia="AdvPSPAL-R"/>
          <w:sz w:val="16"/>
          <w:szCs w:val="24"/>
        </w:rPr>
        <w:t xml:space="preserve">geminate species in the marine bivalve subgenus </w:t>
      </w:r>
      <w:r>
        <w:rPr>
          <w:rFonts w:hint="default" w:ascii="Advpala-ita" w:hAnsi="Advpala-ita" w:eastAsia="Advpala-ita"/>
          <w:sz w:val="16"/>
          <w:szCs w:val="24"/>
        </w:rPr>
        <w:t>Acar</w:t>
      </w:r>
      <w:r>
        <w:rPr>
          <w:rFonts w:hint="default" w:ascii="AdvPSPAL-R" w:hAnsi="AdvPSPAL-R" w:eastAsia="AdvPSPAL-R"/>
          <w:sz w:val="16"/>
          <w:szCs w:val="24"/>
        </w:rPr>
        <w:t>.</w:t>
      </w:r>
    </w:p>
    <w:p>
      <w:pPr>
        <w:rPr>
          <w:rFonts w:hint="default" w:ascii="AdvPSPAL-R" w:hAnsi="AdvPSPAL-R" w:eastAsia="AdvPSPAL-R"/>
          <w:sz w:val="16"/>
          <w:szCs w:val="24"/>
        </w:rPr>
      </w:pPr>
      <w:r>
        <w:rPr>
          <w:rFonts w:hint="default" w:ascii="Advpala-ita" w:hAnsi="Advpala-ita" w:eastAsia="Advpala-ita"/>
          <w:sz w:val="16"/>
          <w:szCs w:val="24"/>
        </w:rPr>
        <w:t>Journal of Biogeography</w:t>
      </w:r>
      <w:r>
        <w:rPr>
          <w:rFonts w:hint="default" w:ascii="AdvPSPAL-R" w:hAnsi="AdvPSPAL-R" w:eastAsia="AdvPSPAL-R"/>
          <w:sz w:val="16"/>
          <w:szCs w:val="24"/>
        </w:rPr>
        <w:t>, 36, 1861–1880.</w:t>
      </w:r>
    </w:p>
    <w:p>
      <w:pPr>
        <w:rPr>
          <w:rFonts w:hint="default" w:ascii="AdvPSPAL-R" w:hAnsi="AdvPSPAL-R" w:eastAsia="AdvPSPAL-R"/>
          <w:sz w:val="16"/>
          <w:szCs w:val="24"/>
        </w:rPr>
      </w:pPr>
    </w:p>
    <w:p>
      <w:pPr>
        <w:spacing w:beforeLines="0" w:afterLines="0"/>
        <w:jc w:val="left"/>
        <w:rPr>
          <w:rFonts w:hint="default" w:ascii="AdvPSPAL-R" w:hAnsi="AdvPSPAL-R" w:eastAsia="AdvPSPAL-R"/>
          <w:sz w:val="16"/>
          <w:szCs w:val="24"/>
        </w:rPr>
      </w:pPr>
      <w:r>
        <w:rPr>
          <w:rFonts w:hint="default" w:ascii="AdvPSPAL-R" w:hAnsi="AdvPSPAL-R" w:eastAsia="AdvPSPAL-R"/>
          <w:sz w:val="16"/>
          <w:szCs w:val="24"/>
        </w:rPr>
        <w:t>Hellberg ME (2009) Gene flow and isolation among</w:t>
      </w:r>
    </w:p>
    <w:p>
      <w:pPr>
        <w:spacing w:beforeLines="0" w:afterLines="0"/>
        <w:jc w:val="left"/>
        <w:rPr>
          <w:rFonts w:hint="default" w:ascii="Advpala-ita" w:hAnsi="Advpala-ita" w:eastAsia="Advpala-ita"/>
          <w:sz w:val="16"/>
          <w:szCs w:val="24"/>
        </w:rPr>
      </w:pPr>
      <w:r>
        <w:rPr>
          <w:rFonts w:hint="default" w:ascii="AdvPSPAL-R" w:hAnsi="AdvPSPAL-R" w:eastAsia="AdvPSPAL-R"/>
          <w:sz w:val="16"/>
          <w:szCs w:val="24"/>
        </w:rPr>
        <w:t xml:space="preserve">populations of marine animals. </w:t>
      </w:r>
      <w:r>
        <w:rPr>
          <w:rFonts w:hint="default" w:ascii="Advpala-ita" w:hAnsi="Advpala-ita" w:eastAsia="Advpala-ita"/>
          <w:sz w:val="16"/>
          <w:szCs w:val="24"/>
        </w:rPr>
        <w:t>Annual Review of Ecology and</w:t>
      </w:r>
    </w:p>
    <w:p>
      <w:pPr>
        <w:rPr>
          <w:rFonts w:hint="default" w:ascii="AdvPSPAL-R" w:hAnsi="AdvPSPAL-R" w:eastAsia="AdvPSPAL-R"/>
          <w:sz w:val="16"/>
          <w:szCs w:val="24"/>
          <w:lang w:val="en-US"/>
        </w:rPr>
      </w:pPr>
      <w:r>
        <w:rPr>
          <w:rFonts w:hint="default" w:ascii="Advpala-ita" w:hAnsi="Advpala-ita" w:eastAsia="Advpala-ita"/>
          <w:sz w:val="16"/>
          <w:szCs w:val="24"/>
        </w:rPr>
        <w:t>Evolutionary Systematics</w:t>
      </w:r>
      <w:r>
        <w:rPr>
          <w:rFonts w:hint="default" w:ascii="AdvPSPAL-R" w:hAnsi="AdvPSPAL-R" w:eastAsia="AdvPSPAL-R"/>
          <w:sz w:val="16"/>
          <w:szCs w:val="24"/>
        </w:rPr>
        <w:t>, 40, 291–310</w:t>
      </w:r>
    </w:p>
    <w:p>
      <w:pPr>
        <w:rPr>
          <w:rFonts w:hint="default" w:ascii="AdvPSPAL-R" w:hAnsi="AdvPSPAL-R" w:eastAsia="AdvPSPAL-R"/>
          <w:sz w:val="18"/>
          <w:szCs w:val="24"/>
          <w:lang w:val="en-US"/>
        </w:rPr>
      </w:pPr>
    </w:p>
    <w:p>
      <w:pPr>
        <w:rPr>
          <w:rFonts w:hint="default" w:ascii="AdvPSPAL-R" w:hAnsi="AdvPSPAL-R" w:eastAsia="AdvPSPAL-R"/>
          <w:sz w:val="18"/>
          <w:szCs w:val="24"/>
          <w:lang w:val="en-US"/>
        </w:rPr>
      </w:pPr>
      <w:r>
        <w:rPr>
          <w:rFonts w:hint="default" w:ascii="AdvPSPAL-R" w:hAnsi="AdvPSPAL-R" w:eastAsia="AdvPSPAL-R"/>
          <w:sz w:val="18"/>
          <w:szCs w:val="24"/>
          <w:lang w:val="en-US"/>
        </w:rPr>
        <w:t>Lowen, J. B., and DiBacco, C. 2017. Distributional changes in a guild of non-indigenous tunicates inthe NW Atlantic under high resolution</w:t>
      </w:r>
    </w:p>
    <w:p>
      <w:pPr>
        <w:rPr>
          <w:rFonts w:hint="default" w:ascii="AdvPSPAL-R" w:hAnsi="AdvPSPAL-R" w:eastAsia="AdvPSPAL-R"/>
          <w:sz w:val="18"/>
          <w:szCs w:val="24"/>
          <w:lang w:val="en-US"/>
        </w:rPr>
      </w:pPr>
      <w:r>
        <w:rPr>
          <w:rFonts w:hint="default" w:ascii="AdvPSPAL-R" w:hAnsi="AdvPSPAL-R" w:eastAsia="AdvPSPAL-R"/>
          <w:sz w:val="18"/>
          <w:szCs w:val="24"/>
          <w:lang w:val="en-US"/>
        </w:rPr>
        <w:t>climate projections. Marine Ecology Progress Series, 570:</w:t>
      </w:r>
    </w:p>
    <w:p>
      <w:pPr>
        <w:rPr>
          <w:rFonts w:hint="default" w:ascii="AdvPSPAL-R" w:hAnsi="AdvPSPAL-R" w:eastAsia="AdvPSPAL-R"/>
          <w:sz w:val="18"/>
          <w:szCs w:val="24"/>
          <w:lang w:val="en-US"/>
        </w:rPr>
      </w:pPr>
      <w:r>
        <w:rPr>
          <w:rFonts w:hint="default" w:ascii="AdvPSPAL-R" w:hAnsi="AdvPSPAL-R" w:eastAsia="AdvPSPAL-R"/>
          <w:sz w:val="18"/>
          <w:szCs w:val="24"/>
          <w:lang w:val="en-US"/>
        </w:rPr>
        <w:t>173–186.</w:t>
      </w:r>
    </w:p>
    <w:p>
      <w:pPr>
        <w:rPr>
          <w:rFonts w:hint="default" w:ascii="AdvPSPAL-R" w:hAnsi="AdvPSPAL-R" w:eastAsia="AdvPSPAL-R"/>
          <w:sz w:val="18"/>
          <w:szCs w:val="24"/>
          <w:lang w:val="en-US"/>
        </w:rPr>
      </w:pPr>
    </w:p>
    <w:p>
      <w:pPr>
        <w:rPr>
          <w:rFonts w:hint="default" w:ascii="AdvPSPAL-R" w:hAnsi="AdvPSPAL-R" w:eastAsia="AdvPSPAL-R"/>
          <w:sz w:val="18"/>
          <w:szCs w:val="24"/>
          <w:lang w:val="en-US"/>
        </w:rPr>
      </w:pPr>
      <w:r>
        <w:rPr>
          <w:rFonts w:hint="default" w:ascii="AdvPSPAL-R" w:hAnsi="AdvPSPAL-R" w:eastAsia="AdvPSPAL-R"/>
          <w:sz w:val="18"/>
          <w:szCs w:val="24"/>
          <w:lang w:val="en-US"/>
        </w:rPr>
        <w:t>Lowen, J., McKindsey, C., Therriault, T., and DiBacco, C. 2016.</w:t>
      </w:r>
    </w:p>
    <w:p>
      <w:pPr>
        <w:rPr>
          <w:rFonts w:hint="default" w:ascii="AdvPSPAL-R" w:hAnsi="AdvPSPAL-R" w:eastAsia="AdvPSPAL-R"/>
          <w:sz w:val="18"/>
          <w:szCs w:val="24"/>
          <w:lang w:val="en-US"/>
        </w:rPr>
      </w:pPr>
      <w:r>
        <w:rPr>
          <w:rFonts w:hint="default" w:ascii="AdvPSPAL-R" w:hAnsi="AdvPSPAL-R" w:eastAsia="AdvPSPAL-R"/>
          <w:sz w:val="18"/>
          <w:szCs w:val="24"/>
          <w:lang w:val="en-US"/>
        </w:rPr>
        <w:t>Effects of spatial resolution on predicting the distribution of aquatic invasive species in nearshore marine environments.</w:t>
      </w:r>
    </w:p>
    <w:p>
      <w:pPr>
        <w:rPr>
          <w:rFonts w:hint="default" w:ascii="AdvPSPAL-R" w:hAnsi="AdvPSPAL-R" w:eastAsia="AdvPSPAL-R"/>
          <w:sz w:val="18"/>
          <w:szCs w:val="24"/>
          <w:lang w:val="en-US"/>
        </w:rPr>
      </w:pPr>
      <w:r>
        <w:rPr>
          <w:rFonts w:hint="default" w:ascii="AdvPSPAL-R" w:hAnsi="AdvPSPAL-R" w:eastAsia="AdvPSPAL-R"/>
          <w:sz w:val="18"/>
          <w:szCs w:val="24"/>
          <w:lang w:val="en-US"/>
        </w:rPr>
        <w:t>Marine Ecology Progress Series, 556: 17–30.</w:t>
      </w:r>
    </w:p>
    <w:p>
      <w:pPr>
        <w:rPr>
          <w:rFonts w:hint="default" w:ascii="AdvPSPAL-R" w:hAnsi="AdvPSPAL-R" w:eastAsia="AdvPSPAL-R"/>
          <w:sz w:val="18"/>
          <w:szCs w:val="24"/>
          <w:lang w:val="en-US"/>
        </w:rPr>
      </w:pPr>
    </w:p>
    <w:p>
      <w:pPr>
        <w:rPr>
          <w:rFonts w:hint="default" w:ascii="AdvPSPAL-R" w:hAnsi="AdvPSPAL-R" w:eastAsia="AdvPSPAL-R"/>
          <w:sz w:val="18"/>
          <w:szCs w:val="24"/>
          <w:lang w:val="en-US"/>
        </w:rPr>
      </w:pPr>
    </w:p>
    <w:p>
      <w:pPr>
        <w:rPr>
          <w:rFonts w:hint="default" w:ascii="AdvPSPAL-R" w:hAnsi="AdvPSPAL-R" w:eastAsia="AdvPSPAL-R"/>
          <w:sz w:val="18"/>
          <w:szCs w:val="24"/>
          <w:lang w:val="en-US"/>
        </w:rPr>
      </w:pPr>
    </w:p>
    <w:p>
      <w:pPr>
        <w:spacing w:beforeLines="0" w:afterLines="0"/>
        <w:jc w:val="left"/>
        <w:rPr>
          <w:rFonts w:hint="eastAsia" w:ascii="STIX-Regular" w:hAnsi="STIX-Regular" w:eastAsia="STIX-Regular"/>
          <w:color w:val="0000FF"/>
          <w:sz w:val="20"/>
          <w:szCs w:val="24"/>
        </w:rPr>
      </w:pPr>
      <w:r>
        <w:rPr>
          <w:rFonts w:hint="eastAsia" w:ascii="STIX-Regular" w:hAnsi="STIX-Regular" w:eastAsia="STIX-Regular"/>
          <w:color w:val="000000"/>
          <w:sz w:val="20"/>
          <w:szCs w:val="24"/>
        </w:rPr>
        <w:t>Elith</w:t>
      </w:r>
      <w:r>
        <w:rPr>
          <w:rFonts w:hint="default" w:ascii="STIX-Regular" w:hAnsi="STIX-Regular" w:eastAsia="STIX-Regular"/>
          <w:color w:val="000000"/>
          <w:sz w:val="20"/>
          <w:szCs w:val="24"/>
          <w:lang w:val="ru-RU"/>
        </w:rPr>
        <w:t xml:space="preserve"> </w:t>
      </w:r>
      <w:r>
        <w:rPr>
          <w:rFonts w:hint="eastAsia" w:ascii="STIX-Regular" w:hAnsi="STIX-Regular" w:eastAsia="STIX-Regular"/>
          <w:color w:val="000000"/>
          <w:sz w:val="20"/>
          <w:szCs w:val="24"/>
        </w:rPr>
        <w:t xml:space="preserve">and Leathwick </w:t>
      </w:r>
      <w:r>
        <w:rPr>
          <w:rFonts w:hint="eastAsia" w:ascii="STIX-Regular" w:hAnsi="STIX-Regular" w:eastAsia="STIX-Regular"/>
          <w:color w:val="0000FF"/>
          <w:sz w:val="20"/>
          <w:szCs w:val="24"/>
        </w:rPr>
        <w:t>2009</w:t>
      </w:r>
      <w:r>
        <w:rPr>
          <w:rFonts w:hint="eastAsia" w:ascii="STIX-Regular" w:hAnsi="STIX-Regular" w:eastAsia="STIX-Regular"/>
          <w:color w:val="000000"/>
          <w:sz w:val="20"/>
          <w:szCs w:val="24"/>
        </w:rPr>
        <w:t xml:space="preserve">; Goldsmit et al. </w:t>
      </w:r>
      <w:r>
        <w:rPr>
          <w:rFonts w:hint="eastAsia" w:ascii="STIX-Regular" w:hAnsi="STIX-Regular" w:eastAsia="STIX-Regular"/>
          <w:color w:val="0000FF"/>
          <w:sz w:val="20"/>
          <w:szCs w:val="24"/>
        </w:rPr>
        <w:t>2018</w:t>
      </w:r>
      <w:r>
        <w:rPr>
          <w:rFonts w:hint="eastAsia" w:ascii="STIX-Regular" w:hAnsi="STIX-Regular" w:eastAsia="STIX-Regular"/>
          <w:color w:val="000000"/>
          <w:sz w:val="20"/>
          <w:szCs w:val="24"/>
        </w:rPr>
        <w:t>; Lindegren</w:t>
      </w:r>
      <w:r>
        <w:rPr>
          <w:rFonts w:hint="default" w:ascii="STIX-Regular" w:hAnsi="STIX-Regular" w:eastAsia="STIX-Regular"/>
          <w:color w:val="000000"/>
          <w:sz w:val="20"/>
          <w:szCs w:val="24"/>
          <w:lang w:val="ru-RU"/>
        </w:rPr>
        <w:t xml:space="preserve"> </w:t>
      </w:r>
      <w:r>
        <w:rPr>
          <w:rFonts w:hint="eastAsia" w:ascii="STIX-Regular" w:hAnsi="STIX-Regular" w:eastAsia="STIX-Regular"/>
          <w:color w:val="000000"/>
          <w:sz w:val="20"/>
          <w:szCs w:val="24"/>
        </w:rPr>
        <w:t xml:space="preserve">et al. </w:t>
      </w:r>
      <w:r>
        <w:rPr>
          <w:rFonts w:hint="eastAsia" w:ascii="STIX-Regular" w:hAnsi="STIX-Regular" w:eastAsia="STIX-Regular"/>
          <w:color w:val="0000FF"/>
          <w:sz w:val="20"/>
          <w:szCs w:val="24"/>
        </w:rPr>
        <w:t>2020</w:t>
      </w:r>
    </w:p>
    <w:p>
      <w:pPr>
        <w:spacing w:beforeLines="0" w:afterLines="0"/>
        <w:jc w:val="left"/>
        <w:rPr>
          <w:rFonts w:hint="eastAsia" w:ascii="STIX-Regular" w:hAnsi="STIX-Regular" w:eastAsia="STIX-Regular"/>
          <w:color w:val="0000FF"/>
          <w:sz w:val="20"/>
          <w:szCs w:val="24"/>
        </w:rPr>
      </w:pPr>
    </w:p>
    <w:p>
      <w:pPr>
        <w:spacing w:beforeLines="0" w:afterLines="0"/>
        <w:jc w:val="left"/>
        <w:rPr>
          <w:rFonts w:hint="eastAsia" w:ascii="STIX-Regular" w:hAnsi="STIX-Regular" w:eastAsia="STIX-Regular"/>
          <w:color w:val="0000FF"/>
          <w:sz w:val="20"/>
          <w:szCs w:val="24"/>
        </w:rPr>
      </w:pPr>
    </w:p>
    <w:p>
      <w:pPr>
        <w:spacing w:beforeLines="0" w:afterLines="0"/>
        <w:jc w:val="left"/>
        <w:rPr>
          <w:rFonts w:hint="eastAsia" w:ascii="STIX-Regular" w:hAnsi="STIX-Regular" w:eastAsia="STIX-Regular"/>
          <w:sz w:val="17"/>
          <w:szCs w:val="24"/>
        </w:rPr>
      </w:pPr>
      <w:r>
        <w:rPr>
          <w:rFonts w:hint="eastAsia" w:ascii="STIX-Regular" w:hAnsi="STIX-Regular" w:eastAsia="STIX-Regular"/>
          <w:sz w:val="17"/>
          <w:szCs w:val="24"/>
        </w:rPr>
        <w:t>Lindegren M, Thomas MK, Jonasdottir SH, Nielsen TG, Munk</w:t>
      </w:r>
    </w:p>
    <w:p>
      <w:pPr>
        <w:spacing w:beforeLines="0" w:afterLines="0"/>
        <w:jc w:val="left"/>
        <w:rPr>
          <w:rFonts w:hint="eastAsia" w:ascii="STIX-Regular" w:hAnsi="STIX-Regular" w:eastAsia="STIX-Regular"/>
          <w:sz w:val="17"/>
          <w:szCs w:val="24"/>
        </w:rPr>
      </w:pPr>
      <w:r>
        <w:rPr>
          <w:rFonts w:hint="eastAsia" w:ascii="STIX-Regular" w:hAnsi="STIX-Regular" w:eastAsia="STIX-Regular"/>
          <w:sz w:val="17"/>
          <w:szCs w:val="24"/>
        </w:rPr>
        <w:t>P (2020) Environmental niche separation promotes coexistence</w:t>
      </w:r>
    </w:p>
    <w:p>
      <w:pPr>
        <w:spacing w:beforeLines="0" w:afterLines="0"/>
        <w:jc w:val="left"/>
        <w:rPr>
          <w:rFonts w:hint="eastAsia" w:ascii="STIX-Regular" w:hAnsi="STIX-Regular" w:eastAsia="STIX-Regular"/>
          <w:sz w:val="17"/>
          <w:szCs w:val="24"/>
        </w:rPr>
      </w:pPr>
      <w:r>
        <w:rPr>
          <w:rFonts w:hint="eastAsia" w:ascii="STIX-Regular" w:hAnsi="STIX-Regular" w:eastAsia="STIX-Regular"/>
          <w:sz w:val="17"/>
          <w:szCs w:val="24"/>
        </w:rPr>
        <w:t>among ecologically similar zooplankton species—</w:t>
      </w:r>
    </w:p>
    <w:p>
      <w:pPr>
        <w:spacing w:beforeLines="0" w:afterLines="0"/>
        <w:jc w:val="left"/>
        <w:rPr>
          <w:rFonts w:hint="eastAsia" w:ascii="STIX-Regular" w:hAnsi="STIX-Regular" w:eastAsia="STIX-Regular"/>
          <w:sz w:val="17"/>
          <w:szCs w:val="24"/>
        </w:rPr>
      </w:pPr>
      <w:r>
        <w:rPr>
          <w:rFonts w:hint="eastAsia" w:ascii="STIX-Regular" w:hAnsi="STIX-Regular" w:eastAsia="STIX-Regular"/>
          <w:sz w:val="17"/>
          <w:szCs w:val="24"/>
        </w:rPr>
        <w:t>North Sea copepods as a case study. Limnol Oceanogr</w:t>
      </w:r>
    </w:p>
    <w:p>
      <w:pPr>
        <w:spacing w:beforeLines="0" w:afterLines="0"/>
        <w:jc w:val="left"/>
        <w:rPr>
          <w:rFonts w:hint="eastAsia" w:ascii="STIX-Regular" w:hAnsi="STIX-Regular" w:eastAsia="STIX-Regular"/>
          <w:sz w:val="17"/>
          <w:szCs w:val="24"/>
        </w:rPr>
      </w:pPr>
      <w:r>
        <w:rPr>
          <w:rFonts w:hint="eastAsia" w:ascii="STIX-Regular" w:hAnsi="STIX-Regular" w:eastAsia="STIX-Regular"/>
          <w:sz w:val="17"/>
          <w:szCs w:val="24"/>
        </w:rPr>
        <w:t>65:545–556</w:t>
      </w:r>
    </w:p>
    <w:p>
      <w:pPr>
        <w:spacing w:beforeLines="0" w:afterLines="0"/>
        <w:jc w:val="left"/>
        <w:rPr>
          <w:rFonts w:hint="eastAsia" w:ascii="STIX-Regular" w:hAnsi="STIX-Regular" w:eastAsia="STIX-Regular"/>
          <w:sz w:val="17"/>
          <w:szCs w:val="24"/>
        </w:rPr>
      </w:pPr>
    </w:p>
    <w:p>
      <w:pPr>
        <w:spacing w:beforeLines="0" w:afterLines="0"/>
        <w:jc w:val="left"/>
        <w:rPr>
          <w:rFonts w:hint="eastAsia" w:ascii="STIX-Regular" w:hAnsi="STIX-Regular" w:eastAsia="STIX-Regular"/>
          <w:sz w:val="17"/>
          <w:szCs w:val="24"/>
        </w:rPr>
      </w:pPr>
    </w:p>
    <w:p>
      <w:pPr>
        <w:spacing w:beforeLines="0" w:afterLines="0"/>
        <w:jc w:val="left"/>
        <w:rPr>
          <w:rFonts w:hint="eastAsia" w:ascii="STIX-Regular" w:hAnsi="STIX-Regular" w:eastAsia="STIX-Regular"/>
          <w:color w:val="000000"/>
          <w:sz w:val="20"/>
          <w:szCs w:val="24"/>
        </w:rPr>
      </w:pPr>
      <w:r>
        <w:rPr>
          <w:rFonts w:hint="eastAsia" w:ascii="STIX-Regular" w:hAnsi="STIX-Regular" w:eastAsia="STIX-Regular"/>
          <w:sz w:val="17"/>
          <w:szCs w:val="24"/>
        </w:rPr>
        <w:t>Elith J, Leathwick JR (2009) Species distribution models: Ecological</w:t>
      </w:r>
      <w:r>
        <w:rPr>
          <w:rFonts w:hint="default" w:ascii="STIX-Regular" w:hAnsi="STIX-Regular" w:eastAsia="STIX-Regular"/>
          <w:sz w:val="17"/>
          <w:szCs w:val="24"/>
          <w:lang w:val="ru-RU"/>
        </w:rPr>
        <w:t xml:space="preserve"> </w:t>
      </w:r>
      <w:r>
        <w:rPr>
          <w:rFonts w:hint="eastAsia" w:ascii="STIX-Regular" w:hAnsi="STIX-Regular" w:eastAsia="STIX-Regular"/>
          <w:sz w:val="17"/>
          <w:szCs w:val="24"/>
        </w:rPr>
        <w:t>explanation and prediction across space and time.</w:t>
      </w:r>
      <w:r>
        <w:rPr>
          <w:rFonts w:hint="default" w:ascii="STIX-Regular" w:hAnsi="STIX-Regular" w:eastAsia="STIX-Regular"/>
          <w:sz w:val="17"/>
          <w:szCs w:val="24"/>
          <w:lang w:val="en-US"/>
        </w:rPr>
        <w:t xml:space="preserve"> </w:t>
      </w:r>
      <w:r>
        <w:rPr>
          <w:rFonts w:hint="eastAsia" w:ascii="STIX-Regular" w:hAnsi="STIX-Regular" w:eastAsia="STIX-Regular"/>
          <w:sz w:val="17"/>
          <w:szCs w:val="24"/>
        </w:rPr>
        <w:t>Annu Rev Ecol Evol Syst 40:677–697</w:t>
      </w:r>
      <w:r>
        <w:rPr>
          <w:rFonts w:hint="eastAsia" w:ascii="STIX-Regular" w:hAnsi="STIX-Regular" w:eastAsia="STIX-Regular"/>
          <w:color w:val="000000"/>
          <w:sz w:val="20"/>
          <w:szCs w:val="24"/>
        </w:rPr>
        <w:t>.</w:t>
      </w:r>
    </w:p>
    <w:p>
      <w:pPr>
        <w:spacing w:beforeLines="0" w:afterLines="0"/>
        <w:jc w:val="left"/>
        <w:rPr>
          <w:rFonts w:hint="eastAsia" w:ascii="STIX-Regular" w:hAnsi="STIX-Regular" w:eastAsia="STIX-Regular"/>
          <w:color w:val="000000"/>
          <w:sz w:val="20"/>
          <w:szCs w:val="24"/>
        </w:rPr>
      </w:pPr>
    </w:p>
    <w:p>
      <w:pPr>
        <w:spacing w:beforeLines="0" w:afterLines="0"/>
        <w:jc w:val="left"/>
        <w:rPr>
          <w:rFonts w:hint="eastAsia" w:ascii="STIX-Regular" w:hAnsi="STIX-Regular" w:eastAsia="STIX-Regular"/>
          <w:color w:val="000000"/>
          <w:sz w:val="20"/>
          <w:szCs w:val="24"/>
        </w:rPr>
      </w:pPr>
    </w:p>
    <w:p>
      <w:pPr>
        <w:spacing w:beforeLines="0" w:afterLines="0"/>
        <w:jc w:val="left"/>
        <w:rPr>
          <w:rFonts w:hint="default" w:ascii="Times New Roman" w:hAnsi="Times New Roman" w:eastAsia="Times New Roman"/>
          <w:sz w:val="21"/>
          <w:szCs w:val="24"/>
        </w:rPr>
      </w:pPr>
      <w:r>
        <w:rPr>
          <w:rFonts w:hint="default" w:ascii="Times New Roman" w:hAnsi="Times New Roman" w:eastAsia="Times New Roman"/>
          <w:sz w:val="21"/>
          <w:szCs w:val="24"/>
        </w:rPr>
        <w:t>SDMs are also being used in a variety of</w:t>
      </w:r>
    </w:p>
    <w:p>
      <w:pPr>
        <w:spacing w:beforeLines="0" w:afterLines="0"/>
        <w:jc w:val="left"/>
        <w:rPr>
          <w:rFonts w:hint="eastAsia" w:ascii="STIX-Regular" w:hAnsi="STIX-Regular" w:eastAsia="STIX-Regular"/>
          <w:color w:val="000000"/>
          <w:sz w:val="20"/>
          <w:szCs w:val="24"/>
        </w:rPr>
      </w:pPr>
      <w:r>
        <w:rPr>
          <w:rFonts w:hint="default" w:ascii="Times New Roman" w:hAnsi="Times New Roman" w:eastAsia="Times New Roman"/>
          <w:sz w:val="21"/>
          <w:szCs w:val="24"/>
        </w:rPr>
        <w:t>fields including evolutionary biology, where they are used to study topics such as speciation or hybrid</w:t>
      </w:r>
      <w:r>
        <w:rPr>
          <w:rFonts w:hint="default" w:ascii="Times New Roman" w:hAnsi="Times New Roman" w:eastAsia="Times New Roman"/>
          <w:sz w:val="21"/>
          <w:szCs w:val="24"/>
          <w:lang w:val="en-US"/>
        </w:rPr>
        <w:t xml:space="preserve"> </w:t>
      </w:r>
      <w:r>
        <w:rPr>
          <w:rFonts w:hint="default" w:ascii="Times New Roman" w:hAnsi="Times New Roman" w:eastAsia="Times New Roman"/>
          <w:sz w:val="21"/>
          <w:szCs w:val="24"/>
        </w:rPr>
        <w:t>zones (Kozak et al. 2008)</w:t>
      </w:r>
    </w:p>
    <w:p>
      <w:pPr>
        <w:spacing w:beforeLines="0" w:afterLines="0"/>
        <w:jc w:val="left"/>
        <w:rPr>
          <w:rFonts w:hint="default" w:ascii="STIX-Regular" w:hAnsi="STIX-Regular" w:eastAsia="STIX-Regular"/>
          <w:color w:val="000000"/>
          <w:sz w:val="20"/>
          <w:szCs w:val="24"/>
          <w:lang w:val="en-US"/>
        </w:rPr>
      </w:pPr>
    </w:p>
    <w:p>
      <w:pPr>
        <w:spacing w:beforeLines="0" w:afterLines="0"/>
        <w:jc w:val="left"/>
        <w:rPr>
          <w:rFonts w:hint="default" w:ascii="STIX-Regular" w:hAnsi="STIX-Regular" w:eastAsia="STIX-Regular"/>
          <w:color w:val="000000"/>
          <w:sz w:val="20"/>
          <w:szCs w:val="24"/>
          <w:lang w:val="en-US"/>
        </w:rPr>
      </w:pPr>
    </w:p>
    <w:p>
      <w:pPr>
        <w:spacing w:beforeLines="0" w:afterLines="0"/>
        <w:jc w:val="left"/>
        <w:rPr>
          <w:rFonts w:hint="default" w:ascii="STIX-Regular" w:hAnsi="STIX-Regular" w:eastAsia="STIX-Regular"/>
          <w:color w:val="000000"/>
          <w:sz w:val="20"/>
          <w:szCs w:val="24"/>
          <w:lang w:val="en-US"/>
        </w:rPr>
      </w:pPr>
    </w:p>
    <w:p>
      <w:pPr>
        <w:spacing w:beforeLines="0" w:afterLines="0"/>
        <w:jc w:val="left"/>
        <w:rPr>
          <w:rFonts w:hint="default" w:ascii="STIX-Regular" w:hAnsi="STIX-Regular" w:eastAsia="STIX-Regular"/>
          <w:color w:val="000000"/>
          <w:sz w:val="20"/>
          <w:szCs w:val="24"/>
          <w:lang w:val="en-US"/>
        </w:rPr>
      </w:pPr>
      <w:r>
        <w:rPr>
          <w:rFonts w:hint="default" w:ascii="STIX-Regular" w:hAnsi="STIX-Regular" w:eastAsia="STIX-Regular"/>
          <w:color w:val="000000"/>
          <w:sz w:val="20"/>
          <w:szCs w:val="24"/>
          <w:lang w:val="en-US"/>
        </w:rPr>
        <w:t>Добавить во введение и для обсуждения</w:t>
      </w:r>
    </w:p>
    <w:p>
      <w:pPr>
        <w:spacing w:beforeLines="0" w:afterLines="0"/>
        <w:jc w:val="left"/>
        <w:rPr>
          <w:rFonts w:hint="default" w:ascii="STIX-Regular" w:hAnsi="STIX-Regular" w:eastAsia="STIX-Regular"/>
          <w:color w:val="000000"/>
          <w:sz w:val="20"/>
          <w:szCs w:val="24"/>
          <w:lang w:val="en-US"/>
        </w:rPr>
      </w:pPr>
      <w:r>
        <w:rPr>
          <w:rFonts w:hint="default" w:ascii="STIX-Regular" w:hAnsi="STIX-Regular" w:eastAsia="STIX-Regular"/>
          <w:color w:val="000000"/>
          <w:sz w:val="20"/>
          <w:szCs w:val="24"/>
          <w:lang w:val="en-US"/>
        </w:rPr>
        <w:t xml:space="preserve">Важная задача - оценка вклада предикторов в SDM (Araujo Guisan, 2006) </w:t>
      </w:r>
    </w:p>
    <w:p>
      <w:pPr>
        <w:spacing w:beforeLines="0" w:afterLines="0"/>
        <w:jc w:val="left"/>
        <w:rPr>
          <w:rFonts w:hint="default" w:ascii="STIX-Regular" w:hAnsi="STIX-Regular" w:eastAsia="STIX-Regular"/>
          <w:color w:val="000000"/>
          <w:sz w:val="20"/>
          <w:szCs w:val="24"/>
          <w:lang w:val="en-US"/>
        </w:rPr>
      </w:pPr>
      <w:r>
        <w:rPr>
          <w:rFonts w:hint="default" w:ascii="STIX-Regular" w:hAnsi="STIX-Regular" w:eastAsia="STIX-Regular"/>
          <w:color w:val="000000"/>
          <w:sz w:val="20"/>
          <w:szCs w:val="24"/>
          <w:lang w:val="en-US"/>
        </w:rPr>
        <w:t xml:space="preserve">CHALLENGE 4:It is unsurprizing that the choice of predictors affects the modelled spatial distribution of species. </w:t>
      </w:r>
    </w:p>
    <w:p>
      <w:pPr>
        <w:spacing w:beforeLines="0" w:afterLines="0"/>
        <w:jc w:val="left"/>
        <w:rPr>
          <w:rFonts w:hint="default" w:ascii="STIX-Regular" w:hAnsi="STIX-Regular" w:eastAsia="STIX-Regular"/>
          <w:color w:val="000000"/>
          <w:sz w:val="20"/>
          <w:szCs w:val="24"/>
          <w:lang w:val="en-US"/>
        </w:rPr>
      </w:pPr>
      <w:r>
        <w:rPr>
          <w:rFonts w:hint="default" w:ascii="STIX-Regular" w:hAnsi="STIX-Regular" w:eastAsia="STIX-Regular"/>
          <w:color w:val="000000"/>
          <w:sz w:val="20"/>
          <w:szCs w:val="24"/>
          <w:lang w:val="en-US"/>
        </w:rPr>
        <w:t>Another important issue is the calculation of the contribution of each predictor in the model.</w:t>
      </w:r>
    </w:p>
    <w:p>
      <w:pPr>
        <w:spacing w:beforeLines="0" w:afterLines="0"/>
        <w:jc w:val="left"/>
        <w:rPr>
          <w:rFonts w:hint="default" w:ascii="STIX-Regular" w:hAnsi="STIX-Regular" w:eastAsia="STIX-Regular"/>
          <w:color w:val="000000"/>
          <w:sz w:val="20"/>
          <w:szCs w:val="24"/>
          <w:lang w:val="en-US"/>
        </w:rPr>
      </w:pPr>
      <w:r>
        <w:rPr>
          <w:rFonts w:hint="default" w:ascii="STIX-Regular" w:hAnsi="STIX-Regular" w:eastAsia="STIX-Regular"/>
          <w:color w:val="000000"/>
          <w:sz w:val="20"/>
          <w:szCs w:val="24"/>
          <w:lang w:val="en-US"/>
        </w:rPr>
        <w:t>Therefore, except the cases where predictors are orthogonal, the deviance is not and cannot be interpreted as an absolute measure of the contribution of predictors in the model. This sensitivity weakens the utility of the model as it confounds two key factors: which are the most important predictors, and how much variance each predictor can potentially explain. Solutions to the problem have been</w:t>
      </w:r>
    </w:p>
    <w:p>
      <w:pPr>
        <w:spacing w:beforeLines="0" w:afterLines="0"/>
        <w:jc w:val="left"/>
        <w:rPr>
          <w:rFonts w:hint="default" w:ascii="STIX-Regular" w:hAnsi="STIX-Regular" w:eastAsia="STIX-Regular"/>
          <w:color w:val="000000"/>
          <w:sz w:val="20"/>
          <w:szCs w:val="24"/>
          <w:lang w:val="en-US"/>
        </w:rPr>
      </w:pPr>
      <w:r>
        <w:rPr>
          <w:rFonts w:hint="default" w:ascii="STIX-Regular" w:hAnsi="STIX-Regular" w:eastAsia="STIX-Regular"/>
          <w:color w:val="000000"/>
          <w:sz w:val="20"/>
          <w:szCs w:val="24"/>
          <w:lang w:val="en-US"/>
        </w:rPr>
        <w:t>proposed, but again they have not been extensively used in species distribution modelling and sufficient statistical validation is lacking.</w:t>
      </w:r>
    </w:p>
    <w:p>
      <w:pPr>
        <w:spacing w:beforeLines="0" w:afterLines="0"/>
        <w:jc w:val="left"/>
        <w:rPr>
          <w:rFonts w:hint="default" w:ascii="STIX-Regular" w:hAnsi="STIX-Regular" w:eastAsia="STIX-Regular"/>
          <w:color w:val="000000"/>
          <w:sz w:val="20"/>
          <w:szCs w:val="24"/>
          <w:lang w:val="en-US"/>
        </w:rPr>
      </w:pPr>
    </w:p>
    <w:p>
      <w:pPr>
        <w:spacing w:beforeLines="0" w:afterLines="0"/>
        <w:jc w:val="left"/>
        <w:rPr>
          <w:rFonts w:hint="default" w:ascii="STIX-Regular" w:hAnsi="STIX-Regular" w:eastAsia="STIX-Regular"/>
          <w:color w:val="000000"/>
          <w:sz w:val="20"/>
          <w:szCs w:val="24"/>
          <w:lang w:val="en-US"/>
        </w:rPr>
      </w:pPr>
    </w:p>
    <w:p>
      <w:pPr>
        <w:spacing w:beforeLines="0" w:afterLines="0"/>
        <w:jc w:val="left"/>
        <w:rPr>
          <w:rFonts w:hint="default" w:ascii="STIX-Regular" w:hAnsi="STIX-Regular" w:eastAsia="STIX-Regular"/>
          <w:color w:val="000000"/>
          <w:sz w:val="20"/>
          <w:szCs w:val="24"/>
          <w:lang w:val="en-US"/>
        </w:rPr>
      </w:pPr>
      <w:bookmarkStart w:id="0" w:name="_GoBack"/>
      <w:bookmarkEnd w:id="0"/>
      <w:r>
        <w:rPr>
          <w:rFonts w:hint="default" w:ascii="STIX-Regular" w:hAnsi="STIX-Regular" w:eastAsia="STIX-Regular"/>
          <w:color w:val="000000"/>
          <w:sz w:val="20"/>
          <w:szCs w:val="24"/>
          <w:lang w:val="en-US"/>
        </w:rPr>
        <w:t>We suggest that evaluation strategies be discussed in the</w:t>
      </w:r>
    </w:p>
    <w:p>
      <w:pPr>
        <w:spacing w:beforeLines="0" w:afterLines="0"/>
        <w:jc w:val="left"/>
        <w:rPr>
          <w:rFonts w:hint="default" w:ascii="STIX-Regular" w:hAnsi="STIX-Regular" w:eastAsia="STIX-Regular"/>
          <w:color w:val="000000"/>
          <w:sz w:val="20"/>
          <w:szCs w:val="24"/>
          <w:lang w:val="en-US"/>
        </w:rPr>
      </w:pPr>
      <w:r>
        <w:rPr>
          <w:rFonts w:hint="default" w:ascii="STIX-Regular" w:hAnsi="STIX-Regular" w:eastAsia="STIX-Regular"/>
          <w:color w:val="000000"/>
          <w:sz w:val="20"/>
          <w:szCs w:val="24"/>
          <w:lang w:val="en-US"/>
        </w:rPr>
        <w:t>context of three possible uses: description, understanding and</w:t>
      </w:r>
    </w:p>
    <w:p>
      <w:pPr>
        <w:spacing w:beforeLines="0" w:afterLines="0"/>
        <w:jc w:val="left"/>
        <w:rPr>
          <w:rFonts w:hint="default" w:ascii="STIX-Regular" w:hAnsi="STIX-Regular" w:eastAsia="STIX-Regular"/>
          <w:color w:val="000000"/>
          <w:sz w:val="20"/>
          <w:szCs w:val="24"/>
          <w:lang w:val="en-US"/>
        </w:rPr>
      </w:pPr>
      <w:r>
        <w:rPr>
          <w:rFonts w:hint="default" w:ascii="STIX-Regular" w:hAnsi="STIX-Regular" w:eastAsia="STIX-Regular"/>
          <w:color w:val="000000"/>
          <w:sz w:val="20"/>
          <w:szCs w:val="24"/>
          <w:lang w:val="en-US"/>
        </w:rPr>
        <w:t>prediction.</w:t>
      </w:r>
    </w:p>
    <w:p>
      <w:pPr>
        <w:spacing w:beforeLines="0" w:afterLines="0"/>
        <w:jc w:val="left"/>
        <w:rPr>
          <w:rFonts w:hint="default" w:ascii="STIX-Regular" w:hAnsi="STIX-Regular" w:eastAsia="STIX-Regular"/>
          <w:color w:val="000000"/>
          <w:sz w:val="20"/>
          <w:szCs w:val="24"/>
          <w:lang w:val="en-US"/>
        </w:rPr>
      </w:pP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ndida-Roman">
    <w:altName w:val="Liberation Mono"/>
    <w:panose1 w:val="00000000000000000000"/>
    <w:charset w:val="00"/>
    <w:family w:val="roman"/>
    <w:pitch w:val="default"/>
    <w:sig w:usb0="00000000" w:usb1="00000000" w:usb2="00000000" w:usb3="00000000" w:csb0="00000001" w:csb1="00000000"/>
  </w:font>
  <w:font w:name="AdvPSPAL-R">
    <w:altName w:val="Liberation Mono"/>
    <w:panose1 w:val="00000000000000000000"/>
    <w:charset w:val="00"/>
    <w:family w:val="roman"/>
    <w:pitch w:val="default"/>
    <w:sig w:usb0="00000000" w:usb1="00000000" w:usb2="00000000" w:usb3="00000000" w:csb0="00000001" w:csb1="00000000"/>
  </w:font>
  <w:font w:name="Advpala-ita">
    <w:altName w:val="Liberation Mono"/>
    <w:panose1 w:val="00000000000000000000"/>
    <w:charset w:val="00"/>
    <w:family w:val="roman"/>
    <w:pitch w:val="default"/>
    <w:sig w:usb0="00000000" w:usb1="00000000" w:usb2="00000000" w:usb3="00000000" w:csb0="00000001" w:csb1="00000000"/>
  </w:font>
  <w:font w:name="STIX-Regular">
    <w:altName w:val="Yu Gothic"/>
    <w:panose1 w:val="00000000000000000000"/>
    <w:charset w:val="80"/>
    <w:family w:val="roman"/>
    <w:pitch w:val="default"/>
    <w:sig w:usb0="00000000" w:usb1="00000000" w:usb2="00000000" w:usb3="00000000" w:csb0="00020000" w:csb1="00000000"/>
  </w:font>
  <w:font w:name="Liberation Mono">
    <w:panose1 w:val="02070409020205020404"/>
    <w:charset w:val="00"/>
    <w:family w:val="auto"/>
    <w:pitch w:val="default"/>
    <w:sig w:usb0="E0000AFF" w:usb1="400078FF" w:usb2="00000001" w:usb3="00000000" w:csb0="600001BF" w:csb1="DFF70000"/>
  </w:font>
  <w:font w:name="Yu Gothic">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3A260BC"/>
    <w:rsid w:val="3A5B4A05"/>
    <w:rsid w:val="3D2E204C"/>
    <w:rsid w:val="3FD36C86"/>
    <w:rsid w:val="4DC82D45"/>
    <w:rsid w:val="571A361F"/>
    <w:rsid w:val="71511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both"/>
    </w:pPr>
    <w:rPr>
      <w:rFonts w:eastAsia="SimSun" w:asciiTheme="minorHAnsi" w:hAnsiTheme="minorHAnsi" w:cstheme="minorBidi"/>
      <w:kern w:val="2"/>
      <w:sz w:val="21"/>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uiPriority w:val="0"/>
    <w:pPr>
      <w:jc w:val="left"/>
    </w:pPr>
  </w:style>
  <w:style w:type="paragraph" w:styleId="43">
    <w:name w:val="index 1"/>
    <w:basedOn w:val="1"/>
    <w:next w:val="1"/>
    <w:qFormat/>
    <w:uiPriority w:val="0"/>
  </w:style>
  <w:style w:type="paragraph" w:styleId="44">
    <w:name w:val="annotation subject"/>
    <w:basedOn w:val="42"/>
    <w:next w:val="42"/>
    <w:uiPriority w:val="0"/>
    <w:rPr>
      <w:b/>
      <w:bCs/>
    </w:rPr>
  </w:style>
  <w:style w:type="paragraph" w:styleId="45">
    <w:name w:val="Document Map"/>
    <w:basedOn w:val="1"/>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uiPriority w:val="0"/>
    <w:pPr>
      <w:ind w:left="800" w:leftChars="800"/>
    </w:pPr>
  </w:style>
  <w:style w:type="paragraph" w:styleId="54">
    <w:name w:val="index 4"/>
    <w:basedOn w:val="1"/>
    <w:next w:val="1"/>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11480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2023-10-21T07:21:00Z</dcterms:created>
  <dc:creator>google1599737165</dc:creator>
  <cp:lastModifiedBy>google1599737165</cp:lastModifiedBy>
  <dcterms:modified xsi:type="dcterms:W3CDTF">2023-11-07T17:19:59Z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F0B00E8A1BAD437990EFB0998A0161C2_11</vt:lpwstr>
  </property>
</Properties>
</file>