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01EFC43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Equation </w:t>
      </w:r>
    </w:p>
    <w:p w14:paraId="0BD02618"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Logistic regression formula for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proportion of Mytilus trossulus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Ptros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) as a function of proportion of T-morphotype (PT)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Ptros equals e raised to the power of (-2.4 + 5.4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PT), divided by 1 plus the same exponential term.</w:t>
      </w:r>
    </w:p>
    <w:p w14:paraId="66E8BE0B"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D1DC7D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Figure 1</w:t>
      </w:r>
    </w:p>
    <w:p w14:paraId="7C93BDED">
      <w:pPr>
        <w:ind w:left="0" w:leftChars="0" w:firstLine="0" w:firstLineChars="0"/>
        <w:rPr>
          <w:rStyle w:val="2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2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Sampling maps with parameter-specific point styles. Top left: Point size indicates fetch (coastal openness to surf; inset: Europe map). Top right: Point color intens</w:t>
      </w:r>
      <w:bookmarkStart w:id="0" w:name="_GoBack"/>
      <w:bookmarkEnd w:id="0"/>
      <w:r>
        <w:rPr>
          <w:rStyle w:val="2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ity shows salinity (lighter = lower salinity). Bottom left: Color intensity reflects M</w:t>
      </w:r>
      <w:r>
        <w:rPr>
          <w:rStyle w:val="2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ytilus</w:t>
      </w:r>
      <w:r>
        <w:rPr>
          <w:rStyle w:val="2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trossulus frequency on bottom substrates (darker = higher frequency; inset: local-scale map). Bottom right: Same for algal substrates.</w:t>
      </w:r>
    </w:p>
    <w:p w14:paraId="5CC989F0">
      <w:pPr>
        <w:rPr>
          <w:rStyle w:val="20"/>
          <w:rFonts w:hint="default" w:ascii="Times New Roman" w:hAnsi="Times New Roman" w:eastAsia="Segoe UI" w:cs="Times New Roman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246ECADF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Figure 2</w:t>
      </w:r>
    </w:p>
    <w:p w14:paraId="1B65F108">
      <w:p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Left graphs: Regression model 1. Top four lines show Mytilus trossulus frequency vs. predictors: 1) U-shaped salinity curve (min at 24 PSU), 2) horizontal line (distance to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 the nearest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river), 3) and 4) declining lines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dependence on the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distance to the nearest port and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on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surf level). Bottom bars: M. trossulus frequency (light algae, dark = bottom substrates) near small/large rivers—light bars higher.</w:t>
      </w:r>
    </w:p>
    <w:p w14:paraId="0F16382F">
      <w:p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Right graphs: Regression model 2. Top four plots compare T-morphotype (solid) and E-morphotype (dashed) abundance vs. predictors: 1) salinity (T horiontal, E rising), 2) distance to river (both rise), 3) distance to port (T declines, E horizontal), 4) surf (T declines, E flat). Bottom bars: T (dark) and E (light) abundance near small/large rivers.</w:t>
      </w:r>
    </w:p>
    <w:p w14:paraId="7751BA4E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7811752D">
      <w:p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Figure 3</w:t>
      </w:r>
    </w:p>
    <w:p w14:paraId="5BD7E7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Regression model 3 visualization.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Left: Bell-shaped curve showing the dependence of the proportion difference (algae vs. bottom substrates) of Mytilus trossulus on its frequency in a site. Middle: Decreasing line for PC one (proxy for T-morphotype abundance). Right: Increasing line for PC two (proxy for E-morphotype abundance).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  <w:t xml:space="preserve"> </w:t>
      </w:r>
    </w:p>
    <w:p w14:paraId="3CC1BD53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</w:p>
    <w:p w14:paraId="17383652">
      <w:p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Figure 4</w:t>
      </w:r>
    </w:p>
    <w:p w14:paraId="46430545">
      <w:p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  <w:t>Evaluation of Model one's predictive power for M. trossulus frequency. All plots compare observed (X-axis) vs. predicted (Y-axis) values, with a dashed diagonal line indicating perfect prediction. Top left: training White Sea data. Top right: White Sea littoral test data. Bottom left: Barents Sea littoral test data. Bottom right: Barents Sea sublittoral test data (shows weaker fit). Most points (except bottom right) cluster in quadrants one and three, indicating generally accurate predictions.</w:t>
      </w:r>
    </w:p>
    <w:p w14:paraId="792E0FE9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</w:pPr>
    </w:p>
    <w:p w14:paraId="3F7AC587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</w:pPr>
    </w:p>
    <w:p w14:paraId="7E7356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Figure S1</w:t>
      </w:r>
    </w:p>
    <w:p w14:paraId="53F8CD8A">
      <w:p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  <w:t xml:space="preserve">Map of the Kandalaksha Bay of the White Sea. The inset shows the position of samples used as testing data set. </w:t>
      </w:r>
    </w:p>
    <w:p w14:paraId="6AC13B69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</w:pPr>
    </w:p>
    <w:p w14:paraId="78DB2E92">
      <w:p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Figure S2</w:t>
      </w:r>
    </w:p>
    <w:p w14:paraId="425C55A4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Associations between </w:t>
      </w:r>
      <w:r>
        <w:rPr>
          <w:rFonts w:hint="default" w:ascii="Times New Roman" w:hAnsi="Times New Roman" w:eastAsia="SimSun" w:cs="Times New Roman"/>
          <w:color w:val="0646A2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environmental parameters. </w:t>
      </w:r>
      <w:r>
        <w:rPr>
          <w:rStyle w:val="2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Top left: Positive correlation between salinity (Y-axis) and distance to river – salinity increases farther from rivers. Top right: Violin plots show higher salinity near large rivers (right) vs. small rivers (left). Bottom left: Surf increases with distance from ports. Bottom right: No clear relationship between salinity and port distance.</w:t>
      </w:r>
    </w:p>
    <w:p w14:paraId="08113018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Italic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1143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0E1F15CC"/>
    <w:rsid w:val="13A260BC"/>
    <w:rsid w:val="391B30B1"/>
    <w:rsid w:val="3A5B4A05"/>
    <w:rsid w:val="3D2E204C"/>
    <w:rsid w:val="4B32292F"/>
    <w:rsid w:val="4DC82D45"/>
    <w:rsid w:val="50225E22"/>
    <w:rsid w:val="552E3A44"/>
    <w:rsid w:val="571A361F"/>
    <w:rsid w:val="69D11435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uiPriority w:val="0"/>
    <w:rPr>
      <w:b/>
      <w:bCs/>
    </w:rPr>
  </w:style>
  <w:style w:type="paragraph" w:styleId="46">
    <w:name w:val="Document Map"/>
    <w:basedOn w:val="1"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qFormat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  <w:style w:type="paragraph" w:customStyle="1" w:styleId="154">
    <w:name w:val="Table"/>
    <w:basedOn w:val="1"/>
    <w:next w:val="1"/>
    <w:qFormat/>
    <w:uiPriority w:val="0"/>
    <w:pPr>
      <w:spacing w:before="36" w:after="36"/>
    </w:pPr>
    <w:rPr>
      <w:rFonts w:ascii="Times New Roman" w:hAnsi="Times New Roman" w:cs="Times New Roman" w:eastAsiaTheme="minorEastAsia"/>
      <w:sz w:val="16"/>
      <w:szCs w:val="16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2025-08-09T05:12:00Z</dcterms:created>
  <dc:creator>polyd</dc:creator>
  <cp:lastModifiedBy>google1599737165</cp:lastModifiedBy>
  <dcterms:modified xsi:type="dcterms:W3CDTF">2025-08-09T08:28:43Z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264C674CC1574B1FA5AC2BFFAEE0E1B8_11</vt:lpwstr>
  </property>
</Properties>
</file>