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left" w:leader="none" w:pos="8789"/>
        </w:tabs>
        <w:spacing w:line="360" w:lineRule="auto"/>
        <w:ind w:right="1185"/>
        <w:rPr>
          <w:b w:val="1"/>
        </w:rPr>
      </w:pPr>
      <w:bookmarkStart w:colFirst="0" w:colLast="0" w:name="_gjdgxs" w:id="0"/>
      <w:bookmarkEnd w:id="0"/>
      <w:r w:rsidDel="00000000" w:rsidR="00000000" w:rsidRPr="00000000">
        <w:rPr>
          <w:b w:val="1"/>
          <w:rtl w:val="0"/>
        </w:rPr>
        <w:t xml:space="preserve">Blue mussels Mytilus edulis L. and M. trossulus Gould in sympatry: assessment of ecological niche divergence  using species distribution modeling</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V. M. Khaitov, A. A. Zaychikova, P. Y. Safonov, M. V. Katolikova, M. V. Ivanov, P. P. Strelkov</w:t>
      </w:r>
    </w:p>
    <w:p w:rsidR="00000000" w:rsidDel="00000000" w:rsidP="00000000" w:rsidRDefault="00000000" w:rsidRPr="00000000" w14:paraId="00000003">
      <w:pPr>
        <w:pStyle w:val="Heading2"/>
        <w:tabs>
          <w:tab w:val="left" w:leader="none" w:pos="8789"/>
        </w:tabs>
        <w:spacing w:line="360" w:lineRule="auto"/>
        <w:ind w:right="1185" w:firstLine="0"/>
        <w:rPr>
          <w:i w:val="0"/>
        </w:rPr>
      </w:pPr>
      <w:r w:rsidDel="00000000" w:rsidR="00000000" w:rsidRPr="00000000">
        <w:rPr>
          <w:b w:val="1"/>
          <w:i w:val="0"/>
          <w:rtl w:val="0"/>
        </w:rPr>
        <w:t xml:space="preserve">Abstract</w:t>
      </w:r>
      <w:r w:rsidDel="00000000" w:rsidR="00000000" w:rsidRPr="00000000">
        <w:rPr>
          <w:i w:val="0"/>
          <w:rtl w:val="0"/>
        </w:rPr>
        <w:t xml:space="preserve"> </w:t>
      </w:r>
    </w:p>
    <w:p w:rsidR="00000000" w:rsidDel="00000000" w:rsidP="00000000" w:rsidRDefault="00000000" w:rsidRPr="00000000" w14:paraId="00000004">
      <w:pPr>
        <w:pStyle w:val="Heading2"/>
        <w:tabs>
          <w:tab w:val="left" w:leader="none" w:pos="8789"/>
        </w:tabs>
        <w:spacing w:line="360" w:lineRule="auto"/>
        <w:ind w:right="1185" w:firstLine="0"/>
        <w:rPr>
          <w:i w:val="0"/>
          <w:color w:val="ff0000"/>
        </w:rPr>
      </w:pPr>
      <w:r w:rsidDel="00000000" w:rsidR="00000000" w:rsidRPr="00000000">
        <w:rPr>
          <w:i w:val="0"/>
          <w:color w:val="ff0000"/>
          <w:rtl w:val="0"/>
        </w:rPr>
        <w:t xml:space="preserve">д.б. максимум 250</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highlight w:val="cyan"/>
        </w:rPr>
      </w:pPr>
      <w:r w:rsidDel="00000000" w:rsidR="00000000" w:rsidRPr="00000000">
        <w:rPr>
          <w:rtl w:val="0"/>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applying SDMs to 570 mussel samples with known taxonomic structure. We found that each of the predictors influenced spatial segregation. The most expected habitat of </w:t>
      </w:r>
      <w:r w:rsidDel="00000000" w:rsidR="00000000" w:rsidRPr="00000000">
        <w:rPr>
          <w:i w:val="1"/>
          <w:rtl w:val="0"/>
        </w:rPr>
        <w:t xml:space="preserve">ME</w:t>
      </w:r>
      <w:r w:rsidDel="00000000" w:rsidR="00000000" w:rsidRPr="00000000">
        <w:rPr>
          <w:rtl w:val="0"/>
        </w:rPr>
        <w:t xml:space="preserve"> was a bottom substrate in a wind-exposed location with a “normal” salinity (24 ppt) away from ports and large rivers, while for </w:t>
      </w:r>
      <w:r w:rsidDel="00000000" w:rsidR="00000000" w:rsidRPr="00000000">
        <w:rPr>
          <w:i w:val="1"/>
          <w:rtl w:val="0"/>
        </w:rPr>
        <w:t xml:space="preserve">MT</w:t>
      </w:r>
      <w:r w:rsidDel="00000000" w:rsidR="00000000" w:rsidRPr="00000000">
        <w:rPr>
          <w:rtl w:val="0"/>
        </w:rPr>
        <w:t xml:space="preserve"> it was an algal substrate in a wind-protected area with a lower salinity close to ports and large rivers. </w:t>
      </w:r>
      <w:r w:rsidDel="00000000" w:rsidR="00000000" w:rsidRPr="00000000">
        <w:rPr>
          <w:strike w:val="1"/>
          <w:highlight w:val="yellow"/>
          <w:rtl w:val="0"/>
        </w:rPr>
        <w:t xml:space="preserve">The degree of segregation was density-dependent, increasing with increasing </w:t>
      </w:r>
      <w:r w:rsidDel="00000000" w:rsidR="00000000" w:rsidRPr="00000000">
        <w:rPr>
          <w:i w:val="1"/>
          <w:strike w:val="1"/>
          <w:highlight w:val="yellow"/>
          <w:rtl w:val="0"/>
        </w:rPr>
        <w:t xml:space="preserve">ME</w:t>
      </w:r>
      <w:r w:rsidDel="00000000" w:rsidR="00000000" w:rsidRPr="00000000">
        <w:rPr>
          <w:strike w:val="1"/>
          <w:highlight w:val="yellow"/>
          <w:rtl w:val="0"/>
        </w:rPr>
        <w:t xml:space="preserve"> abundance. This indicates that </w:t>
      </w:r>
      <w:r w:rsidDel="00000000" w:rsidR="00000000" w:rsidRPr="00000000">
        <w:rPr>
          <w:i w:val="1"/>
          <w:strike w:val="1"/>
          <w:highlight w:val="yellow"/>
          <w:rtl w:val="0"/>
        </w:rPr>
        <w:t xml:space="preserve">ME</w:t>
      </w:r>
      <w:r w:rsidDel="00000000" w:rsidR="00000000" w:rsidRPr="00000000">
        <w:rPr>
          <w:strike w:val="1"/>
          <w:highlight w:val="yellow"/>
          <w:rtl w:val="0"/>
        </w:rPr>
        <w:t xml:space="preserve"> outcompetes </w:t>
      </w:r>
      <w:r w:rsidDel="00000000" w:rsidR="00000000" w:rsidRPr="00000000">
        <w:rPr>
          <w:i w:val="1"/>
          <w:strike w:val="1"/>
          <w:highlight w:val="yellow"/>
          <w:rtl w:val="0"/>
        </w:rPr>
        <w:t xml:space="preserve">MT</w:t>
      </w:r>
      <w:r w:rsidDel="00000000" w:rsidR="00000000" w:rsidRPr="00000000">
        <w:rPr>
          <w:strike w:val="1"/>
          <w:highlight w:val="yellow"/>
          <w:rtl w:val="0"/>
        </w:rPr>
        <w:t xml:space="preserve"> on bottom substrates.</w:t>
      </w:r>
      <w:r w:rsidDel="00000000" w:rsidR="00000000" w:rsidRPr="00000000">
        <w:rPr>
          <w:strike w:val="1"/>
          <w:rtl w:val="0"/>
        </w:rPr>
        <w:t xml:space="preserve"> </w:t>
      </w:r>
      <w:r w:rsidDel="00000000" w:rsidR="00000000" w:rsidRPr="00000000">
        <w:rPr>
          <w:highlight w:val="cyan"/>
          <w:rtl w:val="0"/>
        </w:rPr>
        <w:t xml:space="preserve">We also attempted to answer the question whether the species segregation by substrate is density-dependent and found that the degree of segregation positively depends on </w:t>
      </w:r>
      <w:r w:rsidDel="00000000" w:rsidR="00000000" w:rsidRPr="00000000">
        <w:rPr>
          <w:i w:val="1"/>
          <w:highlight w:val="cyan"/>
          <w:rtl w:val="0"/>
        </w:rPr>
        <w:t xml:space="preserve">ME</w:t>
      </w:r>
      <w:r w:rsidDel="00000000" w:rsidR="00000000" w:rsidRPr="00000000">
        <w:rPr>
          <w:highlight w:val="cyan"/>
          <w:rtl w:val="0"/>
        </w:rPr>
        <w:t xml:space="preserve"> abundance, an indication that </w:t>
      </w:r>
      <w:r w:rsidDel="00000000" w:rsidR="00000000" w:rsidRPr="00000000">
        <w:rPr>
          <w:i w:val="1"/>
          <w:highlight w:val="cyan"/>
          <w:rtl w:val="0"/>
        </w:rPr>
        <w:t xml:space="preserve">ME</w:t>
      </w:r>
      <w:r w:rsidDel="00000000" w:rsidR="00000000" w:rsidRPr="00000000">
        <w:rPr>
          <w:highlight w:val="cyan"/>
          <w:rtl w:val="0"/>
        </w:rPr>
        <w:t xml:space="preserve"> outcompeting </w:t>
      </w:r>
      <w:r w:rsidDel="00000000" w:rsidR="00000000" w:rsidRPr="00000000">
        <w:rPr>
          <w:i w:val="1"/>
          <w:highlight w:val="cyan"/>
          <w:rtl w:val="0"/>
        </w:rPr>
        <w:t xml:space="preserve">MT</w:t>
      </w:r>
      <w:r w:rsidDel="00000000" w:rsidR="00000000" w:rsidRPr="00000000">
        <w:rPr>
          <w:highlight w:val="cyan"/>
          <w:rtl w:val="0"/>
        </w:rPr>
        <w:t xml:space="preserve"> on the bottom substrates</w:t>
      </w:r>
      <w:r w:rsidDel="00000000" w:rsidR="00000000" w:rsidRPr="00000000">
        <w:rPr>
          <w:rtl w:val="0"/>
        </w:rPr>
        <w:t xml:space="preserve">. </w:t>
      </w:r>
      <w:r w:rsidDel="00000000" w:rsidR="00000000" w:rsidRPr="00000000">
        <w:rPr>
          <w:strike w:val="1"/>
          <w:highlight w:val="yellow"/>
          <w:rtl w:val="0"/>
        </w:rPr>
        <w:t xml:space="preserve">We discuss whether the predictors used in our study can drive the segregation of these species in other habitats than the littoral fucoid belt, elsewhere than in the White Sea and outside the Kola contact zone</w:t>
      </w:r>
      <w:r w:rsidDel="00000000" w:rsidR="00000000" w:rsidRPr="00000000">
        <w:rPr>
          <w:highlight w:val="yellow"/>
          <w:rtl w:val="0"/>
        </w:rPr>
        <w:t xml:space="preserve">. </w:t>
      </w:r>
      <w:r w:rsidDel="00000000" w:rsidR="00000000" w:rsidRPr="00000000">
        <w:rPr>
          <w:highlight w:val="cyan"/>
          <w:rtl w:val="0"/>
        </w:rPr>
        <w:t xml:space="preserve">We ask whether the differences between ME and MT revealed reflect differences in their niches and manifest in other areas of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coexistence.</w:t>
      </w:r>
      <w:r w:rsidDel="00000000" w:rsidR="00000000" w:rsidRPr="00000000">
        <w:rPr>
          <w:rtl w:val="0"/>
        </w:rPr>
        <w:t xml:space="preserve"> ИЛИ </w:t>
      </w:r>
      <w:commentRangeStart w:id="0"/>
      <w:r w:rsidDel="00000000" w:rsidR="00000000" w:rsidRPr="00000000">
        <w:rPr>
          <w:highlight w:val="cyan"/>
          <w:rtl w:val="0"/>
        </w:rPr>
        <w:t xml:space="preserve">We discuss whether the predictors used in our study can drive the segregation of these species outside the White Sea.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tabs>
          <w:tab w:val="left" w:leader="none" w:pos="8789"/>
        </w:tabs>
        <w:spacing w:line="360" w:lineRule="auto"/>
        <w:ind w:right="1185"/>
        <w:rPr>
          <w:i w:val="0"/>
          <w:u w:val="single"/>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i w:val="0"/>
          <w:u w:val="single"/>
          <w:rtl w:val="0"/>
        </w:rPr>
        <w:t xml:space="preserve">1500 слов но без не многих референсов</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color w:val="ff0000"/>
        </w:rPr>
      </w:pPr>
      <w:r w:rsidDel="00000000" w:rsidR="00000000" w:rsidRPr="00000000">
        <w:rPr>
          <w:color w:val="ff0000"/>
          <w:rtl w:val="0"/>
        </w:rPr>
        <w:t xml:space="preserve">Было: 1608 со ссылками. Стало: примерно 1553.</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w:t>
      </w:r>
      <w:r w:rsidDel="00000000" w:rsidR="00000000" w:rsidRPr="00000000">
        <w:rPr>
          <w:highlight w:val="green"/>
          <w:rtl w:val="0"/>
        </w:rPr>
        <w:t xml:space="preserve">Elith, Leathwick, 2009</w:t>
      </w:r>
      <w:r w:rsidDel="00000000" w:rsidR="00000000" w:rsidRPr="00000000">
        <w:rPr>
          <w:rtl w:val="0"/>
        </w:rPr>
        <w:t xml:space="preserve">). Joint application of SDMs to several coexisting species, i.e. a community, allows one to describe the partitioning of ecological niches between them. This is referred to as Joint Species Distribution Modeling (JSDM) (</w:t>
      </w:r>
      <w:r w:rsidDel="00000000" w:rsidR="00000000" w:rsidRPr="00000000">
        <w:rPr>
          <w:highlight w:val="green"/>
          <w:rtl w:val="0"/>
        </w:rPr>
        <w:t xml:space="preserve">Ovaskainen, Abreg, 2020</w:t>
      </w:r>
      <w:r w:rsidDel="00000000" w:rsidR="00000000" w:rsidRPr="00000000">
        <w:rPr>
          <w:rtl w:val="0"/>
        </w:rPr>
        <w:t xml:space="preserve">). In other words, </w:t>
      </w:r>
      <w:r w:rsidDel="00000000" w:rsidR="00000000" w:rsidRPr="00000000">
        <w:rPr>
          <w:highlight w:val="green"/>
          <w:rtl w:val="0"/>
        </w:rPr>
        <w:t xml:space="preserve">SDM/</w:t>
      </w:r>
      <w:r w:rsidDel="00000000" w:rsidR="00000000" w:rsidRPr="00000000">
        <w:rPr>
          <w:highlight w:val="green"/>
          <w:rtl w:val="0"/>
        </w:rPr>
        <w:t xml:space="preserve">JSDMs</w:t>
      </w:r>
      <w:r w:rsidDel="00000000" w:rsidR="00000000" w:rsidRPr="00000000">
        <w:rPr>
          <w:rtl w:val="0"/>
        </w:rPr>
        <w:t xml:space="preserve"> may describe the axes in ecological space along which coexisting species </w:t>
      </w:r>
      <w:r w:rsidDel="00000000" w:rsidR="00000000" w:rsidRPr="00000000">
        <w:rPr>
          <w:strike w:val="1"/>
          <w:highlight w:val="yellow"/>
          <w:rtl w:val="0"/>
        </w:rPr>
        <w:t xml:space="preserve">occupying separate niches</w:t>
      </w:r>
      <w:r w:rsidDel="00000000" w:rsidR="00000000" w:rsidRPr="00000000">
        <w:rPr>
          <w:rtl w:val="0"/>
        </w:rPr>
        <w:t xml:space="preserve"> are segregated. SDMs can be built using various approaches, from regular multiple regressions to advanced machine learning (Elith et al., 2006).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SDMs are usually applied to “good”, i.e. morphologically distinct species (e.g.</w:t>
      </w:r>
      <w:r w:rsidDel="00000000" w:rsidR="00000000" w:rsidRPr="00000000">
        <w:rPr>
          <w:highlight w:val="green"/>
          <w:rtl w:val="0"/>
        </w:rPr>
        <w:t xml:space="preserve"> Reiss et al., 2011; Lindegren et al., 2022</w:t>
      </w:r>
      <w:r w:rsidDel="00000000" w:rsidR="00000000" w:rsidRPr="00000000">
        <w:rPr>
          <w:rtl w:val="0"/>
        </w:rPr>
        <w:t xml:space="preserve">), which can be easily involved in routine studies requiring numerous samples. However, there is increasing evidence about coexistence of cryptic species (</w:t>
      </w:r>
      <w:r w:rsidDel="00000000" w:rsidR="00000000" w:rsidRPr="00000000">
        <w:rPr>
          <w:color w:val="1f1f1f"/>
          <w:highlight w:val="green"/>
          <w:rtl w:val="0"/>
        </w:rPr>
        <w:t xml:space="preserve">Bickford et al. 2007;</w:t>
      </w:r>
      <w:r w:rsidDel="00000000" w:rsidR="00000000" w:rsidRPr="00000000">
        <w:rPr>
          <w:color w:val="1f1f1f"/>
          <w:highlight w:val="red"/>
          <w:rtl w:val="0"/>
        </w:rPr>
        <w:t xml:space="preserve"> </w:t>
      </w:r>
      <w:r w:rsidDel="00000000" w:rsidR="00000000" w:rsidRPr="00000000">
        <w:rPr>
          <w:color w:val="1f1f1f"/>
          <w:rtl w:val="0"/>
        </w:rPr>
        <w:t xml:space="preserve">Geller et al. 2010; </w:t>
      </w:r>
      <w:r w:rsidDel="00000000" w:rsidR="00000000" w:rsidRPr="00000000">
        <w:rPr>
          <w:rtl w:val="0"/>
        </w:rPr>
        <w:t xml:space="preserve">Struck et al. 2017</w:t>
      </w:r>
      <w:r w:rsidDel="00000000" w:rsidR="00000000" w:rsidRPr="00000000">
        <w:rPr>
          <w:rtl w:val="0"/>
        </w:rPr>
        <w:t xml:space="preserve">)</w:t>
      </w:r>
      <w:r w:rsidDel="00000000" w:rsidR="00000000" w:rsidRPr="00000000">
        <w:rPr>
          <w:rtl w:val="0"/>
        </w:rPr>
        <w:t xml:space="preserve"> and infraspecific taxa</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Dufrenses et al. 2023</w:t>
      </w:r>
      <w:r w:rsidDel="00000000" w:rsidR="00000000" w:rsidRPr="00000000">
        <w:rPr>
          <w:rtl w:val="0"/>
        </w:rPr>
        <w:t xml:space="preserve">)</w:t>
      </w:r>
      <w:r w:rsidDel="00000000" w:rsidR="00000000" w:rsidRPr="00000000">
        <w:rPr>
          <w:rtl w:val="0"/>
        </w:rPr>
        <w:t xml:space="preserve">. It is unlikely that any coexisting taxa have identical ecological phenotypes</w:t>
      </w:r>
      <w:r w:rsidDel="00000000" w:rsidR="00000000" w:rsidRPr="00000000">
        <w:rPr>
          <w:highlight w:val="cyan"/>
          <w:rtl w:val="0"/>
        </w:rPr>
        <w:t xml:space="preserve">, i.e. an ecological niche partitioning between them can be expected</w:t>
      </w:r>
      <w:r w:rsidDel="00000000" w:rsidR="00000000" w:rsidRPr="00000000">
        <w:rPr>
          <w:rtl w:val="0"/>
        </w:rPr>
        <w:t xml:space="preserve">. </w:t>
      </w:r>
      <w:r w:rsidDel="00000000" w:rsidR="00000000" w:rsidRPr="00000000">
        <w:rPr>
          <w:rtl w:val="0"/>
        </w:rPr>
        <w:t xml:space="preserve">The question how such </w:t>
      </w:r>
      <w:r w:rsidDel="00000000" w:rsidR="00000000" w:rsidRPr="00000000">
        <w:rPr>
          <w:strike w:val="1"/>
          <w:highlight w:val="yellow"/>
          <w:rtl w:val="0"/>
        </w:rPr>
        <w:t xml:space="preserve">species </w:t>
      </w:r>
      <w:r w:rsidDel="00000000" w:rsidR="00000000" w:rsidRPr="00000000">
        <w:rPr>
          <w:highlight w:val="yellow"/>
          <w:rtl w:val="0"/>
        </w:rPr>
        <w:t xml:space="preserve"> </w:t>
      </w:r>
      <w:r w:rsidDel="00000000" w:rsidR="00000000" w:rsidRPr="00000000">
        <w:rPr>
          <w:highlight w:val="cyan"/>
          <w:rtl w:val="0"/>
        </w:rPr>
        <w:t xml:space="preserve">taxa </w:t>
      </w:r>
      <w:commentRangeStart w:id="1"/>
      <w:commentRangeStart w:id="2"/>
      <w:r w:rsidDel="00000000" w:rsidR="00000000" w:rsidRPr="00000000">
        <w:rPr>
          <w:rtl w:val="0"/>
        </w:rPr>
        <w:t xml:space="preserve">share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space and resources in sympatry can be answered using SDM/JSDM (</w:t>
      </w:r>
      <w:r w:rsidDel="00000000" w:rsidR="00000000" w:rsidRPr="00000000">
        <w:rPr>
          <w:highlight w:val="green"/>
          <w:rtl w:val="0"/>
        </w:rPr>
        <w:t xml:space="preserve">DeMarche et al. 2019?; REF</w:t>
      </w:r>
      <w:r w:rsidDel="00000000" w:rsidR="00000000" w:rsidRPr="00000000">
        <w:rPr>
          <w:rtl w:val="0"/>
        </w:rPr>
        <w:t xml:space="preserve">). </w:t>
      </w:r>
      <w:r w:rsidDel="00000000" w:rsidR="00000000" w:rsidRPr="00000000">
        <w:rPr>
          <w:highlight w:val="cyan"/>
          <w:rtl w:val="0"/>
        </w:rPr>
        <w:t xml:space="preserve">Strictly speaking, when SDMs are applied to coexisting cryptic taxa, the latter are considered as a community. </w:t>
      </w:r>
      <w:r w:rsidDel="00000000" w:rsidR="00000000" w:rsidRPr="00000000">
        <w:rPr>
          <w:rtl w:val="0"/>
        </w:rPr>
        <w:t xml:space="preserve"> </w:t>
      </w:r>
      <w:r w:rsidDel="00000000" w:rsidR="00000000" w:rsidRPr="00000000">
        <w:rPr>
          <w:rtl w:val="0"/>
        </w:rPr>
        <w:t xml:space="preserve">In marine ecology, this approach has already been successfully used, </w:t>
      </w:r>
      <w:r w:rsidDel="00000000" w:rsidR="00000000" w:rsidRPr="00000000">
        <w:rPr>
          <w:rtl w:val="0"/>
        </w:rPr>
        <w:t xml:space="preserve">though only in a few studies</w:t>
      </w:r>
      <w:r w:rsidDel="00000000" w:rsidR="00000000" w:rsidRPr="00000000">
        <w:rPr>
          <w:rtl w:val="0"/>
        </w:rPr>
        <w:t xml:space="preserve"> (</w:t>
      </w:r>
      <w:r w:rsidDel="00000000" w:rsidR="00000000" w:rsidRPr="00000000">
        <w:rPr>
          <w:highlight w:val="green"/>
          <w:rtl w:val="0"/>
        </w:rPr>
        <w:t xml:space="preserve">Lowen et al 2019; Dennis, Hellberg, 2010; </w:t>
      </w:r>
      <w:r w:rsidDel="00000000" w:rsidR="00000000" w:rsidRPr="00000000">
        <w:rPr>
          <w:rtl w:val="0"/>
        </w:rPr>
        <w:t xml:space="preserve">Hu et al. 2021</w:t>
      </w:r>
      <w:r w:rsidDel="00000000" w:rsidR="00000000" w:rsidRPr="00000000">
        <w:rPr>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432" w:lineRule="auto"/>
        <w:ind w:right="1180" w:firstLine="560"/>
        <w:rPr>
          <w:highlight w:val="cyan"/>
        </w:rPr>
      </w:pPr>
      <w:r w:rsidDel="00000000" w:rsidR="00000000" w:rsidRPr="00000000">
        <w:rPr>
          <w:color w:val="000000"/>
          <w:rtl w:val="0"/>
        </w:rPr>
        <w:t xml:space="preserve">The longest-known and best-studied cryptic species in the marine realm are those of the blue mussel (</w:t>
      </w:r>
      <w:r w:rsidDel="00000000" w:rsidR="00000000" w:rsidRPr="00000000">
        <w:rPr>
          <w:i w:val="1"/>
          <w:color w:val="000000"/>
          <w:rtl w:val="0"/>
        </w:rPr>
        <w:t xml:space="preserve">Mytilus</w:t>
      </w:r>
      <w:r w:rsidDel="00000000" w:rsidR="00000000" w:rsidRPr="00000000">
        <w:rPr>
          <w:i w:val="1"/>
          <w:color w:val="000000"/>
          <w:highlight w:val="cyan"/>
          <w:rtl w:val="0"/>
        </w:rPr>
        <w:t xml:space="preserve"> edulis</w:t>
      </w:r>
      <w:r w:rsidDel="00000000" w:rsidR="00000000" w:rsidRPr="00000000">
        <w:rPr>
          <w:color w:val="000000"/>
          <w:rtl w:val="0"/>
        </w:rPr>
        <w:t xml:space="preserve">) complex (</w:t>
      </w:r>
      <w:r w:rsidDel="00000000" w:rsidR="00000000" w:rsidRPr="00000000">
        <w:rPr>
          <w:color w:val="000000"/>
          <w:rtl w:val="0"/>
        </w:rPr>
        <w:t xml:space="preserve">Knowlton 1993</w:t>
      </w:r>
      <w:r w:rsidDel="00000000" w:rsidR="00000000" w:rsidRPr="00000000">
        <w:rPr>
          <w:rtl w:val="0"/>
        </w:rPr>
        <w:t xml:space="preserve">; Gosling 2022</w:t>
      </w:r>
      <w:r w:rsidDel="00000000" w:rsidR="00000000" w:rsidRPr="00000000">
        <w:rPr>
          <w:color w:val="000000"/>
          <w:rtl w:val="0"/>
        </w:rPr>
        <w:t xml:space="preserve">). </w:t>
      </w:r>
      <w:r w:rsidDel="00000000" w:rsidR="00000000" w:rsidRPr="00000000">
        <w:rPr>
          <w:rtl w:val="0"/>
        </w:rPr>
        <w:t xml:space="preserve">It is represented by several species that are easier to distinguish genetically than morphologically and that hybridize in sympatry</w:t>
      </w:r>
      <w:r w:rsidDel="00000000" w:rsidR="00000000" w:rsidRPr="00000000">
        <w:rPr>
          <w:color w:val="000000"/>
          <w:rtl w:val="0"/>
        </w:rPr>
        <w:t xml:space="preserve"> (</w:t>
      </w:r>
      <w:r w:rsidDel="00000000" w:rsidR="00000000" w:rsidRPr="00000000">
        <w:rPr>
          <w:rtl w:val="0"/>
        </w:rPr>
        <w:t xml:space="preserve">Koehn 1991; Gardner et al. </w:t>
      </w:r>
      <w:r w:rsidDel="00000000" w:rsidR="00000000" w:rsidRPr="00000000">
        <w:rPr>
          <w:rtl w:val="0"/>
        </w:rPr>
        <w:t xml:space="preserve">2021</w:t>
      </w:r>
      <w:r w:rsidDel="00000000" w:rsidR="00000000" w:rsidRPr="00000000">
        <w:rPr>
          <w:color w:val="000000"/>
          <w:rtl w:val="0"/>
        </w:rPr>
        <w:t xml:space="preserve">). Blue mussels, powerful ecosystem engineers in temperate and subpolar seas, play a major role in coastal communities and are important </w:t>
      </w:r>
      <w:r w:rsidDel="00000000" w:rsidR="00000000" w:rsidRPr="00000000">
        <w:rPr>
          <w:rtl w:val="0"/>
        </w:rPr>
        <w:t xml:space="preserve">aquaculture </w:t>
      </w:r>
      <w:r w:rsidDel="00000000" w:rsidR="00000000" w:rsidRPr="00000000">
        <w:rPr>
          <w:color w:val="000000"/>
          <w:rtl w:val="0"/>
        </w:rPr>
        <w:t xml:space="preserve">objects </w:t>
      </w:r>
      <w:r w:rsidDel="00000000" w:rsidR="00000000" w:rsidRPr="00000000">
        <w:rPr>
          <w:rtl w:val="0"/>
        </w:rPr>
        <w:t xml:space="preserve">(</w:t>
      </w:r>
      <w:r w:rsidDel="00000000" w:rsidR="00000000" w:rsidRPr="00000000">
        <w:rPr>
          <w:rtl w:val="0"/>
        </w:rPr>
        <w:t xml:space="preserve">Bushbaum et al, 2009;</w:t>
      </w:r>
      <w:r w:rsidDel="00000000" w:rsidR="00000000" w:rsidRPr="00000000">
        <w:rPr>
          <w:rtl w:val="0"/>
        </w:rPr>
        <w:t xml:space="preserve"> </w:t>
      </w:r>
      <w:r w:rsidDel="00000000" w:rsidR="00000000" w:rsidRPr="00000000">
        <w:rPr>
          <w:rtl w:val="0"/>
        </w:rPr>
        <w:t xml:space="preserve">Gosling 2022</w:t>
      </w:r>
      <w:r w:rsidDel="00000000" w:rsidR="00000000" w:rsidRPr="00000000">
        <w:rPr>
          <w:rtl w:val="0"/>
        </w:rPr>
        <w:t xml:space="preserve">). In North Atlantic, the dominant species of blue mussels are </w:t>
      </w:r>
      <w:r w:rsidDel="00000000" w:rsidR="00000000" w:rsidRPr="00000000">
        <w:rPr>
          <w:i w:val="1"/>
          <w:rtl w:val="0"/>
        </w:rPr>
        <w:t xml:space="preserve">M. edulis </w:t>
      </w:r>
      <w:r w:rsidDel="00000000" w:rsidR="00000000" w:rsidRPr="00000000">
        <w:rPr>
          <w:rtl w:val="0"/>
        </w:rPr>
        <w:t xml:space="preserve">(</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which form zones of sympatry (hereafter, contact zones) in different parts of the region </w:t>
      </w:r>
      <w:r w:rsidDel="00000000" w:rsidR="00000000" w:rsidRPr="00000000">
        <w:rPr>
          <w:highlight w:val="cyan"/>
          <w:rtl w:val="0"/>
        </w:rPr>
        <w:t xml:space="preserve">from Scotland and the Gulf of Maine in the south to Greenland and Spitsbergen in the north (</w:t>
      </w:r>
      <w:r w:rsidDel="00000000" w:rsidR="00000000" w:rsidRPr="00000000">
        <w:rPr>
          <w:highlight w:val="green"/>
          <w:rtl w:val="0"/>
        </w:rPr>
        <w:t xml:space="preserve">Wenne et al. 2020)</w:t>
      </w:r>
      <w:r w:rsidDel="00000000" w:rsidR="00000000" w:rsidRPr="00000000">
        <w:rPr>
          <w:rtl w:val="0"/>
        </w:rPr>
        <w:t xml:space="preserve">. </w:t>
      </w:r>
      <w:r w:rsidDel="00000000" w:rsidR="00000000" w:rsidRPr="00000000">
        <w:rPr>
          <w:highlight w:val="cyan"/>
          <w:rtl w:val="0"/>
        </w:rPr>
        <w:t xml:space="preserve">On a biogeographic scale, the distribution of </w:t>
      </w:r>
      <w:r w:rsidDel="00000000" w:rsidR="00000000" w:rsidRPr="00000000">
        <w:rPr>
          <w:i w:val="1"/>
          <w:strike w:val="1"/>
          <w:highlight w:val="cyan"/>
          <w:rtl w:val="0"/>
        </w:rPr>
        <w:t xml:space="preserve">Mytilus</w:t>
      </w:r>
      <w:r w:rsidDel="00000000" w:rsidR="00000000" w:rsidRPr="00000000">
        <w:rPr>
          <w:strike w:val="1"/>
          <w:highlight w:val="cyan"/>
          <w:rtl w:val="0"/>
        </w:rPr>
        <w:t xml:space="preserve"> </w:t>
      </w:r>
      <w:commentRangeStart w:id="3"/>
      <w:r w:rsidDel="00000000" w:rsidR="00000000" w:rsidRPr="00000000">
        <w:rPr>
          <w:highlight w:val="cyan"/>
          <w:rtl w:val="0"/>
        </w:rPr>
        <w:t xml:space="preserve">species</w:t>
      </w:r>
      <w:commentRangeEnd w:id="3"/>
      <w:r w:rsidDel="00000000" w:rsidR="00000000" w:rsidRPr="00000000">
        <w:commentReference w:id="3"/>
      </w:r>
      <w:r w:rsidDel="00000000" w:rsidR="00000000" w:rsidRPr="00000000">
        <w:rPr>
          <w:highlight w:val="cyan"/>
          <w:rtl w:val="0"/>
        </w:rPr>
        <w:t xml:space="preserve"> </w:t>
      </w:r>
      <w:r w:rsidDel="00000000" w:rsidR="00000000" w:rsidRPr="00000000">
        <w:rPr>
          <w:highlight w:val="cyan"/>
          <w:rtl w:val="0"/>
        </w:rPr>
        <w:t xml:space="preserve">is thought to be regulated primarily by temperature and its correlates (</w:t>
      </w:r>
      <w:r w:rsidDel="00000000" w:rsidR="00000000" w:rsidRPr="00000000">
        <w:rPr>
          <w:highlight w:val="green"/>
          <w:rtl w:val="0"/>
        </w:rPr>
        <w:t xml:space="preserve">Hayhurst, Rawson, 2009; Wenne et al., 2020</w:t>
      </w:r>
      <w:r w:rsidDel="00000000" w:rsidR="00000000" w:rsidRPr="00000000">
        <w:rPr>
          <w:highlight w:val="cyan"/>
          <w:rtl w:val="0"/>
        </w:rPr>
        <w:t xml:space="preserve">). Both species occur in the Arctic but </w:t>
      </w:r>
      <w:r w:rsidDel="00000000" w:rsidR="00000000" w:rsidRPr="00000000">
        <w:rPr>
          <w:i w:val="1"/>
          <w:highlight w:val="cyan"/>
          <w:rtl w:val="0"/>
        </w:rPr>
        <w:t xml:space="preserve">MT</w:t>
      </w:r>
      <w:r w:rsidDel="00000000" w:rsidR="00000000" w:rsidRPr="00000000">
        <w:rPr>
          <w:highlight w:val="cyan"/>
          <w:rtl w:val="0"/>
        </w:rPr>
        <w:t xml:space="preserve"> does not penetrate as far south into temperate seas as </w:t>
      </w:r>
      <w:r w:rsidDel="00000000" w:rsidR="00000000" w:rsidRPr="00000000">
        <w:rPr>
          <w:i w:val="1"/>
          <w:highlight w:val="cyan"/>
          <w:rtl w:val="0"/>
        </w:rPr>
        <w:t xml:space="preserve">ME</w:t>
      </w:r>
      <w:r w:rsidDel="00000000" w:rsidR="00000000" w:rsidRPr="00000000">
        <w:rPr>
          <w:highlight w:val="cyan"/>
          <w:rtl w:val="0"/>
        </w:rPr>
        <w:t xml:space="preserve">, appearing to be a more stenothermic, cold-loving species (Wenne et al., </w:t>
      </w:r>
      <w:commentRangeStart w:id="4"/>
      <w:commentRangeStart w:id="5"/>
      <w:r w:rsidDel="00000000" w:rsidR="00000000" w:rsidRPr="00000000">
        <w:rPr>
          <w:highlight w:val="cyan"/>
          <w:rtl w:val="0"/>
        </w:rPr>
        <w:t xml:space="preserve">2020</w:t>
      </w:r>
      <w:commentRangeEnd w:id="4"/>
      <w:r w:rsidDel="00000000" w:rsidR="00000000" w:rsidRPr="00000000">
        <w:commentReference w:id="4"/>
      </w:r>
      <w:commentRangeEnd w:id="5"/>
      <w:r w:rsidDel="00000000" w:rsidR="00000000" w:rsidRPr="00000000">
        <w:commentReference w:id="5"/>
      </w:r>
      <w:r w:rsidDel="00000000" w:rsidR="00000000" w:rsidRPr="00000000">
        <w:rPr>
          <w:highlight w:val="cyan"/>
          <w:rtl w:val="0"/>
        </w:rPr>
        <w:t xml:space="preserve">).</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432" w:lineRule="auto"/>
        <w:ind w:right="1180" w:firstLine="560"/>
        <w:rPr/>
      </w:pP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fairly old species dating back to the Pliocene. They evolved in allopatry in the Atlantic and the Pacific Ocean, respectively, and their contact zones are thought to have formed as a result of repeated </w:t>
      </w:r>
      <w:r w:rsidDel="00000000" w:rsidR="00000000" w:rsidRPr="00000000">
        <w:rPr>
          <w:i w:val="1"/>
          <w:rtl w:val="0"/>
        </w:rPr>
        <w:t xml:space="preserve">MT</w:t>
      </w:r>
      <w:r w:rsidDel="00000000" w:rsidR="00000000" w:rsidRPr="00000000">
        <w:rPr>
          <w:rtl w:val="0"/>
        </w:rPr>
        <w:t xml:space="preserve"> invasions from the Pacific Ocean to the Atlantic as well as from one part of the Atlantic into another (Väinölä &amp; Strelkov 2011; </w:t>
      </w:r>
      <w:r w:rsidDel="00000000" w:rsidR="00000000" w:rsidRPr="00000000">
        <w:rPr>
          <w:rtl w:val="0"/>
        </w:rPr>
        <w:t xml:space="preserve">Wenne et al. 2020 </w:t>
      </w:r>
      <w:r w:rsidDel="00000000" w:rsidR="00000000" w:rsidRPr="00000000">
        <w:rPr>
          <w:rtl w:val="0"/>
        </w:rPr>
        <w:t xml:space="preserve">and references therein</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432" w:lineRule="auto"/>
        <w:ind w:right="1180" w:firstLine="560"/>
        <w:rPr>
          <w:highlight w:val="cyan"/>
        </w:rPr>
      </w:pPr>
      <w:r w:rsidDel="00000000" w:rsidR="00000000" w:rsidRPr="00000000">
        <w:rPr>
          <w:highlight w:val="cyan"/>
          <w:rtl w:val="0"/>
        </w:rPr>
        <w:t xml:space="preserve">In contact zones, </w:t>
      </w:r>
      <w:r w:rsidDel="00000000" w:rsidR="00000000" w:rsidRPr="00000000">
        <w:rPr>
          <w:i w:val="1"/>
          <w:highlight w:val="cyan"/>
          <w:rtl w:val="0"/>
        </w:rPr>
        <w:t xml:space="preserve">ME</w:t>
      </w:r>
      <w:r w:rsidDel="00000000" w:rsidR="00000000" w:rsidRPr="00000000">
        <w:rPr>
          <w:highlight w:val="cyan"/>
          <w:rtl w:val="0"/>
        </w:rPr>
        <w:t xml:space="preserve">, </w:t>
      </w:r>
      <w:r w:rsidDel="00000000" w:rsidR="00000000" w:rsidRPr="00000000">
        <w:rPr>
          <w:i w:val="1"/>
          <w:highlight w:val="cyan"/>
          <w:rtl w:val="0"/>
        </w:rPr>
        <w:t xml:space="preserve">MT</w:t>
      </w:r>
      <w:r w:rsidDel="00000000" w:rsidR="00000000" w:rsidRPr="00000000">
        <w:rPr>
          <w:highlight w:val="cyan"/>
          <w:rtl w:val="0"/>
        </w:rPr>
        <w:t xml:space="preserve"> and their hybrids are often found in the same samples from mussel settlements (Väinölä, Strelkov 2011; Wenne et al. 2020); such settlements are hereafter referred to as “</w:t>
      </w:r>
      <w:r w:rsidDel="00000000" w:rsidR="00000000" w:rsidRPr="00000000">
        <w:rPr>
          <w:i w:val="1"/>
          <w:highlight w:val="cyan"/>
          <w:rtl w:val="0"/>
        </w:rPr>
        <w:t xml:space="preserve">mixed</w:t>
      </w:r>
      <w:r w:rsidDel="00000000" w:rsidR="00000000" w:rsidRPr="00000000">
        <w:rPr>
          <w:highlight w:val="cyan"/>
          <w:rtl w:val="0"/>
        </w:rPr>
        <w:t xml:space="preserve">”. Scientists generally agree that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are ecologically distinct in sympatry (</w:t>
      </w:r>
      <w:r w:rsidDel="00000000" w:rsidR="00000000" w:rsidRPr="00000000">
        <w:rPr>
          <w:highlight w:val="cyan"/>
          <w:rtl w:val="0"/>
        </w:rPr>
        <w:t xml:space="preserve">Riginos, Cunningham 2005</w:t>
      </w:r>
      <w:r w:rsidDel="00000000" w:rsidR="00000000" w:rsidRPr="00000000">
        <w:rPr>
          <w:highlight w:val="cyan"/>
          <w:rtl w:val="0"/>
        </w:rPr>
        <w:t xml:space="preserve">; Katolikova et al. 2016; </w:t>
      </w:r>
      <w:r w:rsidDel="00000000" w:rsidR="00000000" w:rsidRPr="00000000">
        <w:rPr>
          <w:highlight w:val="green"/>
          <w:rtl w:val="0"/>
        </w:rPr>
        <w:t xml:space="preserve">REF</w:t>
      </w:r>
      <w:r w:rsidDel="00000000" w:rsidR="00000000" w:rsidRPr="00000000">
        <w:rPr>
          <w:highlight w:val="cyan"/>
          <w:rtl w:val="0"/>
        </w:rPr>
        <w:t xml:space="preserve">)</w:t>
      </w:r>
      <w:r w:rsidDel="00000000" w:rsidR="00000000" w:rsidRPr="00000000">
        <w:rPr>
          <w:highlight w:val="cyan"/>
          <w:rtl w:val="0"/>
        </w:rPr>
        <w:t xml:space="preserve"> and have different economic value in aquaculture (</w:t>
      </w:r>
      <w:r w:rsidDel="00000000" w:rsidR="00000000" w:rsidRPr="00000000">
        <w:rPr>
          <w:highlight w:val="green"/>
          <w:rtl w:val="0"/>
        </w:rPr>
        <w:t xml:space="preserve">Beaumont et al. 2008; Penney et al. 2002</w:t>
      </w:r>
      <w:r w:rsidDel="00000000" w:rsidR="00000000" w:rsidRPr="00000000">
        <w:rPr>
          <w:highlight w:val="cyan"/>
          <w:rtl w:val="0"/>
        </w:rPr>
        <w:t xml:space="preserve">), but the data on the factors of their ecological segregation are fragmentary and contradictory.</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strike w:val="1"/>
          <w:color w:val="000000"/>
          <w:highlight w:val="yellow"/>
        </w:rPr>
      </w:pPr>
      <w:r w:rsidDel="00000000" w:rsidR="00000000" w:rsidRPr="00000000">
        <w:rPr>
          <w:strike w:val="1"/>
          <w:color w:val="000000"/>
          <w:highlight w:val="yellow"/>
          <w:rtl w:val="0"/>
        </w:rPr>
        <w:t xml:space="preserve">On the biogeographic scale, the distribution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is thought to be regulated mostly by temperature and its correlates (Hayhurst, Rawson, 2009; Wenne et al., 2020).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which appears to be a more stenothermic and cold-loving species, is not distributed as far south into temperate seas as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w:t>
      </w:r>
      <w:r w:rsidDel="00000000" w:rsidR="00000000" w:rsidRPr="00000000">
        <w:rPr>
          <w:strike w:val="1"/>
          <w:highlight w:val="yellow"/>
          <w:rtl w:val="0"/>
        </w:rPr>
        <w:t xml:space="preserve">(Wenne et al., 2020)</w:t>
      </w:r>
      <w:r w:rsidDel="00000000" w:rsidR="00000000" w:rsidRPr="00000000">
        <w:rPr>
          <w:strike w:val="1"/>
          <w:color w:val="000000"/>
          <w:highlight w:val="yellow"/>
          <w:rtl w:val="0"/>
        </w:rPr>
        <w:t xml:space="preserve">. In the Arctic these two species co-occur. In contact zones,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and their hybrids are often found in the same mussel settlements (VS 11; REF), hereafter referred to as “mixed” settlements.</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color w:val="000000"/>
          <w:highlight w:val="cyan"/>
        </w:rPr>
      </w:pPr>
      <w:r w:rsidDel="00000000" w:rsidR="00000000" w:rsidRPr="00000000">
        <w:rPr>
          <w:highlight w:val="cyan"/>
          <w:rtl w:val="0"/>
        </w:rPr>
        <w:t xml:space="preserve">The greatest progress in comparative ecological studies of </w:t>
      </w:r>
      <w:r w:rsidDel="00000000" w:rsidR="00000000" w:rsidRPr="00000000">
        <w:rPr>
          <w:i w:val="1"/>
          <w:highlight w:val="cyan"/>
          <w:rtl w:val="0"/>
        </w:rPr>
        <w:t xml:space="preserve">ME</w:t>
      </w:r>
      <w:r w:rsidDel="00000000" w:rsidR="00000000" w:rsidRPr="00000000">
        <w:rPr>
          <w:highlight w:val="cyan"/>
          <w:rtl w:val="0"/>
        </w:rPr>
        <w:t xml:space="preserve"> and </w:t>
      </w:r>
      <w:r w:rsidDel="00000000" w:rsidR="00000000" w:rsidRPr="00000000">
        <w:rPr>
          <w:i w:val="1"/>
          <w:highlight w:val="cyan"/>
          <w:rtl w:val="0"/>
        </w:rPr>
        <w:t xml:space="preserve">MT</w:t>
      </w:r>
      <w:r w:rsidDel="00000000" w:rsidR="00000000" w:rsidRPr="00000000">
        <w:rPr>
          <w:highlight w:val="cyan"/>
          <w:rtl w:val="0"/>
        </w:rPr>
        <w:t xml:space="preserve"> in sympatry has been made in the contact zones in the Baltic Sea, in the waters of the Kola Peninsula (White and Barents Seas) and in the West Atlantic (mainly, Gulf of Maine and New Scotland). In the Baltic Sea, the brackish areas of the inner part of the sea are inhabited by </w:t>
      </w:r>
      <w:r w:rsidDel="00000000" w:rsidR="00000000" w:rsidRPr="00000000">
        <w:rPr>
          <w:i w:val="1"/>
          <w:highlight w:val="cyan"/>
          <w:rtl w:val="0"/>
        </w:rPr>
        <w:t xml:space="preserve">MT</w:t>
      </w:r>
      <w:r w:rsidDel="00000000" w:rsidR="00000000" w:rsidRPr="00000000">
        <w:rPr>
          <w:highlight w:val="cyan"/>
          <w:rtl w:val="0"/>
        </w:rPr>
        <w:t xml:space="preserve">, while the saltier areas closer to the North Sea are inhabited by </w:t>
      </w:r>
      <w:r w:rsidDel="00000000" w:rsidR="00000000" w:rsidRPr="00000000">
        <w:rPr>
          <w:i w:val="1"/>
          <w:highlight w:val="cyan"/>
          <w:rtl w:val="0"/>
        </w:rPr>
        <w:t xml:space="preserve">ME</w:t>
      </w:r>
      <w:r w:rsidDel="00000000" w:rsidR="00000000" w:rsidRPr="00000000">
        <w:rPr>
          <w:highlight w:val="cyan"/>
          <w:rtl w:val="0"/>
        </w:rPr>
        <w:t xml:space="preserve">. In the middle runs the contact zone, where mixed settlements could be dominated by hybrids, and </w:t>
      </w:r>
      <w:r w:rsidDel="00000000" w:rsidR="00000000" w:rsidRPr="00000000">
        <w:rPr>
          <w:i w:val="1"/>
          <w:highlight w:val="cyan"/>
          <w:rtl w:val="0"/>
        </w:rPr>
        <w:t xml:space="preserve">MT</w:t>
      </w:r>
      <w:r w:rsidDel="00000000" w:rsidR="00000000" w:rsidRPr="00000000">
        <w:rPr>
          <w:highlight w:val="cyan"/>
          <w:rtl w:val="0"/>
        </w:rPr>
        <w:t xml:space="preserve"> gene frequency gradually increases towards the inner Baltic (Väinölä, Strelkov 2011; Zbawicka et al. 2014, Stuckas et al. 2017</w:t>
      </w:r>
      <w:r w:rsidDel="00000000" w:rsidR="00000000" w:rsidRPr="00000000">
        <w:rPr>
          <w:highlight w:val="cyan"/>
          <w:rtl w:val="0"/>
        </w:rPr>
        <w:t xml:space="preserve">)</w:t>
      </w:r>
      <w:r w:rsidDel="00000000" w:rsidR="00000000" w:rsidRPr="00000000">
        <w:rPr>
          <w:highlight w:val="cyan"/>
          <w:rtl w:val="0"/>
        </w:rPr>
        <w:t xml:space="preserve">. As a result, species distribution is strongly correlated with salinity, against which the role of other factors is negligible (</w:t>
      </w:r>
      <w:r w:rsidDel="00000000" w:rsidR="00000000" w:rsidRPr="00000000">
        <w:rPr>
          <w:highlight w:val="green"/>
          <w:rtl w:val="0"/>
        </w:rPr>
        <w:t xml:space="preserve">Kijevsky; REF</w:t>
      </w: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del w:author="Arcella" w:id="0" w:date="2024-07-12T16:53:00Z"/>
          <w:strike w:val="1"/>
          <w:color w:val="000000"/>
          <w:highlight w:val="yellow"/>
        </w:rPr>
      </w:pPr>
      <w:r w:rsidDel="00000000" w:rsidR="00000000" w:rsidRPr="00000000">
        <w:rPr>
          <w:strike w:val="1"/>
          <w:color w:val="000000"/>
          <w:highlight w:val="yellow"/>
          <w:rtl w:val="0"/>
        </w:rPr>
        <w:t xml:space="preserve">There is a general agreement that sympatric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are ecologically distinct (RC 05</w:t>
      </w:r>
      <w:r w:rsidDel="00000000" w:rsidR="00000000" w:rsidRPr="00000000">
        <w:rPr>
          <w:strike w:val="1"/>
          <w:highlight w:val="yellow"/>
          <w:rtl w:val="0"/>
        </w:rPr>
        <w:t xml:space="preserve">;</w:t>
      </w:r>
      <w:r w:rsidDel="00000000" w:rsidR="00000000" w:rsidRPr="00000000">
        <w:rPr>
          <w:strike w:val="1"/>
          <w:color w:val="000000"/>
          <w:highlight w:val="yellow"/>
          <w:rtl w:val="0"/>
        </w:rPr>
        <w:t xml:space="preserve"> Katolikova et al. 2016; REF) and have different economic value in aquaculture (Beaumont et al. 2</w:t>
      </w:r>
      <w:r w:rsidDel="00000000" w:rsidR="00000000" w:rsidRPr="00000000">
        <w:rPr>
          <w:strike w:val="1"/>
          <w:highlight w:val="yellow"/>
          <w:rtl w:val="0"/>
        </w:rPr>
        <w:t xml:space="preserve">008; </w:t>
      </w:r>
      <w:r w:rsidDel="00000000" w:rsidR="00000000" w:rsidRPr="00000000">
        <w:rPr>
          <w:strike w:val="1"/>
          <w:color w:val="000000"/>
          <w:highlight w:val="yellow"/>
          <w:rtl w:val="0"/>
        </w:rPr>
        <w:t xml:space="preserve">Penney et al</w:t>
      </w:r>
      <w:r w:rsidDel="00000000" w:rsidR="00000000" w:rsidRPr="00000000">
        <w:rPr>
          <w:strike w:val="1"/>
          <w:highlight w:val="yellow"/>
          <w:rtl w:val="0"/>
        </w:rPr>
        <w:t xml:space="preserve">. 2002</w:t>
      </w:r>
      <w:r w:rsidDel="00000000" w:rsidR="00000000" w:rsidRPr="00000000">
        <w:rPr>
          <w:strike w:val="1"/>
          <w:color w:val="000000"/>
          <w:highlight w:val="yellow"/>
          <w:rtl w:val="0"/>
        </w:rPr>
        <w:t xml:space="preserve">). However, information on the factors of their ecological segregation </w:t>
      </w:r>
      <w:r w:rsidDel="00000000" w:rsidR="00000000" w:rsidRPr="00000000">
        <w:rPr>
          <w:strike w:val="1"/>
          <w:highlight w:val="yellow"/>
          <w:rtl w:val="0"/>
        </w:rPr>
        <w:t xml:space="preserve">is </w:t>
      </w:r>
      <w:r w:rsidDel="00000000" w:rsidR="00000000" w:rsidRPr="00000000">
        <w:rPr>
          <w:strike w:val="1"/>
          <w:color w:val="000000"/>
          <w:highlight w:val="yellow"/>
          <w:rtl w:val="0"/>
        </w:rPr>
        <w:t xml:space="preserve">fragmentary and contradictory. The greatest progress in comparative ecological studies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in sympatry has been made in the contact zones in the Baltic Sea, in the waters of the Kola Peninsula (White and Barents Sea) and in West Atlantic (mostly Gulf of Maine and New Scotland). In the Baltic Sea, the brackish areas of its inner part are inhabited by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while the saltier areas closer to the North Sea are inhabited by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In the contact zone between these parts, mixed settlements can be dominated by hybrids,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gene frequency gradually increases towards the inner Baltic (VS 11, Zbawicka et al. 2014, Stuckas et al. 2017). As a result, the distribution of </w:t>
      </w:r>
      <w:r w:rsidDel="00000000" w:rsidR="00000000" w:rsidRPr="00000000">
        <w:rPr>
          <w:i w:val="1"/>
          <w:strike w:val="1"/>
          <w:color w:val="000000"/>
          <w:highlight w:val="yellow"/>
          <w:rtl w:val="0"/>
        </w:rPr>
        <w:t xml:space="preserve">ME</w:t>
      </w:r>
      <w:r w:rsidDel="00000000" w:rsidR="00000000" w:rsidRPr="00000000">
        <w:rPr>
          <w:strike w:val="1"/>
          <w:color w:val="000000"/>
          <w:highlight w:val="yellow"/>
          <w:rtl w:val="0"/>
        </w:rPr>
        <w:t xml:space="preserve"> and </w:t>
      </w:r>
      <w:r w:rsidDel="00000000" w:rsidR="00000000" w:rsidRPr="00000000">
        <w:rPr>
          <w:i w:val="1"/>
          <w:strike w:val="1"/>
          <w:color w:val="000000"/>
          <w:highlight w:val="yellow"/>
          <w:rtl w:val="0"/>
        </w:rPr>
        <w:t xml:space="preserve">MT</w:t>
      </w:r>
      <w:r w:rsidDel="00000000" w:rsidR="00000000" w:rsidRPr="00000000">
        <w:rPr>
          <w:strike w:val="1"/>
          <w:color w:val="000000"/>
          <w:highlight w:val="yellow"/>
          <w:rtl w:val="0"/>
        </w:rPr>
        <w:t xml:space="preserve"> is strongly correlated with salinity, while the role of other factors is negligible (Kijevsky; REF).</w:t>
      </w:r>
      <w:del w:author="Arcella" w:id="0" w:date="2024-07-12T16:53:00Z">
        <w:r w:rsidDel="00000000" w:rsidR="00000000" w:rsidRPr="00000000">
          <w:rPr>
            <w:rtl w:val="0"/>
          </w:rPr>
        </w:r>
      </w:del>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strike w:val="1"/>
        </w:rPr>
      </w:pPr>
      <w:r w:rsidDel="00000000" w:rsidR="00000000" w:rsidRPr="00000000">
        <w:rPr>
          <w:color w:val="000000"/>
          <w:rtl w:val="0"/>
        </w:rPr>
        <w:t xml:space="preserve">Another situation is observed in the contact zones of the  Kola Peninsula and West Atlantic. Hybrids are always in the minority in mixed settlements there, and spatial distribution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is mosaic both at the regional (i.e. </w:t>
      </w:r>
      <w:r w:rsidDel="00000000" w:rsidR="00000000" w:rsidRPr="00000000">
        <w:rPr>
          <w:rtl w:val="0"/>
        </w:rPr>
        <w:t xml:space="preserve">dozens</w:t>
      </w:r>
      <w:r w:rsidDel="00000000" w:rsidR="00000000" w:rsidRPr="00000000">
        <w:rPr>
          <w:color w:val="000000"/>
          <w:rtl w:val="0"/>
        </w:rPr>
        <w:t xml:space="preserve"> to hu</w:t>
      </w:r>
      <w:r w:rsidDel="00000000" w:rsidR="00000000" w:rsidRPr="00000000">
        <w:rPr>
          <w:rtl w:val="0"/>
        </w:rPr>
        <w:t xml:space="preserve">ndreds of kilometers</w:t>
      </w:r>
      <w:r w:rsidDel="00000000" w:rsidR="00000000" w:rsidRPr="00000000">
        <w:rPr>
          <w:color w:val="000000"/>
          <w:rtl w:val="0"/>
        </w:rPr>
        <w:t xml:space="preserve">) and at the local scale. The relationship between the distribution of these species and salinity is not obvious anywhere in these contact zones (</w:t>
      </w:r>
      <w:r w:rsidDel="00000000" w:rsidR="00000000" w:rsidRPr="00000000">
        <w:rPr>
          <w:rtl w:val="0"/>
        </w:rPr>
        <w:t xml:space="preserve">Riginos, Cunningham 2005;</w:t>
      </w:r>
      <w:r w:rsidDel="00000000" w:rsidR="00000000" w:rsidRPr="00000000">
        <w:rPr>
          <w:color w:val="000000"/>
          <w:rtl w:val="0"/>
        </w:rPr>
        <w:t xml:space="preserve"> Katolikova et al. 2016;</w:t>
      </w:r>
      <w:r w:rsidDel="00000000" w:rsidR="00000000" w:rsidRPr="00000000">
        <w:rPr>
          <w:color w:val="000000"/>
          <w:rtl w:val="0"/>
        </w:rPr>
        <w:t xml:space="preserve"> </w:t>
      </w:r>
      <w:r w:rsidDel="00000000" w:rsidR="00000000" w:rsidRPr="00000000">
        <w:rPr>
          <w:color w:val="000000"/>
          <w:rtl w:val="0"/>
        </w:rPr>
        <w:t xml:space="preserve">Wenne et al. 2020; </w:t>
      </w:r>
      <w:r w:rsidDel="00000000" w:rsidR="00000000" w:rsidRPr="00000000">
        <w:rPr>
          <w:color w:val="000000"/>
          <w:rtl w:val="0"/>
        </w:rPr>
        <w:t xml:space="preserve">Marchenko </w:t>
      </w:r>
      <w:r w:rsidDel="00000000" w:rsidR="00000000" w:rsidRPr="00000000">
        <w:rPr>
          <w:color w:val="000000"/>
          <w:rtl w:val="0"/>
        </w:rPr>
        <w:t xml:space="preserve">et al. 2023</w:t>
      </w:r>
      <w:r w:rsidDel="00000000" w:rsidR="00000000" w:rsidRPr="00000000">
        <w:rPr>
          <w:color w:val="000000"/>
          <w:rtl w:val="0"/>
        </w:rPr>
        <w:t xml:space="preserve">), though several other factors of ecological segregation have been proposed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the White and the Barents Sea, the frequency of </w:t>
      </w:r>
      <w:r w:rsidDel="00000000" w:rsidR="00000000" w:rsidRPr="00000000">
        <w:rPr>
          <w:i w:val="1"/>
          <w:color w:val="000000"/>
          <w:rtl w:val="0"/>
        </w:rPr>
        <w:t xml:space="preserve">MT</w:t>
      </w:r>
      <w:r w:rsidDel="00000000" w:rsidR="00000000" w:rsidRPr="00000000">
        <w:rPr>
          <w:color w:val="000000"/>
          <w:rtl w:val="0"/>
        </w:rPr>
        <w:t xml:space="preserve"> is greater in port areas, possibly because this species has been introduced into the region with ship traffic in historic times (</w:t>
      </w:r>
      <w:r w:rsidDel="00000000" w:rsidR="00000000" w:rsidRPr="00000000">
        <w:rPr>
          <w:rtl w:val="0"/>
        </w:rPr>
        <w:t xml:space="preserve">Väinölä, Strelkov 2011;</w:t>
      </w:r>
      <w:r w:rsidDel="00000000" w:rsidR="00000000" w:rsidRPr="00000000">
        <w:rPr>
          <w:color w:val="000000"/>
          <w:rtl w:val="0"/>
        </w:rPr>
        <w:t xml:space="preserve"> Katolikova et al. 2016</w:t>
      </w:r>
      <w:r w:rsidDel="00000000" w:rsidR="00000000" w:rsidRPr="00000000">
        <w:rPr>
          <w:color w:val="000000"/>
          <w:rtl w:val="0"/>
        </w:rPr>
        <w:t xml:space="preserve">). The only segregation factor explicitly tested in the White Sea is the substrate to which littoral mussels attach (</w:t>
      </w:r>
      <w:r w:rsidDel="00000000" w:rsidR="00000000" w:rsidRPr="00000000">
        <w:rPr>
          <w:color w:val="000000"/>
          <w:rtl w:val="0"/>
        </w:rPr>
        <w:t xml:space="preserve">Katolikova et al. 2016</w:t>
      </w:r>
      <w:r w:rsidDel="00000000" w:rsidR="00000000" w:rsidRPr="00000000">
        <w:rPr>
          <w:color w:val="000000"/>
          <w:rtl w:val="0"/>
        </w:rPr>
        <w:t xml:space="preserve">). It has been shown that </w:t>
      </w:r>
      <w:r w:rsidDel="00000000" w:rsidR="00000000" w:rsidRPr="00000000">
        <w:rPr>
          <w:i w:val="1"/>
          <w:color w:val="000000"/>
          <w:rtl w:val="0"/>
        </w:rPr>
        <w:t xml:space="preserve">MT</w:t>
      </w:r>
      <w:r w:rsidDel="00000000" w:rsidR="00000000" w:rsidRPr="00000000">
        <w:rPr>
          <w:color w:val="000000"/>
          <w:rtl w:val="0"/>
        </w:rPr>
        <w:t xml:space="preserve"> is more common on fucoid algae while </w:t>
      </w:r>
      <w:r w:rsidDel="00000000" w:rsidR="00000000" w:rsidRPr="00000000">
        <w:rPr>
          <w:i w:val="1"/>
          <w:color w:val="000000"/>
          <w:rtl w:val="0"/>
        </w:rPr>
        <w:t xml:space="preserve">ME</w:t>
      </w:r>
      <w:r w:rsidDel="00000000" w:rsidR="00000000" w:rsidRPr="00000000">
        <w:rPr>
          <w:color w:val="000000"/>
          <w:rtl w:val="0"/>
        </w:rPr>
        <w:t xml:space="preserve"> mostly lives directly on the bottom, on substrates such as mud, sand, stones and gravel. However, segregation across substrates cannot fully explain the local-scale mosaic in the distribution (</w:t>
      </w:r>
      <w:r w:rsidDel="00000000" w:rsidR="00000000" w:rsidRPr="00000000">
        <w:rPr>
          <w:color w:val="000000"/>
          <w:rtl w:val="0"/>
        </w:rPr>
        <w:t xml:space="preserve">Katolikova et al. 2016</w:t>
      </w:r>
      <w:r w:rsidDel="00000000" w:rsidR="00000000" w:rsidRPr="00000000">
        <w:rPr>
          <w:color w:val="000000"/>
          <w:rtl w:val="0"/>
        </w:rPr>
        <w:t xml:space="preserve">). </w:t>
      </w:r>
      <w:r w:rsidDel="00000000" w:rsidR="00000000" w:rsidRPr="00000000">
        <w:rPr>
          <w:rtl w:val="0"/>
        </w:rPr>
        <w:t xml:space="preserve">In the Barents Sea, no correlation with substrate has been found. However, these species have different depth preferences there (</w:t>
      </w:r>
      <w:r w:rsidDel="00000000" w:rsidR="00000000" w:rsidRPr="00000000">
        <w:rPr>
          <w:rtl w:val="0"/>
        </w:rPr>
        <w:t xml:space="preserve">Marchenko et al. 2023</w:t>
      </w:r>
      <w:r w:rsidDel="00000000" w:rsidR="00000000" w:rsidRPr="00000000">
        <w:rPr>
          <w:rtl w:val="0"/>
        </w:rPr>
        <w:t xml:space="preserve">). The proportion of </w:t>
      </w:r>
      <w:r w:rsidDel="00000000" w:rsidR="00000000" w:rsidRPr="00000000">
        <w:rPr>
          <w:i w:val="1"/>
          <w:rtl w:val="0"/>
        </w:rPr>
        <w:t xml:space="preserve">ME</w:t>
      </w:r>
      <w:r w:rsidDel="00000000" w:rsidR="00000000" w:rsidRPr="00000000">
        <w:rPr>
          <w:rtl w:val="0"/>
        </w:rPr>
        <w:t xml:space="preserve"> increases with depth on littoral-sublittoral vertical transects, so that </w:t>
      </w:r>
      <w:r w:rsidDel="00000000" w:rsidR="00000000" w:rsidRPr="00000000">
        <w:rPr>
          <w:i w:val="1"/>
          <w:rtl w:val="0"/>
        </w:rPr>
        <w:t xml:space="preserve">ME</w:t>
      </w:r>
      <w:r w:rsidDel="00000000" w:rsidR="00000000" w:rsidRPr="00000000">
        <w:rPr>
          <w:rtl w:val="0"/>
        </w:rPr>
        <w:t xml:space="preserve"> appears to be a more sublittoral species and </w:t>
      </w:r>
      <w:r w:rsidDel="00000000" w:rsidR="00000000" w:rsidRPr="00000000">
        <w:rPr>
          <w:i w:val="1"/>
          <w:rtl w:val="0"/>
        </w:rPr>
        <w:t xml:space="preserve">MT</w:t>
      </w:r>
      <w:r w:rsidDel="00000000" w:rsidR="00000000" w:rsidRPr="00000000">
        <w:rPr>
          <w:rtl w:val="0"/>
        </w:rPr>
        <w:t xml:space="preserve"> a more littoral one (</w:t>
      </w:r>
      <w:r w:rsidDel="00000000" w:rsidR="00000000" w:rsidRPr="00000000">
        <w:rPr>
          <w:rtl w:val="0"/>
        </w:rPr>
        <w:t xml:space="preserve">Marchenko et al. 2023</w:t>
      </w:r>
      <w:r w:rsidDel="00000000" w:rsidR="00000000" w:rsidRPr="00000000">
        <w:rPr>
          <w:rtl w:val="0"/>
        </w:rPr>
        <w:t xml:space="preserve">). In West Atlantic, depth, anthropogenic pollution levels and surf effects have been considered as possible factors affecting the segregation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(Hellou &amp; Law 2003; Bates, Innes 1995; Comesaña et al., 1999; Tam &amp; Scrosati, </w:t>
      </w:r>
      <w:commentRangeStart w:id="6"/>
      <w:r w:rsidDel="00000000" w:rsidR="00000000" w:rsidRPr="00000000">
        <w:rPr>
          <w:rtl w:val="0"/>
        </w:rPr>
        <w:t xml:space="preserve">2013</w:t>
      </w:r>
      <w:commentRangeEnd w:id="6"/>
      <w:r w:rsidDel="00000000" w:rsidR="00000000" w:rsidRPr="00000000">
        <w:commentReference w:id="6"/>
      </w:r>
      <w:r w:rsidDel="00000000" w:rsidR="00000000" w:rsidRPr="00000000">
        <w:rPr>
          <w:highlight w:val="green"/>
          <w:rtl w:val="0"/>
        </w:rPr>
        <w:t xml:space="preserve">), </w:t>
      </w:r>
      <w:r w:rsidDel="00000000" w:rsidR="00000000" w:rsidRPr="00000000">
        <w:rPr>
          <w:rtl w:val="0"/>
        </w:rPr>
        <w:t xml:space="preserve">but no definite conclusions have been made (</w:t>
      </w:r>
      <w:r w:rsidDel="00000000" w:rsidR="00000000" w:rsidRPr="00000000">
        <w:rPr>
          <w:rtl w:val="0"/>
        </w:rPr>
        <w:t xml:space="preserve">Riginos, Cunningham 2005; Katolikova et al. 2016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To sum up, no simple “single-factor” pattern of species distribution has been revealed in the contact zones of </w:t>
      </w:r>
      <w:r w:rsidDel="00000000" w:rsidR="00000000" w:rsidRPr="00000000">
        <w:rPr>
          <w:i w:val="1"/>
          <w:color w:val="000000"/>
          <w:rtl w:val="0"/>
        </w:rPr>
        <w:t xml:space="preserve">MT </w:t>
      </w:r>
      <w:r w:rsidDel="00000000" w:rsidR="00000000" w:rsidRPr="00000000">
        <w:rPr>
          <w:color w:val="000000"/>
          <w:rtl w:val="0"/>
        </w:rPr>
        <w:t xml:space="preserve">and </w:t>
      </w:r>
      <w:r w:rsidDel="00000000" w:rsidR="00000000" w:rsidRPr="00000000">
        <w:rPr>
          <w:i w:val="1"/>
          <w:color w:val="000000"/>
          <w:rtl w:val="0"/>
        </w:rPr>
        <w:t xml:space="preserve">ME</w:t>
      </w:r>
      <w:r w:rsidDel="00000000" w:rsidR="00000000" w:rsidRPr="00000000">
        <w:rPr>
          <w:color w:val="000000"/>
          <w:rtl w:val="0"/>
        </w:rPr>
        <w:t xml:space="preserve"> outside the Baltic. Moreover, some of the factors </w:t>
      </w:r>
      <w:r w:rsidDel="00000000" w:rsidR="00000000" w:rsidRPr="00000000">
        <w:rPr>
          <w:rtl w:val="0"/>
        </w:rPr>
        <w:t xml:space="preserve">may </w:t>
      </w:r>
      <w:r w:rsidDel="00000000" w:rsidR="00000000" w:rsidRPr="00000000">
        <w:rPr>
          <w:color w:val="000000"/>
          <w:rtl w:val="0"/>
        </w:rPr>
        <w:t xml:space="preserve">potentially be collinear and confound </w:t>
      </w:r>
      <w:r w:rsidDel="00000000" w:rsidR="00000000" w:rsidRPr="00000000">
        <w:rPr>
          <w:rtl w:val="0"/>
        </w:rPr>
        <w:t xml:space="preserve">the</w:t>
      </w:r>
      <w:r w:rsidDel="00000000" w:rsidR="00000000" w:rsidRPr="00000000">
        <w:rPr>
          <w:color w:val="000000"/>
          <w:rtl w:val="0"/>
        </w:rPr>
        <w:t xml:space="preserve"> analysis. Ports are often located in storm-protected areas, usually close to </w:t>
      </w:r>
      <w:r w:rsidDel="00000000" w:rsidR="00000000" w:rsidRPr="00000000">
        <w:rPr>
          <w:rtl w:val="0"/>
        </w:rPr>
        <w:t xml:space="preserve">river</w:t>
      </w:r>
      <w:r w:rsidDel="00000000" w:rsidR="00000000" w:rsidRPr="00000000">
        <w:rPr>
          <w:color w:val="000000"/>
          <w:rtl w:val="0"/>
        </w:rPr>
        <w:t xml:space="preserve"> mouths, so that the effects of shipping (and other anthropogenic factors), surf and salinity are difficult to distinguish. The effects of depth and substrate may obscure each other since fucoids, common in the littoral, are rare in the sublittoral, where they are replaced by kelps</w:t>
      </w:r>
      <w:commentRangeStart w:id="7"/>
      <w:commentRangeStart w:id="8"/>
      <w:r w:rsidDel="00000000" w:rsidR="00000000" w:rsidRPr="00000000">
        <w:rPr>
          <w:color w:val="000000"/>
          <w:rtl w:val="0"/>
        </w:rPr>
        <w:t xml:space="preserve"> (</w:t>
      </w:r>
      <w:r w:rsidDel="00000000" w:rsidR="00000000" w:rsidRPr="00000000">
        <w:rPr>
          <w:color w:val="000000"/>
          <w:highlight w:val="green"/>
          <w:rtl w:val="0"/>
        </w:rPr>
        <w:t xml:space="preserve">REF</w:t>
      </w:r>
      <w:r w:rsidDel="00000000" w:rsidR="00000000" w:rsidRPr="00000000">
        <w:rPr>
          <w:color w:val="000000"/>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This lack of conclusive evidence is partly due to the fact that until recently scientists could identify cryptic species of blue mussels only with the help of labor-intensive genotyping methods and therefore could not handle large amounts of material (</w:t>
      </w:r>
      <w:r w:rsidDel="00000000" w:rsidR="00000000" w:rsidRPr="00000000">
        <w:rPr>
          <w:color w:val="000000"/>
          <w:rtl w:val="0"/>
        </w:rPr>
        <w:t xml:space="preserve">Khaitov et al., </w:t>
      </w:r>
      <w:r w:rsidDel="00000000" w:rsidR="00000000" w:rsidRPr="00000000">
        <w:rPr>
          <w:color w:val="000000"/>
          <w:rtl w:val="0"/>
        </w:rPr>
        <w:t xml:space="preserve">2021</w:t>
      </w:r>
      <w:r w:rsidDel="00000000" w:rsidR="00000000" w:rsidRPr="00000000">
        <w:rPr>
          <w:color w:val="000000"/>
          <w:rtl w:val="0"/>
        </w:rPr>
        <w:t xml:space="preserve">). In addition, there were no reliable statistical methods for modeling the distribution of sympatric taxa in the space of multiple factors, i.e. an SDM approach could not be implemented. To our knowledge, this approach </w:t>
      </w:r>
      <w:r w:rsidDel="00000000" w:rsidR="00000000" w:rsidRPr="00000000">
        <w:rPr>
          <w:rtl w:val="0"/>
        </w:rPr>
        <w:t xml:space="preserve">has</w:t>
      </w:r>
      <w:r w:rsidDel="00000000" w:rsidR="00000000" w:rsidRPr="00000000">
        <w:rPr>
          <w:color w:val="000000"/>
          <w:rtl w:val="0"/>
        </w:rPr>
        <w:t xml:space="preserve"> been applied only twice in the history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studies: by Kijewski et al. (2019</w:t>
      </w:r>
      <w:r w:rsidDel="00000000" w:rsidR="00000000" w:rsidRPr="00000000">
        <w:rPr>
          <w:color w:val="000000"/>
          <w:rtl w:val="0"/>
        </w:rPr>
        <w:t xml:space="preserve">)</w:t>
      </w:r>
      <w:r w:rsidDel="00000000" w:rsidR="00000000" w:rsidRPr="00000000">
        <w:rPr>
          <w:color w:val="000000"/>
          <w:rtl w:val="0"/>
        </w:rPr>
        <w:t xml:space="preserve"> and by Wenne et al. (2020).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 </w:t>
      </w:r>
      <w:r w:rsidDel="00000000" w:rsidR="00000000" w:rsidRPr="00000000">
        <w:rPr>
          <w:i w:val="1"/>
          <w:color w:val="000000"/>
          <w:rtl w:val="0"/>
        </w:rPr>
        <w:t xml:space="preserve">MT</w:t>
      </w:r>
      <w:r w:rsidDel="00000000" w:rsidR="00000000" w:rsidRPr="00000000">
        <w:rPr>
          <w:color w:val="000000"/>
          <w:rtl w:val="0"/>
        </w:rPr>
        <w:t xml:space="preserve"> </w:t>
      </w:r>
      <w:r w:rsidDel="00000000" w:rsidR="00000000" w:rsidRPr="00000000">
        <w:rPr>
          <w:rtl w:val="0"/>
        </w:rPr>
        <w:t xml:space="preserve">tolerating</w:t>
      </w:r>
      <w:r w:rsidDel="00000000" w:rsidR="00000000" w:rsidRPr="00000000">
        <w:rPr>
          <w:color w:val="000000"/>
          <w:rtl w:val="0"/>
        </w:rPr>
        <w:t xml:space="preserve"> lower salinities and temperatures than </w:t>
      </w:r>
      <w:r w:rsidDel="00000000" w:rsidR="00000000" w:rsidRPr="00000000">
        <w:rPr>
          <w:i w:val="1"/>
          <w:color w:val="000000"/>
          <w:rtl w:val="0"/>
        </w:rPr>
        <w:t xml:space="preserve">ME</w:t>
      </w:r>
      <w:r w:rsidDel="00000000" w:rsidR="00000000" w:rsidRPr="00000000">
        <w:rPr>
          <w:color w:val="000000"/>
          <w:rtl w:val="0"/>
        </w:rPr>
        <w:t xml:space="preserve"> (</w:t>
      </w:r>
      <w:r w:rsidDel="00000000" w:rsidR="00000000" w:rsidRPr="00000000">
        <w:rPr>
          <w:color w:val="000000"/>
          <w:rtl w:val="0"/>
        </w:rPr>
        <w:t xml:space="preserve">Kijewski et al. 2019</w:t>
      </w:r>
      <w:r w:rsidDel="00000000" w:rsidR="00000000" w:rsidRPr="00000000">
        <w:rPr>
          <w:rtl w:val="0"/>
        </w:rPr>
        <w:t xml:space="preserve">; </w:t>
      </w:r>
      <w:r w:rsidDel="00000000" w:rsidR="00000000" w:rsidRPr="00000000">
        <w:rPr>
          <w:color w:val="000000"/>
          <w:rtl w:val="0"/>
        </w:rPr>
        <w:t xml:space="preserve">Wenne et al. 2020</w:t>
      </w:r>
      <w:r w:rsidDel="00000000" w:rsidR="00000000" w:rsidRPr="00000000">
        <w:rPr>
          <w:color w:val="000000"/>
          <w:rtl w:val="0"/>
        </w:rPr>
        <w:t xml:space="preserve">, see also above).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our previous studies we found a simple semi-diagnostic trait for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namely, the presence or absence of an uninterrupted strip of </w:t>
      </w:r>
      <w:r w:rsidDel="00000000" w:rsidR="00000000" w:rsidRPr="00000000">
        <w:rPr>
          <w:rtl w:val="0"/>
        </w:rPr>
        <w:t xml:space="preserve">prismatic layer </w:t>
      </w:r>
      <w:r w:rsidDel="00000000" w:rsidR="00000000" w:rsidRPr="00000000">
        <w:rPr>
          <w:color w:val="000000"/>
          <w:rtl w:val="0"/>
        </w:rPr>
        <w:t xml:space="preserve">under the ligament on the inner side of the shell (</w:t>
      </w:r>
      <w:r w:rsidDel="00000000" w:rsidR="00000000" w:rsidRPr="00000000">
        <w:rPr>
          <w:color w:val="000000"/>
          <w:rtl w:val="0"/>
        </w:rPr>
        <w:t xml:space="preserve">Zolotarev 2002</w:t>
      </w:r>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rtl w:val="0"/>
        </w:rPr>
        <w:t xml:space="preserve">Katolikova et al. 2016</w:t>
      </w:r>
      <w:r w:rsidDel="00000000" w:rsidR="00000000" w:rsidRPr="00000000">
        <w:rPr>
          <w:color w:val="000000"/>
          <w:rtl w:val="0"/>
        </w:rPr>
        <w:t xml:space="preserve">)</w:t>
      </w:r>
      <w:r w:rsidDel="00000000" w:rsidR="00000000" w:rsidRPr="00000000">
        <w:rPr>
          <w:color w:val="000000"/>
          <w:rtl w:val="0"/>
        </w:rPr>
        <w:t xml:space="preserve">.</w:t>
      </w:r>
      <w:r w:rsidDel="00000000" w:rsidR="00000000" w:rsidRPr="00000000">
        <w:rPr>
          <w:color w:val="000000"/>
          <w:rtl w:val="0"/>
        </w:rPr>
        <w:t xml:space="preserve"> Using this finding, one could make reliable interpretations of the taxonomic structure of mixed settlements on the basis of morphotype frequencies </w:t>
      </w:r>
      <w:r w:rsidDel="00000000" w:rsidR="00000000" w:rsidRPr="00000000">
        <w:rPr>
          <w:rtl w:val="0"/>
        </w:rPr>
        <w:t xml:space="preserve">in samples, i.e. </w:t>
      </w:r>
      <w:r w:rsidDel="00000000" w:rsidR="00000000" w:rsidRPr="00000000">
        <w:rPr>
          <w:color w:val="000000"/>
          <w:rtl w:val="0"/>
        </w:rPr>
        <w:t xml:space="preserve">without genotyping</w:t>
      </w:r>
      <w:r w:rsidDel="00000000" w:rsidR="00000000" w:rsidRPr="00000000">
        <w:rPr>
          <w:rtl w:val="0"/>
        </w:rPr>
        <w:t xml:space="preserve">. </w:t>
      </w:r>
      <w:r w:rsidDel="00000000" w:rsidR="00000000" w:rsidRPr="00000000">
        <w:rPr>
          <w:color w:val="000000"/>
          <w:rtl w:val="0"/>
        </w:rPr>
        <w:t xml:space="preserve">This procedure was </w:t>
      </w:r>
      <w:r w:rsidDel="00000000" w:rsidR="00000000" w:rsidRPr="00000000">
        <w:rPr>
          <w:rtl w:val="0"/>
        </w:rPr>
        <w:t xml:space="preserve">referred to as the “morphotype test”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tl w:val="0"/>
        </w:rPr>
        <w:t xml:space="preserve">Khaitov et al., 2021</w:t>
      </w:r>
      <w:r w:rsidDel="00000000" w:rsidR="00000000" w:rsidRPr="00000000">
        <w:rPr>
          <w:rtl w:val="0"/>
        </w:rPr>
        <w:t xml:space="preserve">).</w:t>
      </w:r>
      <w:r w:rsidDel="00000000" w:rsidR="00000000" w:rsidRPr="00000000">
        <w:rPr>
          <w:color w:val="000000"/>
          <w:rtl w:val="0"/>
        </w:rPr>
        <w:t xml:space="preserve"> In the White Sea 74% of </w:t>
      </w:r>
      <w:r w:rsidDel="00000000" w:rsidR="00000000" w:rsidRPr="00000000">
        <w:rPr>
          <w:i w:val="1"/>
          <w:color w:val="000000"/>
          <w:rtl w:val="0"/>
        </w:rPr>
        <w:t xml:space="preserve">MT</w:t>
      </w:r>
      <w:r w:rsidDel="00000000" w:rsidR="00000000" w:rsidRPr="00000000">
        <w:rPr>
          <w:color w:val="000000"/>
          <w:rtl w:val="0"/>
        </w:rPr>
        <w:t xml:space="preserve"> but only 4% of </w:t>
      </w:r>
      <w:r w:rsidDel="00000000" w:rsidR="00000000" w:rsidRPr="00000000">
        <w:rPr>
          <w:i w:val="1"/>
          <w:color w:val="000000"/>
          <w:rtl w:val="0"/>
        </w:rPr>
        <w:t xml:space="preserve">ME</w:t>
      </w:r>
      <w:r w:rsidDel="00000000" w:rsidR="00000000" w:rsidRPr="00000000">
        <w:rPr>
          <w:color w:val="000000"/>
          <w:rtl w:val="0"/>
        </w:rPr>
        <w:t xml:space="preserve"> have the strip (</w:t>
      </w:r>
      <w:r w:rsidDel="00000000" w:rsidR="00000000" w:rsidRPr="00000000">
        <w:rPr>
          <w:color w:val="000000"/>
          <w:rtl w:val="0"/>
        </w:rPr>
        <w:t xml:space="preserve">Katolikova et al., 2016</w:t>
      </w:r>
      <w:r w:rsidDel="00000000" w:rsidR="00000000" w:rsidRPr="00000000">
        <w:rPr>
          <w:color w:val="000000"/>
          <w:rtl w:val="0"/>
        </w:rPr>
        <w:t xml:space="preserve">), and the proportion of </w:t>
      </w:r>
      <w:r w:rsidDel="00000000" w:rsidR="00000000" w:rsidRPr="00000000">
        <w:rPr>
          <w:i w:val="1"/>
          <w:color w:val="000000"/>
          <w:rtl w:val="0"/>
        </w:rPr>
        <w:t xml:space="preserve">MT</w:t>
      </w:r>
      <w:r w:rsidDel="00000000" w:rsidR="00000000" w:rsidRPr="00000000">
        <w:rPr>
          <w:color w:val="000000"/>
          <w:rtl w:val="0"/>
        </w:rPr>
        <w:t xml:space="preserve"> in samples (thereafter </w:t>
      </w:r>
      <w:r w:rsidDel="00000000" w:rsidR="00000000" w:rsidRPr="00000000">
        <w:rPr>
          <w:i w:val="1"/>
          <w:color w:val="000000"/>
          <w:rtl w:val="0"/>
        </w:rPr>
        <w:t xml:space="preserve">Ptros</w:t>
      </w:r>
      <w:r w:rsidDel="00000000" w:rsidR="00000000" w:rsidRPr="00000000">
        <w:rPr>
          <w:rtl w:val="0"/>
        </w:rPr>
        <w:t xml:space="preserve">) is linearly dependent on the ratio</w:t>
      </w:r>
      <w:r w:rsidDel="00000000" w:rsidR="00000000" w:rsidRPr="00000000">
        <w:rPr>
          <w:color w:val="000000"/>
          <w:rtl w:val="0"/>
        </w:rPr>
        <w:t xml:space="preserve"> of </w:t>
      </w:r>
      <w:r w:rsidDel="00000000" w:rsidR="00000000" w:rsidRPr="00000000">
        <w:rPr>
          <w:rtl w:val="0"/>
        </w:rPr>
        <w:t xml:space="preserve"> morphotypes (</w:t>
      </w:r>
      <w:r w:rsidDel="00000000" w:rsidR="00000000" w:rsidRPr="00000000">
        <w:rPr>
          <w:color w:val="000000"/>
          <w:rtl w:val="0"/>
        </w:rPr>
        <w:t xml:space="preserve">Khaitov et al., 2021</w:t>
      </w:r>
      <w:r w:rsidDel="00000000" w:rsidR="00000000" w:rsidRPr="00000000">
        <w:rPr>
          <w:color w:val="000000"/>
          <w:rtl w:val="0"/>
        </w:rPr>
        <w:t xml:space="preserve">). To note, hybrids are not considered as a separate category within this approach.</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The aim of this study was to estimate the divergence of ecological niches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along environmental gradients such as substrate, salinity, surf level, and distance from ports. All these factors have been suggested as potentially influencing segregation of these two species in sympatry (</w:t>
      </w:r>
      <w:r w:rsidDel="00000000" w:rsidR="00000000" w:rsidRPr="00000000">
        <w:rPr>
          <w:highlight w:val="red"/>
          <w:rtl w:val="0"/>
        </w:rPr>
        <w:t xml:space="preserve">see </w:t>
      </w:r>
      <w:commentRangeStart w:id="9"/>
      <w:r w:rsidDel="00000000" w:rsidR="00000000" w:rsidRPr="00000000">
        <w:rPr>
          <w:highlight w:val="red"/>
          <w:rtl w:val="0"/>
        </w:rPr>
        <w:t xml:space="preserve">above</w:t>
      </w:r>
      <w:commentRangeEnd w:id="9"/>
      <w:r w:rsidDel="00000000" w:rsidR="00000000" w:rsidRPr="00000000">
        <w:commentReference w:id="9"/>
      </w:r>
      <w:r w:rsidDel="00000000" w:rsidR="00000000" w:rsidRPr="00000000">
        <w:rPr>
          <w:rtl w:val="0"/>
        </w:rPr>
        <w:t xml:space="preserve">). Another candidate factor, depth (</w:t>
      </w:r>
      <w:r w:rsidDel="00000000" w:rsidR="00000000" w:rsidRPr="00000000">
        <w:rPr>
          <w:rtl w:val="0"/>
        </w:rPr>
        <w:t xml:space="preserve">Marchenko et al. 2023</w:t>
      </w:r>
      <w:r w:rsidDel="00000000" w:rsidR="00000000" w:rsidRPr="00000000">
        <w:rPr>
          <w:rtl w:val="0"/>
        </w:rPr>
        <w:t xml:space="preserve">),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w:t>
      </w:r>
      <w:r w:rsidDel="00000000" w:rsidR="00000000" w:rsidRPr="00000000">
        <w:rPr>
          <w:rtl w:val="0"/>
        </w:rPr>
        <w:t xml:space="preserve">proportion of </w:t>
      </w:r>
      <w:r w:rsidDel="00000000" w:rsidR="00000000" w:rsidRPr="00000000">
        <w:rPr>
          <w:i w:val="1"/>
          <w:rtl w:val="0"/>
        </w:rPr>
        <w:t xml:space="preserve">MT </w:t>
      </w:r>
      <w:r w:rsidDel="00000000" w:rsidR="00000000" w:rsidRPr="00000000">
        <w:rPr>
          <w:rtl w:val="0"/>
        </w:rPr>
        <w:t xml:space="preserve">using SDMs. Since all predictors were included in one model, collinearity could be controlled. </w:t>
      </w:r>
      <w:r w:rsidDel="00000000" w:rsidR="00000000" w:rsidRPr="00000000">
        <w:rPr>
          <w:strike w:val="1"/>
          <w:highlight w:val="magenta"/>
          <w:rtl w:val="0"/>
        </w:rPr>
        <w:t xml:space="preserve">The predictive power of the model was evaluated using testing datasets from the White and the Barents Sea.</w:t>
      </w:r>
      <w:r w:rsidDel="00000000" w:rsidR="00000000" w:rsidRPr="00000000">
        <w:rPr>
          <w:rtl w:val="0"/>
        </w:rPr>
        <w:t xml:space="preserve"> </w:t>
      </w:r>
      <w:r w:rsidDel="00000000" w:rsidR="00000000" w:rsidRPr="00000000">
        <w:rPr>
          <w:highlight w:val="cyan"/>
          <w:rtl w:val="0"/>
        </w:rPr>
        <w:t xml:space="preserve">Ideally, a model trained on reliable data should allow the prediction of </w:t>
      </w:r>
      <w:r w:rsidDel="00000000" w:rsidR="00000000" w:rsidRPr="00000000">
        <w:rPr>
          <w:i w:val="1"/>
          <w:highlight w:val="cyan"/>
          <w:rtl w:val="0"/>
        </w:rPr>
        <w:t xml:space="preserve">Ptros </w:t>
      </w:r>
      <w:r w:rsidDel="00000000" w:rsidR="00000000" w:rsidRPr="00000000">
        <w:rPr>
          <w:highlight w:val="cyan"/>
          <w:rtl w:val="0"/>
        </w:rPr>
        <w:t xml:space="preserve">in independent data, and we evaluated its predictive power using testing datasets from the White and Barents Seas.</w:t>
      </w:r>
      <w:r w:rsidDel="00000000" w:rsidR="00000000" w:rsidRPr="00000000">
        <w:rPr>
          <w:rtl w:val="0"/>
        </w:rPr>
        <w:t xml:space="preserve"> In addition, we checked whether the pattern of species segregation by substrate was density-dependent, i.e. whether there was competition between the two species.</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bookmarkStart w:colFirst="0" w:colLast="0" w:name="kix.2iy6scn5lwy4" w:id="2"/>
    <w:bookmarkEnd w:id="2"/>
    <w:p w:rsidR="00000000" w:rsidDel="00000000" w:rsidP="00000000" w:rsidRDefault="00000000" w:rsidRPr="00000000" w14:paraId="00000019">
      <w:pPr>
        <w:pStyle w:val="Heading2"/>
        <w:pBdr>
          <w:top w:color="000000" w:space="0" w:sz="0" w:val="none"/>
          <w:left w:color="000000" w:space="0" w:sz="0" w:val="none"/>
          <w:bottom w:color="000000" w:space="0" w:sz="0" w:val="none"/>
          <w:right w:color="000000" w:space="0" w:sz="0" w:val="none"/>
          <w:between w:color="000000" w:space="0" w:sz="0" w:val="none"/>
        </w:pBdr>
        <w:rPr>
          <w:i w:val="0"/>
          <w:u w:val="single"/>
        </w:rPr>
      </w:pPr>
      <w:r w:rsidDel="00000000" w:rsidR="00000000" w:rsidRPr="00000000">
        <w:rPr>
          <w:b w:val="1"/>
          <w:rtl w:val="0"/>
        </w:rPr>
        <w:t xml:space="preserve">Materials and methods</w:t>
      </w:r>
      <w:r w:rsidDel="00000000" w:rsidR="00000000" w:rsidRPr="00000000">
        <w:rPr>
          <w:rtl w:val="0"/>
        </w:rPr>
        <w:t xml:space="preserve"> </w:t>
      </w:r>
      <w:r w:rsidDel="00000000" w:rsidR="00000000" w:rsidRPr="00000000">
        <w:rPr>
          <w:rtl w:val="0"/>
        </w:rPr>
      </w:r>
    </w:p>
    <w:bookmarkStart w:colFirst="0" w:colLast="0" w:name="kix.adyw3ccu5m5r" w:id="3"/>
    <w:bookmarkEnd w:id="3"/>
    <w:p w:rsidR="00000000" w:rsidDel="00000000" w:rsidP="00000000" w:rsidRDefault="00000000" w:rsidRPr="00000000" w14:paraId="0000001A">
      <w:pPr>
        <w:rPr/>
      </w:pPr>
      <w:r w:rsidDel="00000000" w:rsidR="00000000" w:rsidRPr="00000000">
        <w:rPr>
          <w:rtl w:val="0"/>
        </w:rPr>
        <w:t xml:space="preserve">Study area</w:t>
      </w:r>
    </w:p>
    <w:p w:rsidR="00000000" w:rsidDel="00000000" w:rsidP="00000000" w:rsidRDefault="00000000" w:rsidRPr="00000000" w14:paraId="0000001B">
      <w:pPr>
        <w:rPr/>
      </w:pPr>
      <w:r w:rsidDel="00000000" w:rsidR="00000000" w:rsidRPr="00000000">
        <w:rPr>
          <w:rtl w:val="0"/>
        </w:rPr>
        <w:t xml:space="preserve">The study area was the Kandalaksha Bay, where all previous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studies in the White Sea have been conducted</w:t>
      </w:r>
      <w:r w:rsidDel="00000000" w:rsidR="00000000" w:rsidRPr="00000000">
        <w:rPr>
          <w:rtl w:val="0"/>
        </w:rPr>
        <w:t xml:space="preserve"> (Katolikova et al. 2016; Khaitov et al. 2017, </w:t>
      </w:r>
      <w:r w:rsidDel="00000000" w:rsidR="00000000" w:rsidRPr="00000000">
        <w:rPr>
          <w:highlight w:val="green"/>
          <w:rtl w:val="0"/>
        </w:rPr>
        <w:t xml:space="preserve">2023?). </w:t>
      </w:r>
      <w:r w:rsidDel="00000000" w:rsidR="00000000" w:rsidRPr="00000000">
        <w:rPr>
          <w:rtl w:val="0"/>
        </w:rPr>
        <w:t xml:space="preserve">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w:t>
      </w:r>
      <w:r w:rsidDel="00000000" w:rsidR="00000000" w:rsidRPr="00000000">
        <w:rPr>
          <w:highlight w:val="green"/>
          <w:rtl w:val="0"/>
        </w:rPr>
        <w:t xml:space="preserve">Berger ???</w:t>
      </w:r>
      <w:r w:rsidDel="00000000" w:rsidR="00000000" w:rsidRPr="00000000">
        <w:rPr>
          <w:rtl w:val="0"/>
        </w:rPr>
        <w:t xml:space="preserve">). Two canals of a hydropower plant and 24 rivers with a catchment area of 141 – 12,830 km</w:t>
      </w:r>
      <w:r w:rsidDel="00000000" w:rsidR="00000000" w:rsidRPr="00000000">
        <w:rPr>
          <w:vertAlign w:val="superscript"/>
          <w:rtl w:val="0"/>
        </w:rPr>
        <w:t xml:space="preserve">2</w:t>
      </w:r>
      <w:r w:rsidDel="00000000" w:rsidR="00000000" w:rsidRPr="00000000">
        <w:rPr>
          <w:rtl w:val="0"/>
        </w:rPr>
        <w:t xml:space="preserve"> (Median 240 km</w:t>
      </w:r>
      <w:r w:rsidDel="00000000" w:rsidR="00000000" w:rsidRPr="00000000">
        <w:rPr>
          <w:vertAlign w:val="superscript"/>
          <w:rtl w:val="0"/>
        </w:rPr>
        <w:t xml:space="preserve">2</w:t>
      </w:r>
      <w:r w:rsidDel="00000000" w:rsidR="00000000" w:rsidRPr="00000000">
        <w:rPr>
          <w:rtl w:val="0"/>
        </w:rPr>
        <w:t xml:space="preserve">; see Stable ++ ) flow into the Bay, with the largest river, the Niva, entering the Bay at its very top. Due to the complex geometry of the shoreline and numerous rivers, local surf and salinity gradients are pronounced (</w:t>
      </w:r>
      <w:r w:rsidDel="00000000" w:rsidR="00000000" w:rsidRPr="00000000">
        <w:rPr>
          <w:highlight w:val="green"/>
          <w:rtl w:val="0"/>
        </w:rPr>
        <w:t xml:space="preserve">Filatov et al., 2005</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Six ports operating oceanic vessels were functioning in the area in the 20th century (Fig. 1). Two of them, both at Bay’s top, are still in operation. The other four have been abandoned (</w:t>
      </w:r>
      <w:r w:rsidDel="00000000" w:rsidR="00000000" w:rsidRPr="00000000">
        <w:rPr>
          <w:highlight w:val="green"/>
          <w:rtl w:val="0"/>
        </w:rPr>
        <w:t xml:space="preserve">Sailing directions of the White Sea, 1932; Krasavtsev, 2011</w:t>
      </w:r>
      <w:r w:rsidDel="00000000" w:rsidR="00000000" w:rsidRPr="00000000">
        <w:rPr>
          <w:rtl w:val="0"/>
        </w:rPr>
        <w:t xml:space="preserve">) but are occasionally visited by small ships (our observations).</w:t>
      </w:r>
    </w:p>
    <w:p w:rsidR="00000000" w:rsidDel="00000000" w:rsidP="00000000" w:rsidRDefault="00000000" w:rsidRPr="00000000" w14:paraId="0000001D">
      <w:pPr>
        <w:rPr/>
      </w:pPr>
      <w:r w:rsidDel="00000000" w:rsidR="00000000" w:rsidRPr="00000000">
        <w:rPr>
          <w:rtl w:val="0"/>
        </w:rPr>
        <w:t xml:space="preserve">Mussels are present everywhere in the shallow waters of the Bay. They are particularly abundant in the littoral fucoid belt (mainly </w:t>
      </w:r>
      <w:r w:rsidDel="00000000" w:rsidR="00000000" w:rsidRPr="00000000">
        <w:rPr>
          <w:i w:val="1"/>
          <w:rtl w:val="0"/>
        </w:rPr>
        <w:t xml:space="preserve">Fucus vesiculosus</w:t>
      </w:r>
      <w:r w:rsidDel="00000000" w:rsidR="00000000" w:rsidRPr="00000000">
        <w:rPr>
          <w:rtl w:val="0"/>
        </w:rPr>
        <w:t xml:space="preserve"> L. and </w:t>
      </w:r>
      <w:r w:rsidDel="00000000" w:rsidR="00000000" w:rsidRPr="00000000">
        <w:rPr>
          <w:i w:val="1"/>
          <w:rtl w:val="0"/>
        </w:rPr>
        <w:t xml:space="preserve">Ascophyllum nodosum </w:t>
      </w:r>
      <w:r w:rsidDel="00000000" w:rsidR="00000000" w:rsidRPr="00000000">
        <w:rPr>
          <w:rtl w:val="0"/>
        </w:rPr>
        <w:t xml:space="preserve">L.), which is continuous 0.5-1.0 m above mean spring tide depth (</w:t>
      </w:r>
      <w:r w:rsidDel="00000000" w:rsidR="00000000" w:rsidRPr="00000000">
        <w:rPr>
          <w:highlight w:val="green"/>
          <w:rtl w:val="0"/>
        </w:rPr>
        <w:t xml:space="preserve">Berger et al. 2001</w:t>
      </w:r>
      <w:r w:rsidDel="00000000" w:rsidR="00000000" w:rsidRPr="00000000">
        <w:rPr>
          <w:rtl w:val="0"/>
        </w:rPr>
        <w:t xml:space="preserve">). According to the data from 2002–2013, both mussel species were almost ubiquitous in the Bay, but their ratio in settlements varied greatly, with </w:t>
      </w:r>
      <w:r w:rsidDel="00000000" w:rsidR="00000000" w:rsidRPr="00000000">
        <w:rPr>
          <w:i w:val="1"/>
          <w:rtl w:val="0"/>
        </w:rPr>
        <w:t xml:space="preserve">ME</w:t>
      </w:r>
      <w:r w:rsidDel="00000000" w:rsidR="00000000" w:rsidRPr="00000000">
        <w:rPr>
          <w:rtl w:val="0"/>
        </w:rPr>
        <w:t xml:space="preserve"> being generally dominant (</w:t>
      </w:r>
      <w:r w:rsidDel="00000000" w:rsidR="00000000" w:rsidRPr="00000000">
        <w:rPr>
          <w:rtl w:val="0"/>
        </w:rPr>
        <w:t xml:space="preserve">Katolikova et al. 2016</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There were 4 data sets used in the work: 1 modeling set and three testing sets</w:t>
      </w:r>
    </w:p>
    <w:bookmarkStart w:colFirst="0" w:colLast="0" w:name="kix.1j41ejvkt1t7" w:id="4"/>
    <w:bookmarkEnd w:id="4"/>
    <w:p w:rsidR="00000000" w:rsidDel="00000000" w:rsidP="00000000" w:rsidRDefault="00000000" w:rsidRPr="00000000" w14:paraId="0000001F">
      <w:pPr>
        <w:pStyle w:val="Heading2"/>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Modeling data set</w:t>
      </w:r>
    </w:p>
    <w:bookmarkStart w:colFirst="0" w:colLast="0" w:name="kix.cvir3m7rz1w8" w:id="5"/>
    <w:bookmarkEnd w:id="5"/>
    <w:p w:rsidR="00000000" w:rsidDel="00000000" w:rsidP="00000000" w:rsidRDefault="00000000" w:rsidRPr="00000000" w14:paraId="00000020">
      <w:pPr>
        <w:rPr/>
      </w:pPr>
      <w:r w:rsidDel="00000000" w:rsidR="00000000" w:rsidRPr="00000000">
        <w:rPr>
          <w:rtl w:val="0"/>
        </w:rPr>
        <w:t xml:space="preserve">Mussel sampling and processing</w:t>
      </w:r>
    </w:p>
    <w:p w:rsidR="00000000" w:rsidDel="00000000" w:rsidP="00000000" w:rsidRDefault="00000000" w:rsidRPr="00000000" w14:paraId="00000021">
      <w:pPr>
        <w:rPr/>
      </w:pPr>
      <w:r w:rsidDel="00000000" w:rsidR="00000000" w:rsidRPr="00000000">
        <w:rPr>
          <w:rtl w:val="0"/>
        </w:rPr>
        <w:t xml:space="preserve">Mussels were sampled at 95 sites within the littoral fucoid belt in 2011-2018 (Fig. 1). Data for 17 of these sites were included in the study by </w:t>
      </w:r>
      <w:r w:rsidDel="00000000" w:rsidR="00000000" w:rsidRPr="00000000">
        <w:rPr>
          <w:rtl w:val="0"/>
        </w:rPr>
        <w:t xml:space="preserve">Katolikova et al. 2016</w:t>
      </w:r>
      <w:r w:rsidDel="00000000" w:rsidR="00000000" w:rsidRPr="00000000">
        <w:rPr>
          <w:rtl w:val="0"/>
        </w:rPr>
        <w:t xml:space="preserve">, the other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sidDel="00000000" w:rsidR="00000000" w:rsidRPr="00000000">
        <w:rPr>
          <w:vertAlign w:val="superscript"/>
          <w:rtl w:val="0"/>
        </w:rPr>
        <w:t xml:space="preserve">2</w:t>
      </w:r>
      <w:r w:rsidDel="00000000" w:rsidR="00000000" w:rsidRPr="00000000">
        <w:rPr>
          <w:rtl w:val="0"/>
        </w:rPr>
        <w:t xml:space="preserve"> and 0.025 m</w:t>
      </w:r>
      <w:r w:rsidDel="00000000" w:rsidR="00000000" w:rsidRPr="00000000">
        <w:rPr>
          <w:vertAlign w:val="superscript"/>
          <w:rtl w:val="0"/>
        </w:rPr>
        <w:t xml:space="preserve">2</w:t>
      </w:r>
      <w:r w:rsidDel="00000000" w:rsidR="00000000" w:rsidRPr="00000000">
        <w:rPr>
          <w:rtl w:val="0"/>
        </w:rPr>
        <w:t xml:space="preserve"> frames, respectively. The frames were placed not randomly but in such a way as to capture the dense mussel aggregations.</w:t>
      </w:r>
    </w:p>
    <w:p w:rsidR="00000000" w:rsidDel="00000000" w:rsidP="00000000" w:rsidRDefault="00000000" w:rsidRPr="00000000" w14:paraId="00000022">
      <w:pPr>
        <w:rPr/>
      </w:pPr>
      <w:r w:rsidDel="00000000" w:rsidR="00000000" w:rsidRPr="00000000">
        <w:rPr>
          <w:rtl w:val="0"/>
        </w:rPr>
        <w:t xml:space="preserve">We used mussels with a shell length larger than 10 mm to identify the shell morphotypes reliably (</w:t>
      </w:r>
      <w:r w:rsidDel="00000000" w:rsidR="00000000" w:rsidRPr="00000000">
        <w:rPr>
          <w:highlight w:val="green"/>
          <w:rtl w:val="0"/>
        </w:rPr>
        <w:t xml:space="preserve">Khaitov et al., 2021</w:t>
      </w:r>
      <w:r w:rsidDel="00000000" w:rsidR="00000000" w:rsidRPr="00000000">
        <w:rPr>
          <w:rtl w:val="0"/>
        </w:rPr>
        <w:t xml:space="preserve">). In the bottom samples all mussels from a frame were used. In the algal samples the procedure was different. One bundle of algae, containing at least a few dozens mussels, was chosen and weighed together with the attached mussels. The rest of the algae from a frame were weighted too. Mussels from the bundle were counted and used for further analysis. The ratio between the counted number of mussels and to the bundle weight was applied to the total algal weight to reconstruct the total number of mussels in the sample. For 12 sites the information on total number of mussels in algal samples was lacking, and they were excluded from the analyses which required data on mussel abundance (Model 2, see below).</w:t>
      </w:r>
    </w:p>
    <w:bookmarkStart w:colFirst="0" w:colLast="0" w:name="kix.kfvzzlu1x0oc" w:id="6"/>
    <w:bookmarkEnd w:id="6"/>
    <w:p w:rsidR="00000000" w:rsidDel="00000000" w:rsidP="00000000" w:rsidRDefault="00000000" w:rsidRPr="00000000" w14:paraId="00000023">
      <w:pPr>
        <w:rPr/>
      </w:pPr>
      <w:r w:rsidDel="00000000" w:rsidR="00000000" w:rsidRPr="00000000">
        <w:rPr>
          <w:rtl w:val="0"/>
        </w:rPr>
        <w:t xml:space="preserve">Shell morphotypes (E-morphotype, characteristic of </w:t>
      </w:r>
      <w:r w:rsidDel="00000000" w:rsidR="00000000" w:rsidRPr="00000000">
        <w:rPr>
          <w:i w:val="1"/>
          <w:rtl w:val="0"/>
        </w:rPr>
        <w:t xml:space="preserve">ME</w:t>
      </w:r>
      <w:r w:rsidDel="00000000" w:rsidR="00000000" w:rsidRPr="00000000">
        <w:rPr>
          <w:rtl w:val="0"/>
        </w:rPr>
        <w:t xml:space="preserve">, and T-morphotype, characteristic of </w:t>
      </w:r>
      <w:r w:rsidDel="00000000" w:rsidR="00000000" w:rsidRPr="00000000">
        <w:rPr>
          <w:i w:val="1"/>
          <w:rtl w:val="0"/>
        </w:rPr>
        <w:t xml:space="preserve">MT</w:t>
      </w:r>
      <w:r w:rsidDel="00000000" w:rsidR="00000000" w:rsidRPr="00000000">
        <w:rPr>
          <w:rtl w:val="0"/>
        </w:rPr>
        <w:t xml:space="preserve">) were identified for all selected mussels as in</w:t>
      </w:r>
      <w:r w:rsidDel="00000000" w:rsidR="00000000" w:rsidRPr="00000000">
        <w:rPr>
          <w:highlight w:val="green"/>
          <w:rtl w:val="0"/>
        </w:rPr>
        <w:t xml:space="preserve"> Khaitov et al. (2021)</w:t>
      </w:r>
      <w:r w:rsidDel="00000000" w:rsidR="00000000" w:rsidRPr="00000000">
        <w:rPr>
          <w:rtl w:val="0"/>
        </w:rPr>
        <w:t xml:space="preserve">. Further, the proportion of morphotypes was converted to the proportion of </w:t>
      </w:r>
      <w:r w:rsidDel="00000000" w:rsidR="00000000" w:rsidRPr="00000000">
        <w:rPr>
          <w:i w:val="1"/>
          <w:rtl w:val="0"/>
        </w:rPr>
        <w:t xml:space="preserve">MT </w:t>
      </w:r>
      <w:r w:rsidDel="00000000" w:rsidR="00000000" w:rsidRPr="00000000">
        <w:rPr>
          <w:rtl w:val="0"/>
        </w:rPr>
        <w:t xml:space="preserve">(</w:t>
      </w:r>
      <w:r w:rsidDel="00000000" w:rsidR="00000000" w:rsidRPr="00000000">
        <w:rPr>
          <w:i w:val="1"/>
          <w:rtl w:val="0"/>
        </w:rPr>
        <w:t xml:space="preserve">Ptros</w:t>
      </w:r>
      <w:r w:rsidDel="00000000" w:rsidR="00000000" w:rsidRPr="00000000">
        <w:rPr>
          <w:rtl w:val="0"/>
        </w:rPr>
        <w:t xml:space="preserve">) in each sample, in pooled samples from each substrate from each site (</w:t>
      </w:r>
      <w:r w:rsidDel="00000000" w:rsidR="00000000" w:rsidRPr="00000000">
        <w:rPr>
          <w:i w:val="1"/>
          <w:rtl w:val="0"/>
        </w:rPr>
        <w:t xml:space="preserve">Ptros</w:t>
      </w:r>
      <w:r w:rsidDel="00000000" w:rsidR="00000000" w:rsidRPr="00000000">
        <w:rPr>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vertAlign w:val="subscript"/>
          <w:rtl w:val="0"/>
        </w:rPr>
        <w:t xml:space="preserve">Bottom</w:t>
      </w:r>
      <w:r w:rsidDel="00000000" w:rsidR="00000000" w:rsidRPr="00000000">
        <w:rPr>
          <w:rtl w:val="0"/>
        </w:rPr>
        <w:t xml:space="preserve">) and in pooled samples from each site (</w:t>
      </w:r>
      <w:r w:rsidDel="00000000" w:rsidR="00000000" w:rsidRPr="00000000">
        <w:rPr>
          <w:i w:val="1"/>
          <w:rtl w:val="0"/>
        </w:rPr>
        <w:t xml:space="preserve">Ptros</w:t>
      </w:r>
      <w:r w:rsidDel="00000000" w:rsidR="00000000" w:rsidRPr="00000000">
        <w:rPr>
          <w:vertAlign w:val="subscript"/>
          <w:rtl w:val="0"/>
        </w:rPr>
        <w:t xml:space="preserve">Site</w:t>
      </w:r>
      <w:r w:rsidDel="00000000" w:rsidR="00000000" w:rsidRPr="00000000">
        <w:rPr>
          <w:rtl w:val="0"/>
        </w:rPr>
        <w:t xml:space="preserve">), using equation</w:t>
      </w:r>
    </w:p>
    <w:p w:rsidR="00000000" w:rsidDel="00000000" w:rsidP="00000000" w:rsidRDefault="00000000" w:rsidRPr="00000000" w14:paraId="00000024">
      <w:pPr>
        <w:ind w:firstLine="0"/>
        <w:rPr/>
      </w:pPr>
      <m:oMath>
        <m:r>
          <w:rPr>
            <w:rFonts w:ascii="Cambria Math" w:cs="Cambria Math" w:eastAsia="Cambria Math" w:hAnsi="Cambria Math"/>
          </w:rPr>
          <m:t xml:space="preserve">Ptros = </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num>
          <m:den>
            <m:r>
              <w:rPr>
                <w:rFonts w:ascii="Cambria Math" w:cs="Cambria Math" w:eastAsia="Cambria Math" w:hAnsi="Cambria Math"/>
              </w:rPr>
              <m:t xml:space="preserve">1 + </m:t>
            </m:r>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den>
        </m:f>
      </m:oMath>
      <w:r w:rsidDel="00000000" w:rsidR="00000000" w:rsidRPr="00000000">
        <w:rPr>
          <w:rtl w:val="0"/>
        </w:rPr>
        <w:t xml:space="preserve">, where </w:t>
      </w:r>
      <w:r w:rsidDel="00000000" w:rsidR="00000000" w:rsidRPr="00000000">
        <w:rPr>
          <w:i w:val="1"/>
          <w:rtl w:val="0"/>
        </w:rPr>
        <w:t xml:space="preserve">PT</w:t>
      </w:r>
      <w:r w:rsidDel="00000000" w:rsidR="00000000" w:rsidRPr="00000000">
        <w:rPr>
          <w:rtl w:val="0"/>
        </w:rPr>
        <w:t xml:space="preserve"> - proportion of T-morphotype. </w:t>
      </w:r>
    </w:p>
    <w:p w:rsidR="00000000" w:rsidDel="00000000" w:rsidP="00000000" w:rsidRDefault="00000000" w:rsidRPr="00000000" w14:paraId="00000025">
      <w:pPr>
        <w:ind w:firstLine="0"/>
        <w:rPr/>
      </w:pPr>
      <w:r w:rsidDel="00000000" w:rsidR="00000000" w:rsidRPr="00000000">
        <w:rPr>
          <w:rtl w:val="0"/>
        </w:rPr>
        <w:t xml:space="preserve">This equation, derived from the 24 genotyped samples (in total, 1105 multilocus mussel genotypes) from the Kandalaksha Bay, reliably predicts </w:t>
      </w:r>
      <w:r w:rsidDel="00000000" w:rsidR="00000000" w:rsidRPr="00000000">
        <w:rPr>
          <w:i w:val="1"/>
          <w:rtl w:val="0"/>
        </w:rPr>
        <w:t xml:space="preserve">Ptros </w:t>
      </w:r>
      <w:r w:rsidDel="00000000" w:rsidR="00000000" w:rsidRPr="00000000">
        <w:rPr>
          <w:rtl w:val="0"/>
        </w:rPr>
        <w:t xml:space="preserve">over the entire salinity range in the White Sea (i.e., up to 24 ppt), but may overestimate </w:t>
      </w:r>
      <w:r w:rsidDel="00000000" w:rsidR="00000000" w:rsidRPr="00000000">
        <w:rPr>
          <w:i w:val="1"/>
          <w:rtl w:val="0"/>
        </w:rPr>
        <w:t xml:space="preserve">Ptros </w:t>
      </w:r>
      <w:r w:rsidDel="00000000" w:rsidR="00000000" w:rsidRPr="00000000">
        <w:rPr>
          <w:rtl w:val="0"/>
        </w:rPr>
        <w:t xml:space="preserve">at higher salinities, as observed in the Barents Sea (</w:t>
      </w:r>
      <w:r w:rsidDel="00000000" w:rsidR="00000000" w:rsidRPr="00000000">
        <w:rPr>
          <w:highlight w:val="green"/>
          <w:rtl w:val="0"/>
        </w:rPr>
        <w:t xml:space="preserve">Khaitov et al., 2021</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Environmental parameters assessment</w:t>
      </w:r>
    </w:p>
    <w:p w:rsidR="00000000" w:rsidDel="00000000" w:rsidP="00000000" w:rsidRDefault="00000000" w:rsidRPr="00000000" w14:paraId="00000027">
      <w:pPr>
        <w:rPr/>
      </w:pPr>
      <w:r w:rsidDel="00000000" w:rsidR="00000000" w:rsidRPr="00000000">
        <w:rPr>
          <w:rtl w:val="0"/>
        </w:rPr>
        <w:t xml:space="preserve">In total, we used seven parameters describing possible influence of rivers, ports, surf and substrate on mussels (</w:t>
      </w:r>
      <w:r w:rsidDel="00000000" w:rsidR="00000000" w:rsidRPr="00000000">
        <w:rPr>
          <w:b w:val="1"/>
          <w:rtl w:val="0"/>
        </w:rPr>
        <w:t xml:space="preserve">Table 1</w:t>
      </w:r>
      <w:r w:rsidDel="00000000" w:rsidR="00000000" w:rsidRPr="00000000">
        <w:rPr>
          <w:rtl w:val="0"/>
        </w:rPr>
        <w:t xml:space="preserve">). We used three different proxies of salinity (</w:t>
      </w:r>
      <w:r w:rsidDel="00000000" w:rsidR="00000000" w:rsidRPr="00000000">
        <w:rPr>
          <w:i w:val="1"/>
          <w:rtl w:val="0"/>
        </w:rPr>
        <w:t xml:space="preserve">RiverSize</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because, in our opinion, a single estimate of salinity at low tide could be insufficient to characterize overall salinity and river influence </w:t>
      </w:r>
      <w:r w:rsidDel="00000000" w:rsidR="00000000" w:rsidRPr="00000000">
        <w:rPr>
          <w:i w:val="1"/>
          <w:rtl w:val="0"/>
        </w:rPr>
        <w:t xml:space="preserve">per se</w:t>
      </w:r>
      <w:r w:rsidDel="00000000" w:rsidR="00000000" w:rsidRPr="00000000">
        <w:rPr>
          <w:rtl w:val="0"/>
        </w:rPr>
        <w:t xml:space="preserve"> at the sampling sites. </w:t>
      </w:r>
      <w:r w:rsidDel="00000000" w:rsidR="00000000" w:rsidRPr="00000000">
        <w:rPr>
          <w:i w:val="1"/>
          <w:rtl w:val="0"/>
        </w:rPr>
        <w:t xml:space="preserve">Salinity</w:t>
      </w:r>
      <w:r w:rsidDel="00000000" w:rsidR="00000000" w:rsidRPr="00000000">
        <w:rPr>
          <w:rtl w:val="0"/>
        </w:rPr>
        <w:t xml:space="preserve"> was measured directly with an accuracy of 1 ppt using an “Atago S/Mill-E” refractometer. To classify rivers by size (</w:t>
      </w:r>
      <w:r w:rsidDel="00000000" w:rsidR="00000000" w:rsidRPr="00000000">
        <w:rPr>
          <w:i w:val="1"/>
          <w:rtl w:val="0"/>
        </w:rPr>
        <w:t xml:space="preserve">RiverSize</w:t>
      </w:r>
      <w:r w:rsidDel="00000000" w:rsidR="00000000" w:rsidRPr="00000000">
        <w:rPr>
          <w:rtl w:val="0"/>
        </w:rPr>
        <w:t xml:space="preserve">), the data from ESM +++ was used. To calculate </w:t>
      </w:r>
      <w:r w:rsidDel="00000000" w:rsidR="00000000" w:rsidRPr="00000000">
        <w:rPr>
          <w:i w:val="1"/>
          <w:rtl w:val="0"/>
        </w:rPr>
        <w:t xml:space="preserve">Fetch</w:t>
      </w:r>
      <w:r w:rsidDel="00000000" w:rsidR="00000000" w:rsidRPr="00000000">
        <w:rPr>
          <w:rtl w:val="0"/>
        </w:rPr>
        <w:t xml:space="preserve">, the R-package “windfetch” (</w:t>
      </w:r>
      <w:r w:rsidDel="00000000" w:rsidR="00000000" w:rsidRPr="00000000">
        <w:rPr>
          <w:highlight w:val="green"/>
          <w:rtl w:val="0"/>
        </w:rPr>
        <w:t xml:space="preserve">Seers, 2022</w:t>
      </w:r>
      <w:r w:rsidDel="00000000" w:rsidR="00000000" w:rsidRPr="00000000">
        <w:rPr>
          <w:rtl w:val="0"/>
        </w:rPr>
        <w:t xml:space="preserve">) was applied to regional geographic map shape-files.</w:t>
      </w:r>
    </w:p>
    <w:p w:rsidR="00000000" w:rsidDel="00000000" w:rsidP="00000000" w:rsidRDefault="00000000" w:rsidRPr="00000000" w14:paraId="00000028">
      <w:pPr>
        <w:keepNext w:val="1"/>
        <w:spacing w:after="60" w:before="60" w:line="240" w:lineRule="auto"/>
        <w:ind w:left="60" w:right="60" w:firstLine="0"/>
        <w:jc w:val="center"/>
        <w:rPr/>
      </w:pPr>
      <w:r w:rsidDel="00000000" w:rsidR="00000000" w:rsidRPr="00000000">
        <w:rPr>
          <w:rtl w:val="0"/>
        </w:rPr>
        <w:t xml:space="preserve">Table 1. Environmental parameters involved in the study</w:t>
      </w:r>
    </w:p>
    <w:tbl>
      <w:tblPr>
        <w:tblStyle w:val="Table1"/>
        <w:tblW w:w="10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90"/>
        <w:gridCol w:w="5520"/>
        <w:gridCol w:w="2265"/>
        <w:tblGridChange w:id="0">
          <w:tblGrid>
            <w:gridCol w:w="1695"/>
            <w:gridCol w:w="1290"/>
            <w:gridCol w:w="5520"/>
            <w:gridCol w:w="2265"/>
          </w:tblGrid>
        </w:tblGridChange>
      </w:tblGrid>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29">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Environmental parameter/ model predictor</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A">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Type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Explanation</w:t>
            </w:r>
          </w:p>
        </w:tc>
        <w:tc>
          <w:tcPr>
            <w:shd w:fill="ffffff" w:val="clear"/>
            <w:tcMar>
              <w:top w:w="0.0" w:type="dxa"/>
              <w:left w:w="108.0" w:type="dxa"/>
              <w:bottom w:w="0.0" w:type="dxa"/>
              <w:right w:w="108.0" w:type="dxa"/>
            </w:tcMar>
            <w:vAlign w:val="center"/>
          </w:tcPr>
          <w:p w:rsidR="00000000" w:rsidDel="00000000" w:rsidP="00000000" w:rsidRDefault="00000000" w:rsidRPr="00000000" w14:paraId="0000002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Range (median) in the data</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2D">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substrate</w:t>
            </w:r>
          </w:p>
        </w:tc>
      </w:tr>
      <w:tr>
        <w:trPr>
          <w:cantSplit w:val="0"/>
          <w:trHeight w:val="273" w:hRule="atLeast"/>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1">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Substrate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2">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3">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Algal and bottom samples for each site are treated separately</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4">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Algal vs bottom</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35">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rivers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9">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Salinity</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A">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Surface salinity (ppt) at the time of sampling, i.e. at low tide.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2-30 (19)</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3D">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DistRiver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E">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3F">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Straight line distance (km) between the site and the nearest river mouth by map.  Log-transformed values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0">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0-18.5 (4.9)</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1">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RiverSize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2">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3">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Rivers are categorized according to whether their catchment area is larger or smaller than the median area for all rivers in the region.</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4">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Small vs large</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45">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ports</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9">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DistPort</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A">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B">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Straight line distance (km) between the site and the nearest port by map. Log-transformed values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C">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0.1-82.2 (18.7)</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4D">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PortStatus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E">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Categorical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4F">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Ports are categorized according whether they are active or abandoned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0">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Active vs abandoned</w:t>
            </w:r>
          </w:p>
        </w:tc>
      </w:tr>
      <w:tr>
        <w:trPr>
          <w:cantSplit w:val="0"/>
          <w:tblHeader w:val="0"/>
        </w:trPr>
        <w:tc>
          <w:tcPr>
            <w:gridSpan w:val="4"/>
            <w:shd w:fill="ffffff" w:val="clear"/>
            <w:tcMar>
              <w:top w:w="0.0" w:type="dxa"/>
              <w:left w:w="108.0" w:type="dxa"/>
              <w:bottom w:w="0.0" w:type="dxa"/>
              <w:right w:w="108.0" w:type="dxa"/>
            </w:tcMar>
            <w:vAlign w:val="center"/>
          </w:tcPr>
          <w:p w:rsidR="00000000" w:rsidDel="00000000" w:rsidP="00000000" w:rsidRDefault="00000000" w:rsidRPr="00000000" w14:paraId="00000051">
            <w:pPr>
              <w:spacing w:after="100" w:before="100" w:line="240" w:lineRule="auto"/>
              <w:ind w:left="100" w:right="100"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Influence of surf</w:t>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55">
            <w:pPr>
              <w:spacing w:after="100" w:before="100" w:line="240" w:lineRule="auto"/>
              <w:ind w:left="100" w:right="10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Fetch</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6">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Continuous</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7">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Unobstructed length of water surface (km) over which wind from a certain direction can blow. Log-transformed values of average fetch for four cardinal directions were used.</w:t>
            </w:r>
          </w:p>
        </w:tc>
        <w:tc>
          <w:tcPr>
            <w:shd w:fill="ffffff" w:val="clear"/>
            <w:tcMar>
              <w:top w:w="0.0" w:type="dxa"/>
              <w:left w:w="108.0" w:type="dxa"/>
              <w:bottom w:w="0.0" w:type="dxa"/>
              <w:right w:w="108.0" w:type="dxa"/>
            </w:tcMar>
            <w:vAlign w:val="center"/>
          </w:tcPr>
          <w:p w:rsidR="00000000" w:rsidDel="00000000" w:rsidP="00000000" w:rsidRDefault="00000000" w:rsidRPr="00000000" w14:paraId="00000058">
            <w:pPr>
              <w:spacing w:after="100" w:before="100" w:line="240" w:lineRule="auto"/>
              <w:ind w:left="10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0.2-28.8 (3.3)</w:t>
            </w:r>
          </w:p>
        </w:tc>
      </w:tr>
    </w:tbl>
    <w:p w:rsidR="00000000" w:rsidDel="00000000" w:rsidP="00000000" w:rsidRDefault="00000000" w:rsidRPr="00000000" w14:paraId="00000059">
      <w:pPr>
        <w:rPr>
          <w:rFonts w:ascii="Arial" w:cs="Arial" w:eastAsia="Arial" w:hAnsi="Arial"/>
          <w:sz w:val="16"/>
          <w:szCs w:val="16"/>
        </w:rPr>
      </w:pPr>
      <w:r w:rsidDel="00000000" w:rsidR="00000000" w:rsidRPr="00000000">
        <w:rPr>
          <w:rtl w:val="0"/>
        </w:rPr>
      </w:r>
    </w:p>
    <w:bookmarkStart w:colFirst="0" w:colLast="0" w:name="kix.vtnligynqp0" w:id="7"/>
    <w:bookmarkEnd w:id="7"/>
    <w:p w:rsidR="00000000" w:rsidDel="00000000" w:rsidP="00000000" w:rsidRDefault="00000000" w:rsidRPr="00000000" w14:paraId="0000005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Testing datasets</w:t>
      </w:r>
    </w:p>
    <w:p w:rsidR="00000000" w:rsidDel="00000000" w:rsidP="00000000" w:rsidRDefault="00000000" w:rsidRPr="00000000" w14:paraId="0000005C">
      <w:pPr>
        <w:rPr/>
      </w:pPr>
      <w:r w:rsidDel="00000000" w:rsidR="00000000" w:rsidRPr="00000000">
        <w:rPr>
          <w:rtl w:val="0"/>
        </w:rPr>
        <w:t xml:space="preserve">Three datasets were used as testing ones. “Kandalaksha littoral” dataset contained 23 samples from 12 littoral sites in the Kandalaksha Bay. We took only algal samples at four sites, only bottom</w:t>
      </w:r>
      <w:r w:rsidDel="00000000" w:rsidR="00000000" w:rsidRPr="00000000">
        <w:rPr>
          <w:i w:val="1"/>
          <w:rtl w:val="0"/>
        </w:rPr>
        <w:t xml:space="preserve"> </w:t>
      </w:r>
      <w:r w:rsidDel="00000000" w:rsidR="00000000" w:rsidRPr="00000000">
        <w:rPr>
          <w:rtl w:val="0"/>
        </w:rPr>
        <w:t xml:space="preserve">samples at four other sites and samples from both substrates at the remaining four sites (STable ++, SFig. 1 B). Environmental parameters were assessed in the same way as for the modeling dataset.</w:t>
      </w:r>
    </w:p>
    <w:p w:rsidR="00000000" w:rsidDel="00000000" w:rsidP="00000000" w:rsidRDefault="00000000" w:rsidRPr="00000000" w14:paraId="0000005D">
      <w:pPr>
        <w:rPr/>
      </w:pPr>
      <w:r w:rsidDel="00000000" w:rsidR="00000000" w:rsidRPr="00000000">
        <w:rPr>
          <w:rtl w:val="0"/>
        </w:rPr>
        <w:t xml:space="preserve">“Tyuva littoral” and “Tyuva sublittoral” testing datasets were extracted from the published data of Marchenko et al. 2023. These authors mapped in detail the distribution of </w:t>
      </w:r>
      <w:r w:rsidDel="00000000" w:rsidR="00000000" w:rsidRPr="00000000">
        <w:rPr>
          <w:i w:val="1"/>
          <w:rtl w:val="0"/>
        </w:rPr>
        <w:t xml:space="preserve">Ptros</w:t>
      </w:r>
      <w:r w:rsidDel="00000000" w:rsidR="00000000" w:rsidRPr="00000000">
        <w:rPr>
          <w:rtl w:val="0"/>
        </w:rPr>
        <w:t xml:space="preserve"> in mussel settlements of the Tyuva Inlet in the Kola Bay of the Barents Sea (</w:t>
      </w:r>
      <w:r w:rsidDel="00000000" w:rsidR="00000000" w:rsidRPr="00000000">
        <w:rPr>
          <w:b w:val="1"/>
          <w:rtl w:val="0"/>
        </w:rPr>
        <w:t xml:space="preserve">Fig. 1</w:t>
      </w:r>
      <w:r w:rsidDel="00000000" w:rsidR="00000000" w:rsidRPr="00000000">
        <w:rPr>
          <w:rtl w:val="0"/>
        </w:rPr>
        <w:t xml:space="preserve">) sampled in 2009-2010. They provided a number of environmental characteristics including depth, </w:t>
      </w:r>
      <w:r w:rsidDel="00000000" w:rsidR="00000000" w:rsidRPr="00000000">
        <w:rPr>
          <w:i w:val="1"/>
          <w:rtl w:val="0"/>
        </w:rPr>
        <w:t xml:space="preserve">Salinity</w:t>
      </w:r>
      <w:r w:rsidDel="00000000" w:rsidR="00000000" w:rsidRPr="00000000">
        <w:rPr>
          <w:rtl w:val="0"/>
        </w:rPr>
        <w:t xml:space="preserve">,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2023;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w:t>
      </w:r>
      <w:r w:rsidDel="00000000" w:rsidR="00000000" w:rsidRPr="00000000">
        <w:rPr>
          <w:i w:val="1"/>
          <w:rtl w:val="0"/>
        </w:rPr>
        <w:t xml:space="preserve"> </w:t>
      </w:r>
      <w:r w:rsidDel="00000000" w:rsidR="00000000" w:rsidRPr="00000000">
        <w:rPr>
          <w:rtl w:val="0"/>
        </w:rPr>
        <w:t xml:space="preserve">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Start w:colFirst="0" w:colLast="0" w:name="kix.d2ngsb2hcqs6" w:id="8"/>
    <w:bookmarkEnd w:id="8"/>
    <w:p w:rsidR="00000000" w:rsidDel="00000000" w:rsidP="00000000" w:rsidRDefault="00000000" w:rsidRPr="00000000" w14:paraId="0000005E">
      <w:pPr>
        <w:rPr>
          <w:i w:val="1"/>
        </w:rPr>
      </w:pPr>
      <w:r w:rsidDel="00000000" w:rsidR="00000000" w:rsidRPr="00000000">
        <w:rPr>
          <w:i w:val="1"/>
          <w:rtl w:val="0"/>
        </w:rPr>
        <w:t xml:space="preserve">Statistical analysis</w:t>
      </w:r>
    </w:p>
    <w:p w:rsidR="00000000" w:rsidDel="00000000" w:rsidP="00000000" w:rsidRDefault="00000000" w:rsidRPr="00000000" w14:paraId="0000005F">
      <w:pPr>
        <w:rPr/>
      </w:pPr>
      <w:r w:rsidDel="00000000" w:rsidR="00000000" w:rsidRPr="00000000">
        <w:rPr>
          <w:rtl w:val="0"/>
        </w:rPr>
        <w:t xml:space="preserve">All processing was performed using the statistical programming language R 4.05 (</w:t>
      </w:r>
      <w:r w:rsidDel="00000000" w:rsidR="00000000" w:rsidRPr="00000000">
        <w:rPr>
          <w:highlight w:val="green"/>
          <w:rtl w:val="0"/>
        </w:rPr>
        <w:t xml:space="preserve">R core Team, 202++</w:t>
      </w:r>
      <w:r w:rsidDel="00000000" w:rsidR="00000000" w:rsidRPr="00000000">
        <w:rPr>
          <w:rtl w:val="0"/>
        </w:rPr>
        <w:t xml:space="preserve">)</w:t>
      </w:r>
    </w:p>
    <w:bookmarkStart w:colFirst="0" w:colLast="0" w:name="kix.tzdswhvmbpx1" w:id="9"/>
    <w:bookmarkEnd w:id="9"/>
    <w:p w:rsidR="00000000" w:rsidDel="00000000" w:rsidP="00000000" w:rsidRDefault="00000000" w:rsidRPr="00000000" w14:paraId="00000060">
      <w:pPr>
        <w:rPr>
          <w:b w:val="1"/>
          <w:i w:val="1"/>
        </w:rPr>
      </w:pPr>
      <w:r w:rsidDel="00000000" w:rsidR="00000000" w:rsidRPr="00000000">
        <w:rPr>
          <w:b w:val="1"/>
          <w:i w:val="1"/>
          <w:rtl w:val="0"/>
        </w:rPr>
        <w:t xml:space="preserve">Dependency of Ptros on environmental parameters in modeling dataset (Model 1)</w:t>
      </w:r>
    </w:p>
    <w:p w:rsidR="00000000" w:rsidDel="00000000" w:rsidP="00000000" w:rsidRDefault="00000000" w:rsidRPr="00000000" w14:paraId="00000061">
      <w:pPr>
        <w:rPr/>
      </w:pPr>
      <w:r w:rsidDel="00000000" w:rsidR="00000000" w:rsidRPr="00000000">
        <w:rPr>
          <w:rtl w:val="0"/>
        </w:rPr>
        <w:t xml:space="preserve">We used GAM (generalized additive model, </w:t>
      </w:r>
      <w:r w:rsidDel="00000000" w:rsidR="00000000" w:rsidRPr="00000000">
        <w:rPr>
          <w:highlight w:val="green"/>
          <w:rtl w:val="0"/>
        </w:rPr>
        <w:t xml:space="preserve">Wood, 2017</w:t>
      </w:r>
      <w:r w:rsidDel="00000000" w:rsidR="00000000" w:rsidRPr="00000000">
        <w:rPr>
          <w:rtl w:val="0"/>
        </w:rPr>
        <w:t xml:space="preserve">) as a modeling technique, which works well for SDM construction (</w:t>
      </w:r>
      <w:r w:rsidDel="00000000" w:rsidR="00000000" w:rsidRPr="00000000">
        <w:rPr>
          <w:highlight w:val="green"/>
          <w:rtl w:val="0"/>
        </w:rPr>
        <w:t xml:space="preserve">Elith et al., 2006</w:t>
      </w:r>
      <w:r w:rsidDel="00000000" w:rsidR="00000000" w:rsidRPr="00000000">
        <w:rPr>
          <w:rtl w:val="0"/>
        </w:rPr>
        <w:t xml:space="preserve">). Importantly, it assumes that the relationship between the dependent variable (in our case </w:t>
      </w:r>
      <w:r w:rsidDel="00000000" w:rsidR="00000000" w:rsidRPr="00000000">
        <w:rPr>
          <w:i w:val="1"/>
          <w:rtl w:val="0"/>
        </w:rPr>
        <w:t xml:space="preserve">Ptros</w:t>
      </w:r>
      <w:r w:rsidDel="00000000" w:rsidR="00000000" w:rsidRPr="00000000">
        <w:rPr>
          <w:rtl w:val="0"/>
        </w:rPr>
        <w:t xml:space="preserve">) and continuous predictors may not necessarily be linear, as in ordinary regression analysis, but curvilinear (</w:t>
      </w:r>
      <w:r w:rsidDel="00000000" w:rsidR="00000000" w:rsidRPr="00000000">
        <w:rPr>
          <w:highlight w:val="green"/>
          <w:rtl w:val="0"/>
        </w:rPr>
        <w:t xml:space="preserve">Austin, 2002</w:t>
      </w:r>
      <w:r w:rsidDel="00000000" w:rsidR="00000000" w:rsidRPr="00000000">
        <w:rPr>
          <w:rtl w:val="0"/>
        </w:rPr>
        <w:t xml:space="preserve">). GAM fitted (hereafter, </w:t>
      </w:r>
      <w:r w:rsidDel="00000000" w:rsidR="00000000" w:rsidRPr="00000000">
        <w:rPr>
          <w:i w:val="1"/>
          <w:rtl w:val="0"/>
        </w:rPr>
        <w:t xml:space="preserve">Model 1</w:t>
      </w:r>
      <w:r w:rsidDel="00000000" w:rsidR="00000000" w:rsidRPr="00000000">
        <w:rPr>
          <w:rtl w:val="0"/>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sidDel="00000000" w:rsidR="00000000" w:rsidRPr="00000000">
        <w:rPr>
          <w:i w:val="1"/>
          <w:rtl w:val="0"/>
        </w:rPr>
        <w:t xml:space="preserve">Site</w:t>
      </w:r>
      <w:r w:rsidDel="00000000" w:rsidR="00000000" w:rsidRPr="00000000">
        <w:rPr>
          <w:rtl w:val="0"/>
        </w:rPr>
        <w:t xml:space="preserve"> was considered as a random factor. The function gam() from the package “mgcv” (</w:t>
      </w:r>
      <w:r w:rsidDel="00000000" w:rsidR="00000000" w:rsidRPr="00000000">
        <w:rPr>
          <w:highlight w:val="green"/>
          <w:rtl w:val="0"/>
        </w:rPr>
        <w:t xml:space="preserve">Wood 2017</w:t>
      </w:r>
      <w:r w:rsidDel="00000000" w:rsidR="00000000" w:rsidRPr="00000000">
        <w:rPr>
          <w:rtl w:val="0"/>
        </w:rPr>
        <w:t xml:space="preserve">) was used to fit the model.</w:t>
      </w:r>
    </w:p>
    <w:p w:rsidR="00000000" w:rsidDel="00000000" w:rsidP="00000000" w:rsidRDefault="00000000" w:rsidRPr="00000000" w14:paraId="00000062">
      <w:pPr>
        <w:rPr/>
      </w:pPr>
      <w:r w:rsidDel="00000000" w:rsidR="00000000" w:rsidRPr="00000000">
        <w:rPr>
          <w:rtl w:val="0"/>
        </w:rPr>
        <w:t xml:space="preserve">To check for the predictors’ collinearity in the model, we calculated the variance inflation factor (VIF, </w:t>
      </w:r>
      <w:r w:rsidDel="00000000" w:rsidR="00000000" w:rsidRPr="00000000">
        <w:rPr>
          <w:highlight w:val="green"/>
          <w:rtl w:val="0"/>
        </w:rPr>
        <w:t xml:space="preserve">Fox &amp; Monette, 1992</w:t>
      </w:r>
      <w:r w:rsidDel="00000000" w:rsidR="00000000" w:rsidRPr="00000000">
        <w:rPr>
          <w:rtl w:val="0"/>
        </w:rPr>
        <w:t xml:space="preserve">). Additionally, we calculated Pearson correlation between continuous predictors. To verify that Model 1 met the assumptions of sampling independence, we examined the presence of residuals’ spatial autocorrelation by means of spline correlogram construction (</w:t>
      </w:r>
      <w:r w:rsidDel="00000000" w:rsidR="00000000" w:rsidRPr="00000000">
        <w:rPr>
          <w:highlight w:val="green"/>
          <w:rtl w:val="0"/>
        </w:rPr>
        <w:t xml:space="preserve">Bjornstad, Falck, 2001</w:t>
      </w:r>
      <w:r w:rsidDel="00000000" w:rsidR="00000000" w:rsidRPr="00000000">
        <w:rPr>
          <w:rtl w:val="0"/>
        </w:rPr>
        <w:t xml:space="preserve">) with the function spline.correlog() from the package “ncf” (</w:t>
      </w:r>
      <w:r w:rsidDel="00000000" w:rsidR="00000000" w:rsidRPr="00000000">
        <w:rPr>
          <w:highlight w:val="green"/>
          <w:rtl w:val="0"/>
        </w:rPr>
        <w:t xml:space="preserve">Bjornstad, 2022</w:t>
      </w:r>
      <w:r w:rsidDel="00000000" w:rsidR="00000000" w:rsidRPr="00000000">
        <w:rPr>
          <w:rtl w:val="0"/>
        </w:rPr>
        <w:t xml:space="preserve">) and found no evidence of spatial autocorrelation.</w:t>
      </w:r>
    </w:p>
    <w:bookmarkStart w:colFirst="0" w:colLast="0" w:name="kix.vgpqzj276y8h" w:id="10"/>
    <w:bookmarkEnd w:id="10"/>
    <w:p w:rsidR="00000000" w:rsidDel="00000000" w:rsidP="00000000" w:rsidRDefault="00000000" w:rsidRPr="00000000" w14:paraId="00000063">
      <w:pPr>
        <w:pStyle w:val="Heading4"/>
        <w:pBdr>
          <w:top w:color="000000" w:space="0" w:sz="0" w:val="none"/>
          <w:left w:color="000000" w:space="0" w:sz="0" w:val="none"/>
          <w:bottom w:color="000000" w:space="0" w:sz="0" w:val="none"/>
          <w:right w:color="000000" w:space="0" w:sz="0" w:val="none"/>
          <w:between w:color="000000" w:space="0" w:sz="0" w:val="none"/>
        </w:pBdr>
        <w:rPr>
          <w:i w:val="1"/>
          <w:sz w:val="24"/>
          <w:szCs w:val="24"/>
        </w:rPr>
      </w:pPr>
      <w:r w:rsidDel="00000000" w:rsidR="00000000" w:rsidRPr="00000000">
        <w:rPr>
          <w:i w:val="1"/>
          <w:sz w:val="24"/>
          <w:szCs w:val="24"/>
          <w:rtl w:val="0"/>
        </w:rPr>
        <w:t xml:space="preserve">Association between Ptros, substrate and mussel abundance</w:t>
      </w:r>
    </w:p>
    <w:p w:rsidR="00000000" w:rsidDel="00000000" w:rsidP="00000000" w:rsidRDefault="00000000" w:rsidRPr="00000000" w14:paraId="00000064">
      <w:pPr>
        <w:rPr/>
      </w:pPr>
      <w:r w:rsidDel="00000000" w:rsidR="00000000" w:rsidRPr="00000000">
        <w:rPr>
          <w:rtl w:val="0"/>
        </w:rPr>
        <w:t xml:space="preserve">The ultimate goal of the analysis was to find out how the segregation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between algal and bottom substrates depended on the abundance of each species on each substrate. For each site we calculated the difference between proportion of </w:t>
      </w:r>
      <w:r w:rsidDel="00000000" w:rsidR="00000000" w:rsidRPr="00000000">
        <w:rPr>
          <w:i w:val="1"/>
          <w:rtl w:val="0"/>
        </w:rPr>
        <w:t xml:space="preserve">MT</w:t>
      </w:r>
      <w:r w:rsidDel="00000000" w:rsidR="00000000" w:rsidRPr="00000000">
        <w:rPr>
          <w:rtl w:val="0"/>
        </w:rPr>
        <w:t xml:space="preserve"> in algal and bottom</w:t>
      </w:r>
      <w:r w:rsidDel="00000000" w:rsidR="00000000" w:rsidRPr="00000000">
        <w:rPr>
          <w:i w:val="1"/>
          <w:rtl w:val="0"/>
        </w:rPr>
        <w:t xml:space="preserve"> </w:t>
      </w:r>
      <w:r w:rsidDel="00000000" w:rsidR="00000000" w:rsidRPr="00000000">
        <w:rPr>
          <w:rtl w:val="0"/>
        </w:rPr>
        <w:t xml:space="preserve">samples: </w:t>
      </w:r>
      <w:r w:rsidDel="00000000" w:rsidR="00000000" w:rsidRPr="00000000">
        <w:rPr>
          <w:i w:val="1"/>
          <w:rtl w:val="0"/>
        </w:rPr>
        <w:t xml:space="preserve">Dif</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The obtained </w:t>
      </w:r>
      <w:r w:rsidDel="00000000" w:rsidR="00000000" w:rsidRPr="00000000">
        <w:rPr>
          <w:i w:val="1"/>
          <w:rtl w:val="0"/>
        </w:rPr>
        <w:t xml:space="preserve">Dif</w:t>
      </w:r>
      <w:r w:rsidDel="00000000" w:rsidR="00000000" w:rsidRPr="00000000">
        <w:rPr>
          <w:rtl w:val="0"/>
        </w:rPr>
        <w:t xml:space="preserve"> values were used as a dependent variable in </w:t>
      </w:r>
      <w:r w:rsidDel="00000000" w:rsidR="00000000" w:rsidRPr="00000000">
        <w:rPr>
          <w:i w:val="1"/>
          <w:rtl w:val="0"/>
        </w:rPr>
        <w:t xml:space="preserve">Model 2</w:t>
      </w:r>
      <w:r w:rsidDel="00000000" w:rsidR="00000000" w:rsidRPr="00000000">
        <w:rPr>
          <w:rtl w:val="0"/>
        </w:rPr>
        <w:t xml:space="preserve">, which was constructed as GAM with Gaussian residuals’ distribution. </w:t>
      </w:r>
    </w:p>
    <w:p w:rsidR="00000000" w:rsidDel="00000000" w:rsidP="00000000" w:rsidRDefault="00000000" w:rsidRPr="00000000" w14:paraId="00000065">
      <w:pPr>
        <w:rPr/>
      </w:pPr>
      <w:r w:rsidDel="00000000" w:rsidR="00000000" w:rsidRPr="00000000">
        <w:rPr>
          <w:rtl w:val="0"/>
        </w:rPr>
        <w:t xml:space="preserve">Assessing the dependence of </w:t>
      </w:r>
      <w:r w:rsidDel="00000000" w:rsidR="00000000" w:rsidRPr="00000000">
        <w:rPr>
          <w:i w:val="1"/>
          <w:rtl w:val="0"/>
        </w:rPr>
        <w:t xml:space="preserve">Diff </w:t>
      </w:r>
      <w:r w:rsidDel="00000000" w:rsidR="00000000" w:rsidRPr="00000000">
        <w:rPr>
          <w:rtl w:val="0"/>
        </w:rPr>
        <w:t xml:space="preserve">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we could not directly operate with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densities because they could be calculated otherwise than through </w:t>
      </w:r>
      <w:r w:rsidDel="00000000" w:rsidR="00000000" w:rsidRPr="00000000">
        <w:rPr>
          <w:i w:val="1"/>
          <w:rtl w:val="0"/>
        </w:rPr>
        <w:t xml:space="preserve">Ptros</w:t>
      </w:r>
      <w:r w:rsidDel="00000000" w:rsidR="00000000" w:rsidRPr="00000000">
        <w:rPr>
          <w:rtl w:val="0"/>
        </w:rP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in Model 2. This means that we had to equate morphotypes with species in this case. However, this assumption should not have crucially biased the results of the analysis, given the proportional relationship between </w:t>
      </w:r>
      <w:r w:rsidDel="00000000" w:rsidR="00000000" w:rsidRPr="00000000">
        <w:rPr>
          <w:i w:val="1"/>
          <w:rtl w:val="0"/>
        </w:rPr>
        <w:t xml:space="preserve">PT</w:t>
      </w:r>
      <w:r w:rsidDel="00000000" w:rsidR="00000000" w:rsidRPr="00000000">
        <w:rPr>
          <w:rtl w:val="0"/>
        </w:rPr>
        <w:t xml:space="preserve"> and </w:t>
      </w:r>
      <w:r w:rsidDel="00000000" w:rsidR="00000000" w:rsidRPr="00000000">
        <w:rPr>
          <w:i w:val="1"/>
          <w:rtl w:val="0"/>
        </w:rPr>
        <w:t xml:space="preserve">Ptros </w:t>
      </w:r>
      <w:r w:rsidDel="00000000" w:rsidR="00000000" w:rsidRPr="00000000">
        <w:rPr>
          <w:rtl w:val="0"/>
        </w:rPr>
        <w:t xml:space="preserve">in mussel settlements from the study area (</w:t>
      </w:r>
      <w:r w:rsidDel="00000000" w:rsidR="00000000" w:rsidRPr="00000000">
        <w:rPr>
          <w:highlight w:val="green"/>
          <w:rtl w:val="0"/>
        </w:rPr>
        <w:t xml:space="preserve">Khaitov et al. 2021</w:t>
      </w:r>
      <w:r w:rsidDel="00000000" w:rsidR="00000000" w:rsidRPr="00000000">
        <w:rPr>
          <w:rtl w:val="0"/>
        </w:rPr>
        <w:t xml:space="preserve">). We used VIF to control for the level of collinearity of the final set of predictors considering the value less than 3.5 as acceptable (Quinn &amp; Keugh REF).</w:t>
      </w:r>
    </w:p>
    <w:bookmarkStart w:colFirst="0" w:colLast="0" w:name="kix.eetl70f44gkb" w:id="11"/>
    <w:bookmarkEnd w:id="11"/>
    <w:p w:rsidR="00000000" w:rsidDel="00000000" w:rsidP="00000000" w:rsidRDefault="00000000" w:rsidRPr="00000000" w14:paraId="00000066">
      <w:pPr>
        <w:pStyle w:val="Heading4"/>
        <w:pBdr>
          <w:top w:color="000000" w:space="0" w:sz="0" w:val="none"/>
          <w:left w:color="000000" w:space="0" w:sz="0" w:val="none"/>
          <w:bottom w:color="000000" w:space="0" w:sz="0" w:val="none"/>
          <w:right w:color="000000" w:space="0" w:sz="0" w:val="none"/>
          <w:between w:color="000000" w:space="0" w:sz="0" w:val="none"/>
        </w:pBdr>
        <w:rPr>
          <w:i w:val="1"/>
          <w:sz w:val="24"/>
          <w:szCs w:val="24"/>
        </w:rPr>
      </w:pPr>
      <w:bookmarkStart w:colFirst="0" w:colLast="0" w:name="_v5pqwahxafh8" w:id="12"/>
      <w:bookmarkEnd w:id="12"/>
      <w:r w:rsidDel="00000000" w:rsidR="00000000" w:rsidRPr="00000000">
        <w:rPr>
          <w:i w:val="1"/>
          <w:sz w:val="24"/>
          <w:szCs w:val="24"/>
          <w:rtl w:val="0"/>
        </w:rPr>
        <w:t xml:space="preserve">Assessment of predictive power of Model 1</w:t>
      </w:r>
    </w:p>
    <w:p w:rsidR="00000000" w:rsidDel="00000000" w:rsidP="00000000" w:rsidRDefault="00000000" w:rsidRPr="00000000" w14:paraId="00000067">
      <w:pPr>
        <w:spacing w:after="240" w:before="240" w:lineRule="auto"/>
        <w:ind w:firstLine="0"/>
        <w:rPr/>
      </w:pPr>
      <w:bookmarkStart w:colFirst="0" w:colLast="0" w:name="_17dp8vu" w:id="13"/>
      <w:bookmarkEnd w:id="13"/>
      <w:r w:rsidDel="00000000" w:rsidR="00000000" w:rsidRPr="00000000">
        <w:rPr>
          <w:rtl w:val="0"/>
        </w:rPr>
        <w:t xml:space="preserve">We wanted to check whether Model 1 could be used to predict the dominant species in bottom and algal samples at a site with known environmental parameters,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&gt;0.5) or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&lt;0.5). To do so, we used all the parameters to predict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for each site within the modeling dataset and within each of the three testing datasets. The predicted values were categorized into those greater than 0.5 and those less than 0.5 and considered to be classifiers for detecting </w:t>
      </w:r>
      <w:r w:rsidDel="00000000" w:rsidR="00000000" w:rsidRPr="00000000">
        <w:rPr>
          <w:i w:val="1"/>
          <w:rtl w:val="0"/>
        </w:rPr>
        <w:t xml:space="preserve">MT</w:t>
      </w:r>
      <w:r w:rsidDel="00000000" w:rsidR="00000000" w:rsidRPr="00000000">
        <w:rPr>
          <w:rtl w:val="0"/>
        </w:rPr>
        <w:t xml:space="preserve">- or </w:t>
      </w:r>
      <w:r w:rsidDel="00000000" w:rsidR="00000000" w:rsidRPr="00000000">
        <w:rPr>
          <w:i w:val="1"/>
          <w:rtl w:val="0"/>
        </w:rPr>
        <w:t xml:space="preserve">ME</w:t>
      </w:r>
      <w:r w:rsidDel="00000000" w:rsidR="00000000" w:rsidRPr="00000000">
        <w:rPr>
          <w:rtl w:val="0"/>
        </w:rPr>
        <w:t xml:space="preserve">-dominated samples. The receiver operating characteristics (ROC) followed by the analysis of the area under the curve (AUC, </w:t>
      </w:r>
      <w:r w:rsidDel="00000000" w:rsidR="00000000" w:rsidRPr="00000000">
        <w:rPr>
          <w:highlight w:val="green"/>
          <w:rtl w:val="0"/>
        </w:rPr>
        <w:t xml:space="preserve">Fielding, Bell,1997; Fawcett, 2006</w:t>
      </w:r>
      <w:r w:rsidDel="00000000" w:rsidR="00000000" w:rsidRPr="00000000">
        <w:rPr>
          <w:rtl w:val="0"/>
        </w:rPr>
        <w:t xml:space="preserve">) were used to evaluate the performance of the models. Function roc() from the package “pROC” (</w:t>
      </w:r>
      <w:r w:rsidDel="00000000" w:rsidR="00000000" w:rsidRPr="00000000">
        <w:rPr>
          <w:highlight w:val="green"/>
          <w:rtl w:val="0"/>
        </w:rPr>
        <w:t xml:space="preserve">Xavier et al. 2011</w:t>
      </w:r>
      <w:r w:rsidDel="00000000" w:rsidR="00000000" w:rsidRPr="00000000">
        <w:rPr>
          <w:rtl w:val="0"/>
        </w:rPr>
        <w:t xml:space="preserve">) was used.</w:t>
      </w:r>
    </w:p>
    <w:bookmarkStart w:colFirst="0" w:colLast="0" w:name="26in1rg" w:id="14"/>
    <w:bookmarkEnd w:id="14"/>
    <w:p w:rsidR="00000000" w:rsidDel="00000000" w:rsidP="00000000" w:rsidRDefault="00000000" w:rsidRPr="00000000" w14:paraId="00000068">
      <w:pPr>
        <w:pStyle w:val="Heading2"/>
        <w:tabs>
          <w:tab w:val="left" w:leader="none" w:pos="8789"/>
        </w:tabs>
        <w:spacing w:line="360" w:lineRule="auto"/>
        <w:ind w:right="1185"/>
        <w:rPr>
          <w:b w:val="1"/>
        </w:rPr>
      </w:pPr>
      <w:r w:rsidDel="00000000" w:rsidR="00000000" w:rsidRPr="00000000">
        <w:rPr>
          <w:b w:val="1"/>
          <w:rtl w:val="0"/>
        </w:rPr>
        <w:t xml:space="preserve">Results</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highlight w:val="yellow"/>
          <w:rtl w:val="0"/>
        </w:rPr>
        <w:t xml:space="preserve">147</w:t>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Ranges and median values of the continuous predictors are summarized in Table 1. While the distribution of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values was highly mosaic, the most wind-exposed sites were located on the southeastern coast of the Bay and on open shores of the islands in its top (Fig. 1 A) while the most desalinated areas were located in the very top of the Bay (Fig. 1 B). Expectedly, </w:t>
      </w:r>
      <w:r w:rsidDel="00000000" w:rsidR="00000000" w:rsidRPr="00000000">
        <w:rPr>
          <w:i w:val="1"/>
          <w:rtl w:val="0"/>
        </w:rPr>
        <w:t xml:space="preserve">Salinity</w:t>
      </w:r>
      <w:r w:rsidDel="00000000" w:rsidR="00000000" w:rsidRPr="00000000">
        <w:rPr>
          <w:rtl w:val="0"/>
        </w:rPr>
        <w:t xml:space="preserve"> tended to decrease towards river mouths (SFig. ++ D) and was lower closer to large rivers than to small ones (SFig. ++ D). Sites close to ports tended to have lower </w:t>
      </w:r>
      <w:r w:rsidDel="00000000" w:rsidR="00000000" w:rsidRPr="00000000">
        <w:rPr>
          <w:i w:val="1"/>
          <w:rtl w:val="0"/>
        </w:rPr>
        <w:t xml:space="preserve">Fetch</w:t>
      </w:r>
      <w:r w:rsidDel="00000000" w:rsidR="00000000" w:rsidRPr="00000000">
        <w:rPr>
          <w:rtl w:val="0"/>
        </w:rPr>
        <w:t xml:space="preserve"> (SFig. +++ F), but no association between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was observed (SFig. +++ E). All correlations between </w:t>
      </w:r>
      <w:r w:rsidDel="00000000" w:rsidR="00000000" w:rsidRPr="00000000">
        <w:rPr>
          <w:i w:val="1"/>
          <w:rtl w:val="0"/>
        </w:rPr>
        <w:t xml:space="preserve">Salinity,</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Fetch</w:t>
      </w:r>
      <w:r w:rsidDel="00000000" w:rsidR="00000000" w:rsidRPr="00000000">
        <w:rPr>
          <w:rtl w:val="0"/>
        </w:rPr>
        <w:t xml:space="preserve"> were rather low (STable +++), the largest being that between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DistPort</w:t>
      </w:r>
      <w:r w:rsidDel="00000000" w:rsidR="00000000" w:rsidRPr="00000000">
        <w:rPr>
          <w:rtl w:val="0"/>
        </w:rPr>
        <w:t xml:space="preserve"> (r =0.46).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strike w:val="1"/>
        </w:rPr>
      </w:pPr>
      <w:r w:rsidDel="00000000" w:rsidR="00000000" w:rsidRPr="00000000">
        <w:rPr>
          <w:strike w:val="1"/>
        </w:rPr>
        <w:drawing>
          <wp:inline distB="114300" distT="114300" distL="114300" distR="114300">
            <wp:extent cx="4752023"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02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1</w:t>
      </w:r>
      <w:r w:rsidDel="00000000" w:rsidR="00000000" w:rsidRPr="00000000">
        <w:rPr>
          <w:rtl w:val="0"/>
        </w:rPr>
        <w:t xml:space="preserve">. Taxonomic structure of mussel settlements and their habitat characteristics. (A) Map of Northern Europe. Box shows position of Kandalaksha Bay, arrow show position of Tyuva Inlet. B) Surf conditions. Point size is proportional to </w:t>
      </w:r>
      <w:r w:rsidDel="00000000" w:rsidR="00000000" w:rsidRPr="00000000">
        <w:rPr>
          <w:i w:val="1"/>
          <w:rtl w:val="0"/>
        </w:rPr>
        <w:t xml:space="preserve">Fetch</w:t>
      </w:r>
      <w:r w:rsidDel="00000000" w:rsidR="00000000" w:rsidRPr="00000000">
        <w:rPr>
          <w:rtl w:val="0"/>
        </w:rPr>
        <w:t xml:space="preserve">. Anchors with names mark ports; asterisks mark abandoned ports. (C) Salinity conditions. Point filling is proportional to </w:t>
      </w:r>
      <w:r w:rsidDel="00000000" w:rsidR="00000000" w:rsidRPr="00000000">
        <w:rPr>
          <w:i w:val="1"/>
          <w:rtl w:val="0"/>
        </w:rPr>
        <w:t xml:space="preserve">Salinity</w:t>
      </w:r>
      <w:r w:rsidDel="00000000" w:rsidR="00000000" w:rsidRPr="00000000">
        <w:rPr>
          <w:rtl w:val="0"/>
        </w:rPr>
        <w:t xml:space="preserve">. Arrows mark mouths of large rivers. (D-G) Proportion of </w:t>
      </w:r>
      <w:r w:rsidDel="00000000" w:rsidR="00000000" w:rsidRPr="00000000">
        <w:rPr>
          <w:i w:val="1"/>
          <w:rtl w:val="0"/>
        </w:rPr>
        <w:t xml:space="preserve">MT</w:t>
      </w:r>
      <w:r w:rsidDel="00000000" w:rsidR="00000000" w:rsidRPr="00000000">
        <w:rPr>
          <w:rtl w:val="0"/>
        </w:rPr>
        <w:t xml:space="preserve"> in bottom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D-E) and algal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F-G) samples. Point filling is proportional to </w:t>
      </w:r>
      <w:r w:rsidDel="00000000" w:rsidR="00000000" w:rsidRPr="00000000">
        <w:rPr>
          <w:i w:val="1"/>
          <w:rtl w:val="0"/>
        </w:rPr>
        <w:t xml:space="preserve">Ptros</w:t>
      </w:r>
      <w:r w:rsidDel="00000000" w:rsidR="00000000" w:rsidRPr="00000000">
        <w:rPr>
          <w:rtl w:val="0"/>
        </w:rPr>
        <w:t xml:space="preserve">. E and G show the Bay’s top in higher resolution.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When one examines separate maps of </w:t>
      </w:r>
      <w:r w:rsidDel="00000000" w:rsidR="00000000" w:rsidRPr="00000000">
        <w:rPr>
          <w:i w:val="1"/>
          <w:rtl w:val="0"/>
        </w:rPr>
        <w:t xml:space="preserve">Ptros </w:t>
      </w:r>
      <w:r w:rsidDel="00000000" w:rsidR="00000000" w:rsidRPr="00000000">
        <w:rPr>
          <w:rtl w:val="0"/>
        </w:rPr>
        <w:t xml:space="preserve">distribution across algal and bottom substrates, the universally elevated proportion of</w:t>
      </w:r>
      <w:r w:rsidDel="00000000" w:rsidR="00000000" w:rsidRPr="00000000">
        <w:rPr>
          <w:i w:val="1"/>
          <w:rtl w:val="0"/>
        </w:rPr>
        <w:t xml:space="preserve"> MT</w:t>
      </w:r>
      <w:r w:rsidDel="00000000" w:rsidR="00000000" w:rsidRPr="00000000">
        <w:rPr>
          <w:rtl w:val="0"/>
        </w:rPr>
        <w:t xml:space="preserve"> on the former is striking (</w:t>
      </w:r>
      <w:r w:rsidDel="00000000" w:rsidR="00000000" w:rsidRPr="00000000">
        <w:rPr>
          <w:b w:val="1"/>
          <w:rtl w:val="0"/>
        </w:rPr>
        <w:t xml:space="preserve">Fig. 2 D-G</w:t>
      </w:r>
      <w:r w:rsidDel="00000000" w:rsidR="00000000" w:rsidRPr="00000000">
        <w:rPr>
          <w:rtl w:val="0"/>
        </w:rPr>
        <w:t xml:space="preserve">). While spatial distribution of </w:t>
      </w:r>
      <w:r w:rsidDel="00000000" w:rsidR="00000000" w:rsidRPr="00000000">
        <w:rPr>
          <w:i w:val="1"/>
          <w:rtl w:val="0"/>
        </w:rPr>
        <w:t xml:space="preserve">Ptros</w:t>
      </w:r>
      <w:r w:rsidDel="00000000" w:rsidR="00000000" w:rsidRPr="00000000">
        <w:rPr>
          <w:rtl w:val="0"/>
        </w:rPr>
        <w:t xml:space="preserve"> was highly mosaic, its maximum values on both substrates were observed in the Bay’s top and in some deep inlets, while its minimum values were observed along the open part of the southeastern coast (</w:t>
      </w:r>
      <w:r w:rsidDel="00000000" w:rsidR="00000000" w:rsidRPr="00000000">
        <w:rPr>
          <w:b w:val="1"/>
          <w:rtl w:val="0"/>
        </w:rPr>
        <w:t xml:space="preserve">Fig. 2 D-G</w:t>
      </w:r>
      <w:r w:rsidDel="00000000" w:rsidR="00000000" w:rsidRPr="00000000">
        <w:rPr>
          <w:rtl w:val="0"/>
        </w:rPr>
        <w:t xml:space="preserve">). Associations between </w:t>
      </w:r>
      <w:r w:rsidDel="00000000" w:rsidR="00000000" w:rsidRPr="00000000">
        <w:rPr>
          <w:i w:val="1"/>
          <w:rtl w:val="0"/>
        </w:rPr>
        <w:t xml:space="preserve">Ptros </w:t>
      </w:r>
      <w:r w:rsidDel="00000000" w:rsidR="00000000" w:rsidRPr="00000000">
        <w:rPr>
          <w:rtl w:val="0"/>
        </w:rPr>
        <w:t xml:space="preserve">and environmental predictors other than substrate could not be discerned on the maps (</w:t>
      </w:r>
      <w:r w:rsidDel="00000000" w:rsidR="00000000" w:rsidRPr="00000000">
        <w:rPr>
          <w:b w:val="1"/>
          <w:rtl w:val="0"/>
        </w:rPr>
        <w:t xml:space="preserve">Fig. 2</w:t>
      </w:r>
      <w:r w:rsidDel="00000000" w:rsidR="00000000" w:rsidRPr="00000000">
        <w:rPr>
          <w:rtl w:val="0"/>
        </w:rPr>
        <w:t xml:space="preserve">).</w:t>
      </w:r>
    </w:p>
    <w:bookmarkStart w:colFirst="0" w:colLast="0" w:name="lnxbz9" w:id="15"/>
    <w:bookmarkEnd w:id="15"/>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Relationship of </w:t>
      </w:r>
      <w:r w:rsidDel="00000000" w:rsidR="00000000" w:rsidRPr="00000000">
        <w:rPr>
          <w:i w:val="1"/>
          <w:rtl w:val="0"/>
        </w:rPr>
        <w:t xml:space="preserve">Ptros</w:t>
      </w:r>
      <w:r w:rsidDel="00000000" w:rsidR="00000000" w:rsidRPr="00000000">
        <w:rPr>
          <w:rtl w:val="0"/>
        </w:rPr>
        <w:t xml:space="preserve"> and environmental parameters evaluated by Model 1</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Although some non-zero pairwise correlations between environmental factors were found (see above), VIF values calculated for the predictors were generally low (maximal VIF being that for </w:t>
      </w:r>
      <w:r w:rsidDel="00000000" w:rsidR="00000000" w:rsidRPr="00000000">
        <w:rPr>
          <w:i w:val="1"/>
          <w:rtl w:val="0"/>
        </w:rPr>
        <w:t xml:space="preserve">Fetch</w:t>
      </w:r>
      <w:r w:rsidDel="00000000" w:rsidR="00000000" w:rsidRPr="00000000">
        <w:rPr>
          <w:rtl w:val="0"/>
        </w:rPr>
        <w:t xml:space="preserve">, 1.76). In our opinion, this result means that the collinearity between the predictors was negligible, i.e. they did not mask each other’s influence. </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Model 1 explained 77% of the total deviance</w:t>
      </w:r>
      <w:r w:rsidDel="00000000" w:rsidR="00000000" w:rsidRPr="00000000">
        <w:rPr>
          <w:rtl w:val="0"/>
        </w:rPr>
        <w:t xml:space="preserve">.</w:t>
      </w:r>
      <w:r w:rsidDel="00000000" w:rsidR="00000000" w:rsidRPr="00000000">
        <w:rPr>
          <w:color w:val="000000"/>
          <w:rtl w:val="0"/>
        </w:rPr>
        <w:t xml:space="preserve"> It revealed a significant dependency of </w:t>
      </w:r>
      <w:r w:rsidDel="00000000" w:rsidR="00000000" w:rsidRPr="00000000">
        <w:rPr>
          <w:i w:val="1"/>
          <w:color w:val="000000"/>
          <w:rtl w:val="0"/>
        </w:rPr>
        <w:t xml:space="preserve">Ptros</w:t>
      </w:r>
      <w:r w:rsidDel="00000000" w:rsidR="00000000" w:rsidRPr="00000000">
        <w:rPr>
          <w:color w:val="000000"/>
          <w:rtl w:val="0"/>
        </w:rPr>
        <w:t xml:space="preserve"> on all predictors except </w:t>
      </w:r>
      <w:r w:rsidDel="00000000" w:rsidR="00000000" w:rsidRPr="00000000">
        <w:rPr>
          <w:i w:val="1"/>
          <w:color w:val="000000"/>
          <w:rtl w:val="0"/>
        </w:rPr>
        <w:t xml:space="preserve">DistRiver</w:t>
      </w:r>
      <w:r w:rsidDel="00000000" w:rsidR="00000000" w:rsidRPr="00000000">
        <w:rPr>
          <w:color w:val="000000"/>
          <w:rtl w:val="0"/>
        </w:rPr>
        <w:t xml:space="preserve">. Effective degrees of freedom for </w:t>
      </w:r>
      <w:r w:rsidDel="00000000" w:rsidR="00000000" w:rsidRPr="00000000">
        <w:rPr>
          <w:i w:val="1"/>
          <w:color w:val="000000"/>
          <w:rtl w:val="0"/>
        </w:rPr>
        <w:t xml:space="preserve">DistPort</w:t>
      </w:r>
      <w:r w:rsidDel="00000000" w:rsidR="00000000" w:rsidRPr="00000000">
        <w:rPr>
          <w:color w:val="000000"/>
          <w:rtl w:val="0"/>
        </w:rPr>
        <w:t xml:space="preserve"> and </w:t>
      </w:r>
      <w:r w:rsidDel="00000000" w:rsidR="00000000" w:rsidRPr="00000000">
        <w:rPr>
          <w:i w:val="1"/>
          <w:color w:val="000000"/>
          <w:rtl w:val="0"/>
        </w:rPr>
        <w:t xml:space="preserve">Fetch</w:t>
      </w:r>
      <w:r w:rsidDel="00000000" w:rsidR="00000000" w:rsidRPr="00000000">
        <w:rPr>
          <w:color w:val="000000"/>
          <w:rtl w:val="0"/>
        </w:rPr>
        <w:t xml:space="preserve"> were close </w:t>
      </w:r>
      <w:r w:rsidDel="00000000" w:rsidR="00000000" w:rsidRPr="00000000">
        <w:rPr>
          <w:rtl w:val="0"/>
        </w:rPr>
        <w:t xml:space="preserve">to</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indicating the linear dependence of </w:t>
      </w:r>
      <w:r w:rsidDel="00000000" w:rsidR="00000000" w:rsidRPr="00000000">
        <w:rPr>
          <w:i w:val="1"/>
          <w:color w:val="000000"/>
          <w:rtl w:val="0"/>
        </w:rPr>
        <w:t xml:space="preserve">Ptros</w:t>
      </w:r>
      <w:r w:rsidDel="00000000" w:rsidR="00000000" w:rsidRPr="00000000">
        <w:rPr>
          <w:color w:val="000000"/>
          <w:rtl w:val="0"/>
        </w:rPr>
        <w:t xml:space="preserve"> on them. On the contrary, the dependence on the third continuous predictor, </w:t>
      </w:r>
      <w:r w:rsidDel="00000000" w:rsidR="00000000" w:rsidRPr="00000000">
        <w:rPr>
          <w:i w:val="1"/>
          <w:color w:val="000000"/>
          <w:rtl w:val="0"/>
        </w:rPr>
        <w:t xml:space="preserve">Salinity</w:t>
      </w:r>
      <w:r w:rsidDel="00000000" w:rsidR="00000000" w:rsidRPr="00000000">
        <w:rPr>
          <w:color w:val="000000"/>
          <w:rtl w:val="0"/>
        </w:rPr>
        <w:t xml:space="preserve">, was curvilinear (Table </w:t>
      </w:r>
      <w:r w:rsidDel="00000000" w:rsidR="00000000" w:rsidRPr="00000000">
        <w:rPr>
          <w:rtl w:val="0"/>
        </w:rPr>
        <w:t xml:space="preserve">2</w:t>
      </w:r>
      <w:r w:rsidDel="00000000" w:rsidR="00000000" w:rsidRPr="00000000">
        <w:rPr>
          <w:color w:val="000000"/>
          <w:rtl w:val="0"/>
        </w:rPr>
        <w:t xml:space="preserve">). </w:t>
      </w:r>
    </w:p>
    <w:p w:rsidR="00000000" w:rsidDel="00000000" w:rsidP="00000000" w:rsidRDefault="00000000" w:rsidRPr="00000000" w14:paraId="00000072">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center"/>
        <w:rPr>
          <w:color w:val="000000"/>
          <w:highlight w:val="cyan"/>
        </w:rPr>
      </w:pPr>
      <w:r w:rsidDel="00000000" w:rsidR="00000000" w:rsidRPr="00000000">
        <w:rPr>
          <w:rtl w:val="0"/>
        </w:rPr>
      </w:r>
    </w:p>
    <w:p w:rsidR="00000000" w:rsidDel="00000000" w:rsidP="00000000" w:rsidRDefault="00000000" w:rsidRPr="00000000" w14:paraId="00000073">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left"/>
        <w:rPr/>
      </w:pPr>
      <w:r w:rsidDel="00000000" w:rsidR="00000000" w:rsidRPr="00000000">
        <w:rPr>
          <w:rtl w:val="0"/>
        </w:rPr>
        <w:t xml:space="preserve">Table 2. Parameters of smoothers and coefficients of parametric terms for Model 1 describing dependency of proportion of </w:t>
      </w:r>
      <w:r w:rsidDel="00000000" w:rsidR="00000000" w:rsidRPr="00000000">
        <w:rPr>
          <w:i w:val="1"/>
          <w:rtl w:val="0"/>
        </w:rPr>
        <w:t xml:space="preserve">M. trossulus</w:t>
      </w:r>
      <w:r w:rsidDel="00000000" w:rsidR="00000000" w:rsidRPr="00000000">
        <w:rPr>
          <w:rtl w:val="0"/>
        </w:rPr>
        <w:t xml:space="preserve"> in mixed settlements (</w:t>
      </w:r>
      <w:r w:rsidDel="00000000" w:rsidR="00000000" w:rsidRPr="00000000">
        <w:rPr>
          <w:i w:val="1"/>
          <w:rtl w:val="0"/>
        </w:rPr>
        <w:t xml:space="preserve">Ptros</w:t>
      </w:r>
      <w:r w:rsidDel="00000000" w:rsidR="00000000" w:rsidRPr="00000000">
        <w:rPr>
          <w:rtl w:val="0"/>
        </w:rPr>
        <w:t xml:space="preserve">) on environmental predictors. Edf – effective degrees of freedom.</w:t>
      </w:r>
    </w:p>
    <w:tbl>
      <w:tblPr>
        <w:tblStyle w:val="Table2"/>
        <w:tblW w:w="10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30"/>
        <w:gridCol w:w="2265"/>
        <w:gridCol w:w="1140"/>
        <w:gridCol w:w="1530"/>
        <w:gridCol w:w="1455"/>
        <w:tblGridChange w:id="0">
          <w:tblGrid>
            <w:gridCol w:w="4530"/>
            <w:gridCol w:w="2265"/>
            <w:gridCol w:w="1140"/>
            <w:gridCol w:w="1530"/>
            <w:gridCol w:w="14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Smoother terms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edf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ref.edf</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Chi.sq</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p-value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s(Salinity)</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396.7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0.0033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s(DistRiver)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0.6724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s(Fetch)</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0.0417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s(DistPort)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276.2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0.0016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Random effect s(Site)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453.6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Parametric terms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Parameter estimate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z-statistic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p-value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(Intercept)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Substrate(Algae)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RiverSize(Large)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PortStatus(Active)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100" w:before="100" w:line="360" w:lineRule="auto"/>
              <w:ind w:left="100" w:right="1185"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0.0000</w:t>
            </w:r>
          </w:p>
        </w:tc>
      </w:tr>
    </w:tbl>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rFonts w:ascii="Arial" w:cs="Arial" w:eastAsia="Arial" w:hAnsi="Arial"/>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rFonts w:ascii="Arial" w:cs="Arial" w:eastAsia="Arial" w:hAnsi="Arial"/>
        </w:rPr>
      </w:pPr>
      <w:r w:rsidDel="00000000" w:rsidR="00000000" w:rsidRPr="00000000">
        <w:rPr>
          <w:rFonts w:ascii="Arial" w:cs="Arial" w:eastAsia="Arial" w:hAnsi="Arial"/>
        </w:rPr>
        <w:drawing>
          <wp:inline distB="114300" distT="114300" distL="114300" distR="114300">
            <wp:extent cx="6332220" cy="3302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22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2.</w:t>
      </w:r>
      <w:r w:rsidDel="00000000" w:rsidR="00000000" w:rsidRPr="00000000">
        <w:rPr>
          <w:rtl w:val="0"/>
        </w:rPr>
        <w:t xml:space="preserve"> Partial effects of environmental parameters on proportion of </w:t>
      </w:r>
      <w:r w:rsidDel="00000000" w:rsidR="00000000" w:rsidRPr="00000000">
        <w:rPr>
          <w:i w:val="1"/>
          <w:rtl w:val="0"/>
        </w:rPr>
        <w:t xml:space="preserve">M. trossulus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evaluated by the GAM fitted (Model 1). A-C. Dependency of </w:t>
      </w:r>
      <w:r w:rsidDel="00000000" w:rsidR="00000000" w:rsidRPr="00000000">
        <w:rPr>
          <w:i w:val="1"/>
          <w:rtl w:val="0"/>
        </w:rPr>
        <w:t xml:space="preserve">Ptros</w:t>
      </w:r>
      <w:r w:rsidDel="00000000" w:rsidR="00000000" w:rsidRPr="00000000">
        <w:rPr>
          <w:rtl w:val="0"/>
        </w:rPr>
        <w:t xml:space="preserve"> on distance to the nearest port (</w:t>
      </w:r>
      <w:r w:rsidDel="00000000" w:rsidR="00000000" w:rsidRPr="00000000">
        <w:rPr>
          <w:i w:val="1"/>
          <w:rtl w:val="0"/>
        </w:rPr>
        <w:t xml:space="preserve">DistPort</w:t>
      </w:r>
      <w:r w:rsidDel="00000000" w:rsidR="00000000" w:rsidRPr="00000000">
        <w:rPr>
          <w:rtl w:val="0"/>
        </w:rPr>
        <w:t xml:space="preserve">, A), wind exposure (</w:t>
      </w:r>
      <w:r w:rsidDel="00000000" w:rsidR="00000000" w:rsidRPr="00000000">
        <w:rPr>
          <w:i w:val="1"/>
          <w:rtl w:val="0"/>
        </w:rPr>
        <w:t xml:space="preserve">Fetch</w:t>
      </w:r>
      <w:r w:rsidDel="00000000" w:rsidR="00000000" w:rsidRPr="00000000">
        <w:rPr>
          <w:rtl w:val="0"/>
        </w:rPr>
        <w:t xml:space="preserve">, B), distance to the nearest river (</w:t>
      </w:r>
      <w:r w:rsidDel="00000000" w:rsidR="00000000" w:rsidRPr="00000000">
        <w:rPr>
          <w:i w:val="1"/>
          <w:rtl w:val="0"/>
        </w:rPr>
        <w:t xml:space="preserve">DistRiver</w:t>
      </w:r>
      <w:r w:rsidDel="00000000" w:rsidR="00000000" w:rsidRPr="00000000">
        <w:rPr>
          <w:rtl w:val="0"/>
        </w:rPr>
        <w:t xml:space="preserve">, C) and salinity at low tide (</w:t>
      </w:r>
      <w:r w:rsidDel="00000000" w:rsidR="00000000" w:rsidRPr="00000000">
        <w:rPr>
          <w:i w:val="1"/>
          <w:rtl w:val="0"/>
        </w:rPr>
        <w:t xml:space="preserve">Salinity</w:t>
      </w:r>
      <w:r w:rsidDel="00000000" w:rsidR="00000000" w:rsidRPr="00000000">
        <w:rPr>
          <w:rtl w:val="0"/>
        </w:rPr>
        <w:t xml:space="preserve">, D). Gray ribbons represent 95% confidence intervals. Dotted horizontal lines indicating zero partial effect are given to show the wiggling of the fitted curves. Points on panels A-D show partial residuals, not raw data. E-F. Dependency of </w:t>
      </w:r>
      <w:r w:rsidDel="00000000" w:rsidR="00000000" w:rsidRPr="00000000">
        <w:rPr>
          <w:i w:val="1"/>
          <w:rtl w:val="0"/>
        </w:rPr>
        <w:t xml:space="preserve">Ptros </w:t>
      </w:r>
      <w:r w:rsidDel="00000000" w:rsidR="00000000" w:rsidRPr="00000000">
        <w:rPr>
          <w:rtl w:val="0"/>
        </w:rPr>
        <w:t xml:space="preserve">on combinations of categorical predictors. Partial effects of substrate (bottom vs algae) and status of the nearest port (active vs abandoned) </w:t>
      </w:r>
      <w:r w:rsidDel="00000000" w:rsidR="00000000" w:rsidRPr="00000000">
        <w:rPr>
          <w:i w:val="1"/>
          <w:rtl w:val="0"/>
        </w:rPr>
        <w:t xml:space="preserve"> </w:t>
      </w:r>
      <w:r w:rsidDel="00000000" w:rsidR="00000000" w:rsidRPr="00000000">
        <w:rPr>
          <w:rtl w:val="0"/>
        </w:rPr>
        <w:t xml:space="preserve">when the nearest river is small (E) or large (F). Whiskers represent 95% confidence intervals. Red solid lines indicating a partial effect of 0.5 are provided to facilitate visual comparison of panels E and F.</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highlight w:val="yellow"/>
        </w:rPr>
      </w:pPr>
      <w:r w:rsidDel="00000000" w:rsidR="00000000" w:rsidRPr="00000000">
        <w:rPr>
          <w:color w:val="000000"/>
          <w:rtl w:val="0"/>
        </w:rPr>
        <w:t xml:space="preserve">According to the model, </w:t>
      </w:r>
      <w:r w:rsidDel="00000000" w:rsidR="00000000" w:rsidRPr="00000000">
        <w:rPr>
          <w:i w:val="1"/>
          <w:color w:val="000000"/>
          <w:rtl w:val="0"/>
        </w:rPr>
        <w:t xml:space="preserve">Ptros</w:t>
      </w:r>
      <w:r w:rsidDel="00000000" w:rsidR="00000000" w:rsidRPr="00000000">
        <w:rPr>
          <w:color w:val="000000"/>
          <w:rtl w:val="0"/>
        </w:rPr>
        <w:t xml:space="preserve"> decreased both with </w:t>
      </w:r>
      <w:r w:rsidDel="00000000" w:rsidR="00000000" w:rsidRPr="00000000">
        <w:rPr>
          <w:i w:val="1"/>
          <w:color w:val="000000"/>
          <w:rtl w:val="0"/>
        </w:rPr>
        <w:t xml:space="preserve">DistPort</w:t>
      </w:r>
      <w:r w:rsidDel="00000000" w:rsidR="00000000" w:rsidRPr="00000000">
        <w:rPr>
          <w:color w:val="000000"/>
          <w:rtl w:val="0"/>
        </w:rPr>
        <w:t xml:space="preserve"> (Fig. 3 A) and with </w:t>
      </w:r>
      <w:r w:rsidDel="00000000" w:rsidR="00000000" w:rsidRPr="00000000">
        <w:rPr>
          <w:i w:val="1"/>
          <w:color w:val="000000"/>
          <w:rtl w:val="0"/>
        </w:rPr>
        <w:t xml:space="preserve">Fetch</w:t>
      </w:r>
      <w:r w:rsidDel="00000000" w:rsidR="00000000" w:rsidRPr="00000000">
        <w:rPr>
          <w:color w:val="000000"/>
          <w:rtl w:val="0"/>
        </w:rPr>
        <w:t xml:space="preserve"> (Fig. 3, B). This means that the proportion of </w:t>
      </w:r>
      <w:r w:rsidDel="00000000" w:rsidR="00000000" w:rsidRPr="00000000">
        <w:rPr>
          <w:i w:val="1"/>
          <w:color w:val="000000"/>
          <w:rtl w:val="0"/>
        </w:rPr>
        <w:t xml:space="preserve">MT</w:t>
      </w:r>
      <w:r w:rsidDel="00000000" w:rsidR="00000000" w:rsidRPr="00000000">
        <w:rPr>
          <w:color w:val="000000"/>
          <w:rtl w:val="0"/>
        </w:rPr>
        <w:t xml:space="preserve"> was higher near ports and in </w:t>
      </w:r>
      <w:r w:rsidDel="00000000" w:rsidR="00000000" w:rsidRPr="00000000">
        <w:rPr>
          <w:rtl w:val="0"/>
        </w:rPr>
        <w:t xml:space="preserve">surf</w:t>
      </w:r>
      <w:r w:rsidDel="00000000" w:rsidR="00000000" w:rsidRPr="00000000">
        <w:rPr>
          <w:color w:val="000000"/>
          <w:rtl w:val="0"/>
        </w:rPr>
        <w:t xml:space="preserve">-protected areas. </w:t>
      </w:r>
      <w:r w:rsidDel="00000000" w:rsidR="00000000" w:rsidRPr="00000000">
        <w:rPr>
          <w:i w:val="1"/>
          <w:color w:val="000000"/>
          <w:rtl w:val="0"/>
        </w:rPr>
        <w:t xml:space="preserve">PortStatus</w:t>
      </w:r>
      <w:r w:rsidDel="00000000" w:rsidR="00000000" w:rsidRPr="00000000">
        <w:rPr>
          <w:color w:val="000000"/>
          <w:rtl w:val="0"/>
        </w:rPr>
        <w:t xml:space="preserve"> also had a significant effect: predicted </w:t>
      </w:r>
      <w:r w:rsidDel="00000000" w:rsidR="00000000" w:rsidRPr="00000000">
        <w:rPr>
          <w:i w:val="1"/>
          <w:color w:val="000000"/>
          <w:rtl w:val="0"/>
        </w:rPr>
        <w:t xml:space="preserve">Ptros</w:t>
      </w:r>
      <w:r w:rsidDel="00000000" w:rsidR="00000000" w:rsidRPr="00000000">
        <w:rPr>
          <w:color w:val="000000"/>
          <w:rtl w:val="0"/>
        </w:rPr>
        <w:t xml:space="preserve"> was higher near active ports than near abandoned ones (Fig. 3 E, F). The curvilinear dependence of </w:t>
      </w:r>
      <w:r w:rsidDel="00000000" w:rsidR="00000000" w:rsidRPr="00000000">
        <w:rPr>
          <w:i w:val="1"/>
          <w:color w:val="000000"/>
          <w:rtl w:val="0"/>
        </w:rPr>
        <w:t xml:space="preserve">Ptros</w:t>
      </w:r>
      <w:r w:rsidDel="00000000" w:rsidR="00000000" w:rsidRPr="00000000">
        <w:rPr>
          <w:color w:val="000000"/>
          <w:rtl w:val="0"/>
        </w:rPr>
        <w:t xml:space="preserve"> on salinity can be described as follows: predicted </w:t>
      </w:r>
      <w:r w:rsidDel="00000000" w:rsidR="00000000" w:rsidRPr="00000000">
        <w:rPr>
          <w:i w:val="1"/>
          <w:color w:val="000000"/>
          <w:rtl w:val="0"/>
        </w:rPr>
        <w:t xml:space="preserve">Ptros</w:t>
      </w:r>
      <w:r w:rsidDel="00000000" w:rsidR="00000000" w:rsidRPr="00000000">
        <w:rPr>
          <w:color w:val="000000"/>
          <w:rtl w:val="0"/>
        </w:rPr>
        <w:t xml:space="preserve"> </w:t>
      </w:r>
      <w:r w:rsidDel="00000000" w:rsidR="00000000" w:rsidRPr="00000000">
        <w:rPr>
          <w:rtl w:val="0"/>
        </w:rPr>
        <w:t xml:space="preserve">decreases</w:t>
      </w:r>
      <w:r w:rsidDel="00000000" w:rsidR="00000000" w:rsidRPr="00000000">
        <w:rPr>
          <w:color w:val="000000"/>
          <w:rtl w:val="0"/>
        </w:rPr>
        <w:t xml:space="preserve"> with salinity in the range from low to </w:t>
      </w:r>
      <w:r w:rsidDel="00000000" w:rsidR="00000000" w:rsidRPr="00000000">
        <w:rPr>
          <w:rtl w:val="0"/>
        </w:rPr>
        <w:t xml:space="preserve">“</w:t>
      </w:r>
      <w:r w:rsidDel="00000000" w:rsidR="00000000" w:rsidRPr="00000000">
        <w:rPr>
          <w:color w:val="000000"/>
          <w:rtl w:val="0"/>
        </w:rPr>
        <w:t xml:space="preserve">normal</w:t>
      </w:r>
      <w:r w:rsidDel="00000000" w:rsidR="00000000" w:rsidRPr="00000000">
        <w:rPr>
          <w:rtl w:val="0"/>
        </w:rPr>
        <w:t xml:space="preserve">”</w:t>
      </w:r>
      <w:r w:rsidDel="00000000" w:rsidR="00000000" w:rsidRPr="00000000">
        <w:rPr>
          <w:color w:val="000000"/>
          <w:rtl w:val="0"/>
        </w:rPr>
        <w:t xml:space="preserve"> salinity (24 ppt in the White Sea) and </w:t>
      </w:r>
      <w:r w:rsidDel="00000000" w:rsidR="00000000" w:rsidRPr="00000000">
        <w:rPr>
          <w:rtl w:val="0"/>
        </w:rPr>
        <w:t xml:space="preserve">increases again</w:t>
      </w:r>
      <w:r w:rsidDel="00000000" w:rsidR="00000000" w:rsidRPr="00000000">
        <w:rPr>
          <w:color w:val="000000"/>
          <w:rtl w:val="0"/>
        </w:rPr>
        <w:t xml:space="preserve"> at higher salinities (up to 30 ppt) (Fig. 3, D). Besides, predicted </w:t>
      </w:r>
      <w:r w:rsidDel="00000000" w:rsidR="00000000" w:rsidRPr="00000000">
        <w:rPr>
          <w:i w:val="1"/>
          <w:color w:val="000000"/>
          <w:rtl w:val="0"/>
        </w:rPr>
        <w:t xml:space="preserve">Ptros</w:t>
      </w:r>
      <w:r w:rsidDel="00000000" w:rsidR="00000000" w:rsidRPr="00000000">
        <w:rPr>
          <w:color w:val="000000"/>
          <w:rtl w:val="0"/>
        </w:rPr>
        <w:t xml:space="preserve"> was higher near large rivers than near small ones. Finally, </w:t>
      </w:r>
      <w:r w:rsidDel="00000000" w:rsidR="00000000" w:rsidRPr="00000000">
        <w:rPr>
          <w:i w:val="1"/>
          <w:color w:val="000000"/>
          <w:rtl w:val="0"/>
        </w:rPr>
        <w:t xml:space="preserve">Ptros</w:t>
      </w:r>
      <w:r w:rsidDel="00000000" w:rsidR="00000000" w:rsidRPr="00000000">
        <w:rPr>
          <w:color w:val="000000"/>
          <w:rtl w:val="0"/>
        </w:rPr>
        <w:t xml:space="preserve"> was higher on algal substrates than on bottom ones (Fig. 1 C, D</w:t>
      </w:r>
      <w:r w:rsidDel="00000000" w:rsidR="00000000" w:rsidRPr="00000000">
        <w:rPr>
          <w:rtl w:val="0"/>
        </w:rPr>
        <w:t xml:space="preserve">;</w:t>
      </w:r>
      <w:r w:rsidDel="00000000" w:rsidR="00000000" w:rsidRPr="00000000">
        <w:rPr>
          <w:color w:val="000000"/>
          <w:rtl w:val="0"/>
        </w:rPr>
        <w:t xml:space="preserve"> Fig. 3 E, F). </w:t>
      </w:r>
      <w:r w:rsidDel="00000000" w:rsidR="00000000" w:rsidRPr="00000000">
        <w:rPr>
          <w:rtl w:val="0"/>
        </w:rPr>
        <w:t xml:space="preserve">As mentioned above, distance to the nearest river did not affect </w:t>
      </w:r>
      <w:r w:rsidDel="00000000" w:rsidR="00000000" w:rsidRPr="00000000">
        <w:rPr>
          <w:i w:val="1"/>
          <w:rtl w:val="0"/>
        </w:rPr>
        <w:t xml:space="preserve">Ptros </w:t>
      </w:r>
      <w:r w:rsidDel="00000000" w:rsidR="00000000" w:rsidRPr="00000000">
        <w:rPr>
          <w:color w:val="000000"/>
          <w:rtl w:val="0"/>
        </w:rPr>
        <w:t xml:space="preserve">(Fig 3 C)</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bookmarkStart w:colFirst="0" w:colLast="0" w:name="35nkun2" w:id="16"/>
    <w:bookmarkEnd w:id="16"/>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pPr>
      <w:r w:rsidDel="00000000" w:rsidR="00000000" w:rsidRPr="00000000">
        <w:rPr>
          <w:rtl w:val="0"/>
        </w:rPr>
        <w:t xml:space="preserve">Dependency of </w:t>
      </w:r>
      <w:r w:rsidDel="00000000" w:rsidR="00000000" w:rsidRPr="00000000">
        <w:rPr>
          <w:i w:val="1"/>
          <w:rtl w:val="0"/>
        </w:rPr>
        <w:t xml:space="preserve">Ptros</w:t>
      </w:r>
      <w:r w:rsidDel="00000000" w:rsidR="00000000" w:rsidRPr="00000000">
        <w:rPr>
          <w:rtl w:val="0"/>
        </w:rPr>
        <w:t xml:space="preserve"> on substrate and mussel abundance evaluated by Model 2 </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drawing>
          <wp:inline distB="114300" distT="114300" distL="114300" distR="114300">
            <wp:extent cx="6332220" cy="3390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222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firstLine="0"/>
        <w:rPr/>
      </w:pPr>
      <w:r w:rsidDel="00000000" w:rsidR="00000000" w:rsidRPr="00000000">
        <w:rPr>
          <w:b w:val="1"/>
          <w:rtl w:val="0"/>
        </w:rPr>
        <w:t xml:space="preserve">Figure 3. </w:t>
      </w:r>
      <w:r w:rsidDel="00000000" w:rsidR="00000000" w:rsidRPr="00000000">
        <w:rPr>
          <w:rtl w:val="0"/>
        </w:rPr>
        <w:t xml:space="preserve">The dependence of difference between proportion of </w:t>
      </w:r>
      <w:r w:rsidDel="00000000" w:rsidR="00000000" w:rsidRPr="00000000">
        <w:rPr>
          <w:i w:val="1"/>
          <w:rtl w:val="0"/>
        </w:rPr>
        <w:t xml:space="preserve">MT</w:t>
      </w:r>
      <w:r w:rsidDel="00000000" w:rsidR="00000000" w:rsidRPr="00000000">
        <w:rPr>
          <w:rtl w:val="0"/>
        </w:rPr>
        <w:t xml:space="preserve"> on algal and bottom substrates (</w:t>
      </w:r>
      <w:r w:rsidDel="00000000" w:rsidR="00000000" w:rsidRPr="00000000">
        <w:rPr>
          <w:i w:val="1"/>
          <w:rtl w:val="0"/>
        </w:rPr>
        <w:t xml:space="preserve">Diff</w:t>
      </w:r>
      <w:r w:rsidDel="00000000" w:rsidR="00000000" w:rsidRPr="00000000">
        <w:rPr>
          <w:rtl w:val="0"/>
        </w:rPr>
        <w:t xml:space="preserve">) on proportion of </w:t>
      </w:r>
      <w:r w:rsidDel="00000000" w:rsidR="00000000" w:rsidRPr="00000000">
        <w:rPr>
          <w:i w:val="1"/>
          <w:rtl w:val="0"/>
        </w:rPr>
        <w:t xml:space="preserve">MT</w:t>
      </w:r>
      <w:r w:rsidDel="00000000" w:rsidR="00000000" w:rsidRPr="00000000">
        <w:rPr>
          <w:rtl w:val="0"/>
        </w:rPr>
        <w:t xml:space="preserve"> in a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 and estimations of total abundance of </w:t>
      </w:r>
      <w:r w:rsidDel="00000000" w:rsidR="00000000" w:rsidRPr="00000000">
        <w:rPr>
          <w:i w:val="1"/>
          <w:rtl w:val="0"/>
        </w:rPr>
        <w:t xml:space="preserve">MT</w:t>
      </w:r>
      <w:r w:rsidDel="00000000" w:rsidR="00000000" w:rsidRPr="00000000">
        <w:rPr>
          <w:rtl w:val="0"/>
        </w:rPr>
        <w:t xml:space="preserve"> (B) and </w:t>
      </w:r>
      <w:r w:rsidDel="00000000" w:rsidR="00000000" w:rsidRPr="00000000">
        <w:rPr>
          <w:i w:val="1"/>
          <w:rtl w:val="0"/>
        </w:rPr>
        <w:t xml:space="preserve">ME</w:t>
      </w:r>
      <w:r w:rsidDel="00000000" w:rsidR="00000000" w:rsidRPr="00000000">
        <w:rPr>
          <w:rtl w:val="0"/>
        </w:rPr>
        <w:t xml:space="preserve"> (D). Principal components from the matrix of T- and E-morphotypes abundances on different substrates are considered as proxies for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abundances (PC1 and PC2 respectively). Points reflect partial residuals, not raw data. Colored gradient bars at the top of the figures reflect linear associations between PC1 and T-morphotype (B) and PC2 and E-morphotype abundance (C).</w:t>
      </w:r>
    </w:p>
    <w:p w:rsidR="00000000" w:rsidDel="00000000" w:rsidP="00000000" w:rsidRDefault="00000000" w:rsidRPr="00000000" w14:paraId="000000B3">
      <w:pPr>
        <w:tabs>
          <w:tab w:val="left" w:leader="none" w:pos="9923"/>
        </w:tabs>
        <w:spacing w:line="360" w:lineRule="auto"/>
        <w:ind w:right="51"/>
        <w:jc w:val="left"/>
        <w:rPr/>
      </w:pPr>
      <w:r w:rsidDel="00000000" w:rsidR="00000000" w:rsidRPr="00000000">
        <w:rPr>
          <w:rtl w:val="0"/>
        </w:rP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(Fig. 4 B, C). Thus, the abundance of conspecific morphotypes varied consistently on different substrates (see also </w:t>
      </w:r>
      <w:r w:rsidDel="00000000" w:rsidR="00000000" w:rsidRPr="00000000">
        <w:rPr>
          <w:b w:val="1"/>
          <w:rtl w:val="0"/>
        </w:rPr>
        <w:t xml:space="preserve">Fig. 1C, D)</w:t>
      </w:r>
      <w:r w:rsidDel="00000000" w:rsidR="00000000" w:rsidRPr="00000000">
        <w:rPr>
          <w:rtl w:val="0"/>
        </w:rPr>
        <w:t xml:space="preserve">. Therefore, PC1 and PC2 can be considered as proxies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abundance, respectively. </w:t>
      </w:r>
    </w:p>
    <w:p w:rsidR="00000000" w:rsidDel="00000000" w:rsidP="00000000" w:rsidRDefault="00000000" w:rsidRPr="00000000" w14:paraId="000000B4">
      <w:pPr>
        <w:tabs>
          <w:tab w:val="left" w:leader="none" w:pos="8789"/>
        </w:tabs>
        <w:spacing w:line="360" w:lineRule="auto"/>
        <w:ind w:right="38.740157480316384"/>
        <w:rPr/>
      </w:pPr>
      <w:r w:rsidDel="00000000" w:rsidR="00000000" w:rsidRPr="00000000">
        <w:rPr>
          <w:rtl w:val="0"/>
        </w:rPr>
        <w:t xml:space="preserve">Parameters of Model 2, which explained 31% of the deviance, are provided in ESM (</w:t>
      </w:r>
      <w:r w:rsidDel="00000000" w:rsidR="00000000" w:rsidRPr="00000000">
        <w:rPr>
          <w:highlight w:val="red"/>
          <w:rtl w:val="0"/>
        </w:rPr>
        <w:t xml:space="preserve">STable ++</w:t>
      </w:r>
      <w:r w:rsidDel="00000000" w:rsidR="00000000" w:rsidRPr="00000000">
        <w:rPr>
          <w:rtl w:val="0"/>
        </w:rPr>
        <w:t xml:space="preserve">).  </w:t>
      </w:r>
      <w:r w:rsidDel="00000000" w:rsidR="00000000" w:rsidRPr="00000000">
        <w:rPr>
          <w:b w:val="1"/>
          <w:rtl w:val="0"/>
        </w:rPr>
        <w:t xml:space="preserve">Figure 4</w:t>
      </w:r>
      <w:r w:rsidDel="00000000" w:rsidR="00000000" w:rsidRPr="00000000">
        <w:rPr>
          <w:rtl w:val="0"/>
        </w:rPr>
        <w:t xml:space="preserve"> demonstrates how the </w:t>
      </w:r>
      <w:r w:rsidDel="00000000" w:rsidR="00000000" w:rsidRPr="00000000">
        <w:rPr>
          <w:color w:val="000000"/>
          <w:rtl w:val="0"/>
        </w:rPr>
        <w:t xml:space="preserve">difference between</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proportion on algal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Algae</w:t>
      </w:r>
      <w:r w:rsidDel="00000000" w:rsidR="00000000" w:rsidRPr="00000000">
        <w:rPr>
          <w:color w:val="000000"/>
          <w:rtl w:val="0"/>
        </w:rPr>
        <w:t xml:space="preserve">) and bottom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Bottom</w:t>
      </w:r>
      <w:r w:rsidDel="00000000" w:rsidR="00000000" w:rsidRPr="00000000">
        <w:rPr>
          <w:color w:val="000000"/>
          <w:rtl w:val="0"/>
        </w:rPr>
        <w:t xml:space="preserve">) substrates </w:t>
      </w:r>
      <w:r w:rsidDel="00000000" w:rsidR="00000000" w:rsidRPr="00000000">
        <w:rPr>
          <w:rtl w:val="0"/>
        </w:rPr>
        <w:t xml:space="preserve">(</w:t>
      </w:r>
      <w:r w:rsidDel="00000000" w:rsidR="00000000" w:rsidRPr="00000000">
        <w:rPr>
          <w:i w:val="1"/>
          <w:rtl w:val="0"/>
        </w:rPr>
        <w:t xml:space="preserve">Dif</w:t>
      </w:r>
      <w:r w:rsidDel="00000000" w:rsidR="00000000" w:rsidRPr="00000000">
        <w:rPr>
          <w:rtl w:val="0"/>
        </w:rPr>
        <w:t xml:space="preserve">) </w:t>
      </w:r>
      <w:r w:rsidDel="00000000" w:rsidR="00000000" w:rsidRPr="00000000">
        <w:rPr>
          <w:color w:val="000000"/>
          <w:rtl w:val="0"/>
        </w:rPr>
        <w:t xml:space="preserve">depends on </w:t>
      </w:r>
      <w:r w:rsidDel="00000000" w:rsidR="00000000" w:rsidRPr="00000000">
        <w:rPr>
          <w:i w:val="1"/>
          <w:rtl w:val="0"/>
        </w:rPr>
        <w:t xml:space="preserve">MT</w:t>
      </w:r>
      <w:r w:rsidDel="00000000" w:rsidR="00000000" w:rsidRPr="00000000">
        <w:rPr>
          <w:rtl w:val="0"/>
        </w:rPr>
        <w:t xml:space="preserve"> prevalence at the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in terms of PCs according to the model. The dependence of </w:t>
      </w:r>
      <w:r w:rsidDel="00000000" w:rsidR="00000000" w:rsidRPr="00000000">
        <w:rPr>
          <w:i w:val="1"/>
          <w:rtl w:val="0"/>
        </w:rPr>
        <w:t xml:space="preserve">Diff</w:t>
      </w:r>
      <w:r w:rsidDel="00000000" w:rsidR="00000000" w:rsidRPr="00000000">
        <w:rPr>
          <w:rtl w:val="0"/>
        </w:rPr>
        <w:t xml:space="preserve">  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was significant (p &lt; 0.001, STable ++) and, expectedly, bell-shaped, with minimal values at sites absolutely dominated by </w:t>
      </w:r>
      <w:r w:rsidDel="00000000" w:rsidR="00000000" w:rsidRPr="00000000">
        <w:rPr>
          <w:i w:val="1"/>
          <w:rtl w:val="0"/>
        </w:rPr>
        <w:t xml:space="preserve">ME</w:t>
      </w:r>
      <w:r w:rsidDel="00000000" w:rsidR="00000000" w:rsidRPr="00000000">
        <w:rPr>
          <w:rtl w:val="0"/>
        </w:rPr>
        <w:t xml:space="preserve"> or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close to 0 or 1) and maximal at sites with equal presence of both species (Fig.4 A). Dependence of </w:t>
      </w:r>
      <w:r w:rsidDel="00000000" w:rsidR="00000000" w:rsidRPr="00000000">
        <w:rPr>
          <w:i w:val="1"/>
          <w:rtl w:val="0"/>
        </w:rPr>
        <w:t xml:space="preserve">Diff</w:t>
      </w:r>
      <w:r w:rsidDel="00000000" w:rsidR="00000000" w:rsidRPr="00000000">
        <w:rPr>
          <w:rtl w:val="0"/>
        </w:rPr>
        <w:t xml:space="preserve">  on PC1 was marginally significant (p = 0.087) and tended to decrease with increasing PC1 (Fig.4 B). The dependence of </w:t>
      </w:r>
      <w:r w:rsidDel="00000000" w:rsidR="00000000" w:rsidRPr="00000000">
        <w:rPr>
          <w:i w:val="1"/>
          <w:rtl w:val="0"/>
        </w:rPr>
        <w:t xml:space="preserve">Diff</w:t>
      </w:r>
      <w:r w:rsidDel="00000000" w:rsidR="00000000" w:rsidRPr="00000000">
        <w:rPr>
          <w:rtl w:val="0"/>
        </w:rPr>
        <w:t xml:space="preserve">  on PC2 was significantly positive (p = 0.011, STable ++) (Fig.4 C). This means that the species were strongly segregated by substrates at sites with a high </w:t>
      </w:r>
      <w:r w:rsidDel="00000000" w:rsidR="00000000" w:rsidRPr="00000000">
        <w:rPr>
          <w:i w:val="1"/>
          <w:rtl w:val="0"/>
        </w:rPr>
        <w:t xml:space="preserve">ME </w:t>
      </w:r>
      <w:r w:rsidDel="00000000" w:rsidR="00000000" w:rsidRPr="00000000">
        <w:rPr>
          <w:rtl w:val="0"/>
        </w:rPr>
        <w:t xml:space="preserve">abundance but not at sites with a high </w:t>
      </w:r>
      <w:r w:rsidDel="00000000" w:rsidR="00000000" w:rsidRPr="00000000">
        <w:rPr>
          <w:i w:val="1"/>
          <w:rtl w:val="0"/>
        </w:rPr>
        <w:t xml:space="preserve">MT </w:t>
      </w:r>
      <w:r w:rsidDel="00000000" w:rsidR="00000000" w:rsidRPr="00000000">
        <w:rPr>
          <w:rtl w:val="0"/>
        </w:rPr>
        <w:t xml:space="preserve">abundance. </w:t>
      </w:r>
    </w:p>
    <w:bookmarkStart w:colFirst="0" w:colLast="0" w:name="1ksv4uv" w:id="17"/>
    <w:bookmarkEnd w:id="17"/>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Assessment of predictive power of Model 1</w:t>
      </w:r>
    </w:p>
    <w:p w:rsidR="00000000" w:rsidDel="00000000" w:rsidP="00000000" w:rsidRDefault="00000000" w:rsidRPr="00000000" w14:paraId="000000B6">
      <w:pPr>
        <w:tabs>
          <w:tab w:val="left" w:leader="none" w:pos="8789"/>
        </w:tabs>
        <w:spacing w:line="360" w:lineRule="auto"/>
        <w:ind w:right="1185"/>
        <w:rPr/>
      </w:pPr>
      <w:r w:rsidDel="00000000" w:rsidR="00000000" w:rsidRPr="00000000">
        <w:rPr/>
        <w:drawing>
          <wp:inline distB="114300" distT="114300" distL="114300" distR="114300">
            <wp:extent cx="6332220" cy="476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3222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38.740157480316384"/>
        <w:rPr/>
      </w:pPr>
      <w:r w:rsidDel="00000000" w:rsidR="00000000" w:rsidRPr="00000000">
        <w:rPr>
          <w:b w:val="1"/>
          <w:rtl w:val="0"/>
        </w:rPr>
        <w:t xml:space="preserve">Figure 4.</w:t>
      </w:r>
      <w:r w:rsidDel="00000000" w:rsidR="00000000" w:rsidRPr="00000000">
        <w:rPr>
          <w:rtl w:val="0"/>
        </w:rPr>
        <w:t xml:space="preserve"> Ability of SDM (Model 1) to predict proportion of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in mussel samples from the modeling (A) and the testing data sets (B-D). Each plot compares empirical </w:t>
      </w:r>
      <w:r w:rsidDel="00000000" w:rsidR="00000000" w:rsidRPr="00000000">
        <w:rPr>
          <w:i w:val="1"/>
          <w:rtl w:val="0"/>
        </w:rPr>
        <w:t xml:space="preserve">Ptros</w:t>
      </w:r>
      <w:r w:rsidDel="00000000" w:rsidR="00000000" w:rsidRPr="00000000">
        <w:rPr>
          <w:rtl w:val="0"/>
        </w:rPr>
        <w:t xml:space="preserve"> in samples from algal and bottom substrates and </w:t>
      </w:r>
      <w:r w:rsidDel="00000000" w:rsidR="00000000" w:rsidRPr="00000000">
        <w:rPr>
          <w:i w:val="1"/>
          <w:rtl w:val="0"/>
        </w:rPr>
        <w:t xml:space="preserve">Ptros</w:t>
      </w:r>
      <w:r w:rsidDel="00000000" w:rsidR="00000000" w:rsidRPr="00000000">
        <w:rPr>
          <w:rtl w:val="0"/>
        </w:rPr>
        <w:t xml:space="preserve"> predicted by the model within the particular data set. If the empirical and the predicted values were the same, the points would lie on the diagonal (dashed line). Solid lines delineate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-dominated samples on each axis. Labels mark the quadrants with false positive (FP), true positive (TP), true negative (TN) and false negative (FN) predictions in the analysis of the ability of the model to classify samples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-dominated ones. Dataset names are shown in chart headers.</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The ability of </w:t>
      </w:r>
      <w:r w:rsidDel="00000000" w:rsidR="00000000" w:rsidRPr="00000000">
        <w:rPr>
          <w:rtl w:val="0"/>
        </w:rPr>
        <w:t xml:space="preserve">M</w:t>
      </w:r>
      <w:r w:rsidDel="00000000" w:rsidR="00000000" w:rsidRPr="00000000">
        <w:rPr>
          <w:color w:val="000000"/>
          <w:rtl w:val="0"/>
        </w:rPr>
        <w:t xml:space="preserve">odel 1 to classify </w:t>
      </w:r>
      <w:r w:rsidDel="00000000" w:rsidR="00000000" w:rsidRPr="00000000">
        <w:rPr>
          <w:rtl w:val="0"/>
        </w:rPr>
        <w:t xml:space="preserve">samples </w:t>
      </w:r>
      <w:r w:rsidDel="00000000" w:rsidR="00000000" w:rsidRPr="00000000">
        <w:rPr>
          <w:color w:val="000000"/>
          <w:rtl w:val="0"/>
        </w:rPr>
        <w:t xml:space="preserve">into </w:t>
      </w:r>
      <w:r w:rsidDel="00000000" w:rsidR="00000000" w:rsidRPr="00000000">
        <w:rPr>
          <w:i w:val="1"/>
          <w:color w:val="000000"/>
          <w:rtl w:val="0"/>
        </w:rPr>
        <w:t xml:space="preserve">ME</w:t>
      </w:r>
      <w:r w:rsidDel="00000000" w:rsidR="00000000" w:rsidRPr="00000000">
        <w:rPr>
          <w:color w:val="000000"/>
          <w:rtl w:val="0"/>
        </w:rPr>
        <w:t xml:space="preserve">- and</w:t>
      </w:r>
      <w:r w:rsidDel="00000000" w:rsidR="00000000" w:rsidRPr="00000000">
        <w:rPr>
          <w:i w:val="1"/>
          <w:color w:val="000000"/>
          <w:rtl w:val="0"/>
        </w:rPr>
        <w:t xml:space="preserve"> MT</w:t>
      </w:r>
      <w:r w:rsidDel="00000000" w:rsidR="00000000" w:rsidRPr="00000000">
        <w:rPr>
          <w:color w:val="000000"/>
          <w:rtl w:val="0"/>
        </w:rPr>
        <w:t xml:space="preserve">-dominated ones was good for the “Kandalaksha littoral” testing dataset (AUC=0.8</w:t>
      </w:r>
      <w:r w:rsidDel="00000000" w:rsidR="00000000" w:rsidRPr="00000000">
        <w:rPr>
          <w:rtl w:val="0"/>
        </w:rPr>
        <w:t xml:space="preserve">4</w:t>
      </w:r>
      <w:r w:rsidDel="00000000" w:rsidR="00000000" w:rsidRPr="00000000">
        <w:rPr>
          <w:color w:val="000000"/>
          <w:rtl w:val="0"/>
        </w:rPr>
        <w:t xml:space="preserve"> vs AUC=0.85 for modeling dataset), with only a few false negatives (i.e. sites unpredictably dominated by </w:t>
      </w:r>
      <w:r w:rsidDel="00000000" w:rsidR="00000000" w:rsidRPr="00000000">
        <w:rPr>
          <w:i w:val="1"/>
          <w:color w:val="000000"/>
          <w:rtl w:val="0"/>
        </w:rPr>
        <w:t xml:space="preserve">MT</w:t>
      </w:r>
      <w:r w:rsidDel="00000000" w:rsidR="00000000" w:rsidRPr="00000000">
        <w:rPr>
          <w:color w:val="000000"/>
          <w:rtl w:val="0"/>
        </w:rPr>
        <w:t xml:space="preserve">) (Fig. 5</w:t>
      </w:r>
      <w:r w:rsidDel="00000000" w:rsidR="00000000" w:rsidRPr="00000000">
        <w:rPr>
          <w:rtl w:val="0"/>
        </w:rPr>
        <w:t xml:space="preserve"> </w:t>
      </w:r>
      <w:r w:rsidDel="00000000" w:rsidR="00000000" w:rsidRPr="00000000">
        <w:rPr>
          <w:color w:val="000000"/>
          <w:rtl w:val="0"/>
        </w:rPr>
        <w:t xml:space="preserve">A, B). Predictive value of the model for the two testing sets from the Barents Sea was lower, although not fatally so: AUC = 0.71 for “Tyuva littoral” and AUC=0.</w:t>
      </w:r>
      <w:r w:rsidDel="00000000" w:rsidR="00000000" w:rsidRPr="00000000">
        <w:rPr>
          <w:rtl w:val="0"/>
        </w:rPr>
        <w:t xml:space="preserve">69</w:t>
      </w:r>
      <w:r w:rsidDel="00000000" w:rsidR="00000000" w:rsidRPr="00000000">
        <w:rPr>
          <w:color w:val="000000"/>
          <w:rtl w:val="0"/>
        </w:rPr>
        <w:t xml:space="preserve"> for “Tyuva sublittoral”. Unlike the “Kandalaksha littoral” testing dataset, most false results were </w:t>
      </w:r>
      <w:r w:rsidDel="00000000" w:rsidR="00000000" w:rsidRPr="00000000">
        <w:rPr>
          <w:rtl w:val="0"/>
        </w:rPr>
        <w:t xml:space="preserve">positive, </w:t>
      </w:r>
      <w:r w:rsidDel="00000000" w:rsidR="00000000" w:rsidRPr="00000000">
        <w:rPr>
          <w:color w:val="000000"/>
          <w:rtl w:val="0"/>
        </w:rPr>
        <w:t xml:space="preserve">i.e., the model </w:t>
      </w:r>
      <w:r w:rsidDel="00000000" w:rsidR="00000000" w:rsidRPr="00000000">
        <w:rPr>
          <w:rtl w:val="0"/>
        </w:rPr>
        <w:t xml:space="preserve">overestimated</w:t>
      </w:r>
      <w:r w:rsidDel="00000000" w:rsidR="00000000" w:rsidRPr="00000000">
        <w:rPr>
          <w:color w:val="000000"/>
          <w:rtl w:val="0"/>
        </w:rPr>
        <w:t xml:space="preserve"> </w:t>
      </w:r>
      <w:r w:rsidDel="00000000" w:rsidR="00000000" w:rsidRPr="00000000">
        <w:rPr>
          <w:i w:val="1"/>
          <w:color w:val="000000"/>
          <w:rtl w:val="0"/>
        </w:rPr>
        <w:t xml:space="preserve">Ptros</w:t>
      </w:r>
      <w:r w:rsidDel="00000000" w:rsidR="00000000" w:rsidRPr="00000000">
        <w:rPr>
          <w:color w:val="000000"/>
          <w:rtl w:val="0"/>
        </w:rPr>
        <w:t xml:space="preserve"> more often. </w:t>
      </w:r>
    </w:p>
    <w:bookmarkStart w:colFirst="0" w:colLast="0" w:name="44sinio" w:id="18"/>
    <w:bookmarkEnd w:id="18"/>
    <w:p w:rsidR="00000000" w:rsidDel="00000000" w:rsidP="00000000" w:rsidRDefault="00000000" w:rsidRPr="00000000" w14:paraId="000000B9">
      <w:pPr>
        <w:pStyle w:val="Heading2"/>
        <w:tabs>
          <w:tab w:val="left" w:leader="none" w:pos="8789"/>
        </w:tabs>
        <w:spacing w:line="360" w:lineRule="auto"/>
        <w:ind w:right="1185"/>
        <w:rPr/>
      </w:pPr>
      <w:r w:rsidDel="00000000" w:rsidR="00000000" w:rsidRPr="00000000">
        <w:rPr>
          <w:rtl w:val="0"/>
        </w:rPr>
        <w:t xml:space="preserve">Discussion </w:t>
      </w:r>
    </w:p>
    <w:p w:rsidR="00000000" w:rsidDel="00000000" w:rsidP="00000000" w:rsidRDefault="00000000" w:rsidRPr="00000000" w14:paraId="000000BA">
      <w:pPr>
        <w:tabs>
          <w:tab w:val="left" w:leader="none" w:pos="9923"/>
        </w:tabs>
        <w:spacing w:line="360" w:lineRule="auto"/>
        <w:ind w:right="51" w:firstLine="0"/>
        <w:jc w:val="left"/>
        <w:rPr/>
      </w:pPr>
      <w:r w:rsidDel="00000000" w:rsidR="00000000" w:rsidRPr="00000000">
        <w:rPr>
          <w:rtl w:val="0"/>
        </w:rPr>
        <w:t xml:space="preserve">Having applied the SDM approach to an unprecedentedly extensive material, we demonstrated that </w:t>
      </w:r>
      <w:r w:rsidDel="00000000" w:rsidR="00000000" w:rsidRPr="00000000">
        <w:rPr>
          <w:strike w:val="1"/>
          <w:highlight w:val="yellow"/>
          <w:rtl w:val="0"/>
        </w:rPr>
        <w:t xml:space="preserve">each of the</w:t>
      </w:r>
      <w:r w:rsidDel="00000000" w:rsidR="00000000" w:rsidRPr="00000000">
        <w:rPr>
          <w:rtl w:val="0"/>
        </w:rPr>
        <w:t xml:space="preserve"> </w:t>
      </w:r>
      <w:r w:rsidDel="00000000" w:rsidR="00000000" w:rsidRPr="00000000">
        <w:rPr>
          <w:highlight w:val="cyan"/>
          <w:rtl w:val="0"/>
        </w:rPr>
        <w:t xml:space="preserve">nearly all</w:t>
      </w:r>
      <w:r w:rsidDel="00000000" w:rsidR="00000000" w:rsidRPr="00000000">
        <w:rPr>
          <w:rtl w:val="0"/>
        </w:rPr>
        <w:t xml:space="preserve"> environmental predictors considered in our study—namely, surf level, distance to the port, status of the port (active vs abandoned), salinity at low tide, size of the nearest river and fouling substrate (fucoid algae vs bottom substrates)—influenced the distribution of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in the White Sea. The differences in the distribution, evident at scales ranging from meters to tens of kilometers, reflected the partial divergence of ecological niches of these two species. </w:t>
      </w:r>
      <w:r w:rsidDel="00000000" w:rsidR="00000000" w:rsidRPr="00000000">
        <w:rPr>
          <w:rtl w:val="0"/>
        </w:rPr>
      </w:r>
    </w:p>
    <w:p w:rsidR="00000000" w:rsidDel="00000000" w:rsidP="00000000" w:rsidRDefault="00000000" w:rsidRPr="00000000" w14:paraId="000000BB">
      <w:pPr>
        <w:tabs>
          <w:tab w:val="left" w:leader="none" w:pos="9923"/>
        </w:tabs>
        <w:spacing w:line="360" w:lineRule="auto"/>
        <w:ind w:right="51" w:firstLine="0"/>
        <w:jc w:val="left"/>
        <w:rPr/>
      </w:pPr>
      <w:r w:rsidDel="00000000" w:rsidR="00000000" w:rsidRPr="00000000">
        <w:rPr>
          <w:rtl w:val="0"/>
        </w:rPr>
        <w:t xml:space="preserve">Below we discuss the species adaptations possibly underlying the patterns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against different predictors. Then we consider the possible role of competition in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 </w:t>
      </w:r>
      <w:r w:rsidDel="00000000" w:rsidR="00000000" w:rsidRPr="00000000">
        <w:rPr>
          <w:rtl w:val="0"/>
        </w:rPr>
      </w:r>
    </w:p>
    <w:p w:rsidR="00000000" w:rsidDel="00000000" w:rsidP="00000000" w:rsidRDefault="00000000" w:rsidRPr="00000000" w14:paraId="000000BC">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 </w:t>
      </w:r>
      <w:r w:rsidDel="00000000" w:rsidR="00000000" w:rsidRPr="00000000">
        <w:rPr>
          <w:b w:val="1"/>
          <w:rtl w:val="0"/>
        </w:rPr>
        <w:t xml:space="preserve">in the Kola contact zone</w:t>
      </w:r>
    </w:p>
    <w:p w:rsidR="00000000" w:rsidDel="00000000" w:rsidP="00000000" w:rsidRDefault="00000000" w:rsidRPr="00000000" w14:paraId="000000BD">
      <w:pPr>
        <w:tabs>
          <w:tab w:val="left" w:leader="none" w:pos="9923"/>
        </w:tabs>
        <w:spacing w:line="360" w:lineRule="auto"/>
        <w:ind w:right="51" w:firstLine="0"/>
        <w:jc w:val="left"/>
        <w:rPr/>
      </w:pPr>
      <w:r w:rsidDel="00000000" w:rsidR="00000000" w:rsidRPr="00000000">
        <w:rPr>
          <w:rtl w:val="0"/>
        </w:rPr>
        <w:t xml:space="preserve">Our results show that the most expected habitat for </w:t>
      </w:r>
      <w:r w:rsidDel="00000000" w:rsidR="00000000" w:rsidRPr="00000000">
        <w:rPr>
          <w:i w:val="1"/>
          <w:rtl w:val="0"/>
        </w:rPr>
        <w:t xml:space="preserve">ME</w:t>
      </w:r>
      <w:r w:rsidDel="00000000" w:rsidR="00000000" w:rsidRPr="00000000">
        <w:rPr>
          <w:rtl w:val="0"/>
        </w:rPr>
        <w:t xml:space="preserve"> in the White Sea littoral is a bottom substrate in a surf-exposed location with a “normal” surface salinity for the White Sea (24 ppt) situated away from ports and large rivers. The most expected habitat for </w:t>
      </w:r>
      <w:r w:rsidDel="00000000" w:rsidR="00000000" w:rsidRPr="00000000">
        <w:rPr>
          <w:i w:val="1"/>
          <w:rtl w:val="0"/>
        </w:rPr>
        <w:t xml:space="preserve">MT</w:t>
      </w:r>
      <w:r w:rsidDel="00000000" w:rsidR="00000000" w:rsidRPr="00000000">
        <w:rPr>
          <w:rtl w:val="0"/>
        </w:rPr>
        <w:t xml:space="preserve"> is an algal substrate in a wind-protected location with a lower-than-“normal” salinity situated close to active ports and large rivers. Only the differences related to ports and substrates have been previously noted in the White Sea (</w:t>
      </w:r>
      <w:r w:rsidDel="00000000" w:rsidR="00000000" w:rsidRPr="00000000">
        <w:rPr>
          <w:rtl w:val="0"/>
        </w:rPr>
        <w:t xml:space="preserve">Väinölä, Strelkov 2011; Katolikova et al. 2016</w:t>
      </w:r>
      <w:r w:rsidDel="00000000" w:rsidR="00000000" w:rsidRPr="00000000">
        <w:rPr>
          <w:rtl w:val="0"/>
        </w:rPr>
        <w:t xml:space="preserve">).</w:t>
      </w:r>
    </w:p>
    <w:p w:rsidR="00000000" w:rsidDel="00000000" w:rsidP="00000000" w:rsidRDefault="00000000" w:rsidRPr="00000000" w14:paraId="000000BE">
      <w:pPr>
        <w:tabs>
          <w:tab w:val="left" w:leader="none" w:pos="9923"/>
        </w:tabs>
        <w:spacing w:line="360" w:lineRule="auto"/>
        <w:ind w:right="51" w:firstLine="0"/>
        <w:jc w:val="left"/>
        <w:rPr>
          <w:strike w:val="1"/>
          <w:highlight w:val="cyan"/>
        </w:rPr>
      </w:pPr>
      <w:r w:rsidDel="00000000" w:rsidR="00000000" w:rsidRPr="00000000">
        <w:rPr>
          <w:i w:val="1"/>
          <w:rtl w:val="0"/>
        </w:rPr>
        <w:t xml:space="preserve">Segregation by salinity</w:t>
      </w:r>
      <w:r w:rsidDel="00000000" w:rsidR="00000000" w:rsidRPr="00000000">
        <w:rPr>
          <w:rtl w:val="0"/>
        </w:rPr>
        <w:t xml:space="preserve">. In the Baltic </w:t>
      </w:r>
      <w:r w:rsidDel="00000000" w:rsidR="00000000" w:rsidRPr="00000000">
        <w:rPr>
          <w:highlight w:val="cyan"/>
          <w:rtl w:val="0"/>
        </w:rPr>
        <w:t xml:space="preserve">Sea </w:t>
      </w:r>
      <w:r w:rsidDel="00000000" w:rsidR="00000000" w:rsidRPr="00000000">
        <w:rPr>
          <w:i w:val="1"/>
          <w:rtl w:val="0"/>
        </w:rPr>
        <w:t xml:space="preserve">MT</w:t>
      </w:r>
      <w:r w:rsidDel="00000000" w:rsidR="00000000" w:rsidRPr="00000000">
        <w:rPr>
          <w:rtl w:val="0"/>
        </w:rPr>
        <w:t xml:space="preserve"> is adapted to an extremely low salinity</w:t>
      </w:r>
      <w:r w:rsidDel="00000000" w:rsidR="00000000" w:rsidRPr="00000000">
        <w:rPr>
          <w:strike w:val="1"/>
          <w:rtl w:val="0"/>
        </w:rPr>
        <w:t xml:space="preserve"> (</w:t>
      </w:r>
      <w:r w:rsidDel="00000000" w:rsidR="00000000" w:rsidRPr="00000000">
        <w:rPr>
          <w:strike w:val="1"/>
          <w:highlight w:val="red"/>
          <w:rtl w:val="0"/>
        </w:rPr>
        <w:t xml:space="preserve">REF +++</w:t>
      </w:r>
      <w:r w:rsidDel="00000000" w:rsidR="00000000" w:rsidRPr="00000000">
        <w:rPr>
          <w:strike w:val="1"/>
          <w:rtl w:val="0"/>
        </w:rPr>
        <w:t xml:space="preserve">)</w:t>
      </w:r>
      <w:r w:rsidDel="00000000" w:rsidR="00000000" w:rsidRPr="00000000">
        <w:rPr>
          <w:rtl w:val="0"/>
        </w:rPr>
        <w:t xml:space="preserve">, as also confirmed by ecophysiological data (</w:t>
      </w:r>
      <w:r w:rsidDel="00000000" w:rsidR="00000000" w:rsidRPr="00000000">
        <w:rPr>
          <w:color w:val="282828"/>
          <w:highlight w:val="green"/>
          <w:rtl w:val="0"/>
        </w:rPr>
        <w:t xml:space="preserve">Knöbel et al. 2021 and references </w:t>
      </w:r>
      <w:commentRangeStart w:id="10"/>
      <w:r w:rsidDel="00000000" w:rsidR="00000000" w:rsidRPr="00000000">
        <w:rPr>
          <w:color w:val="282828"/>
          <w:highlight w:val="green"/>
          <w:rtl w:val="0"/>
        </w:rPr>
        <w:t xml:space="preserve">therein</w:t>
      </w:r>
      <w:commentRangeEnd w:id="10"/>
      <w:r w:rsidDel="00000000" w:rsidR="00000000" w:rsidRPr="00000000">
        <w:commentReference w:id="10"/>
      </w:r>
      <w:r w:rsidDel="00000000" w:rsidR="00000000" w:rsidRPr="00000000">
        <w:rPr>
          <w:rtl w:val="0"/>
        </w:rPr>
        <w:t xml:space="preserve">). Comparative ecophysiological data on</w:t>
      </w:r>
      <w:r w:rsidDel="00000000" w:rsidR="00000000" w:rsidRPr="00000000">
        <w:rPr>
          <w:i w:val="1"/>
          <w:rtl w:val="0"/>
        </w:rPr>
        <w:t xml:space="preserve"> 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elsewhere are inconclusive (</w:t>
      </w:r>
      <w:r w:rsidDel="00000000" w:rsidR="00000000" w:rsidRPr="00000000">
        <w:rPr>
          <w:highlight w:val="green"/>
          <w:rtl w:val="0"/>
        </w:rPr>
        <w:t xml:space="preserve">Gardner &amp; Thompson 2001; Qiu et al., 2002; Sokolova et al. 2024</w:t>
      </w:r>
      <w:r w:rsidDel="00000000" w:rsidR="00000000" w:rsidRPr="00000000">
        <w:rPr>
          <w:rtl w:val="0"/>
        </w:rPr>
        <w:t xml:space="preserve">). Before our study, there has been no convincing evidence of segregation of these species by salinity in contact zones outside the Baltic, in particular, in the Kola zone (</w:t>
      </w:r>
      <w:r w:rsidDel="00000000" w:rsidR="00000000" w:rsidRPr="00000000">
        <w:rPr>
          <w:color w:val="222222"/>
          <w:highlight w:val="green"/>
          <w:rtl w:val="0"/>
        </w:rPr>
        <w:t xml:space="preserve">Moreau et al. 2005</w:t>
      </w:r>
      <w:r w:rsidDel="00000000" w:rsidR="00000000" w:rsidRPr="00000000">
        <w:rPr>
          <w:color w:val="222222"/>
          <w:rtl w:val="0"/>
        </w:rPr>
        <w:t xml:space="preserve">; </w:t>
      </w:r>
      <w:r w:rsidDel="00000000" w:rsidR="00000000" w:rsidRPr="00000000">
        <w:rPr>
          <w:color w:val="222222"/>
          <w:rtl w:val="0"/>
        </w:rPr>
        <w:t xml:space="preserve">Riginos, Cunningham 2005;</w:t>
      </w:r>
      <w:r w:rsidDel="00000000" w:rsidR="00000000" w:rsidRPr="00000000">
        <w:rPr>
          <w:color w:val="222222"/>
          <w:highlight w:val="red"/>
          <w:rtl w:val="0"/>
        </w:rPr>
        <w:t xml:space="preserve"> </w:t>
      </w:r>
      <w:r w:rsidDel="00000000" w:rsidR="00000000" w:rsidRPr="00000000">
        <w:rPr>
          <w:rtl w:val="0"/>
        </w:rPr>
        <w:t xml:space="preserve">Katolikova et al. 2016; Marchenko et al. 2023</w:t>
      </w:r>
      <w:r w:rsidDel="00000000" w:rsidR="00000000" w:rsidRPr="00000000">
        <w:rPr>
          <w:rtl w:val="0"/>
        </w:rPr>
        <w:t xml:space="preserve">). For the White Sea, this lack of evidence could be due to at least three reasons. Firstly, the role of salinity in species segregation may be masked by other important factors. </w:t>
      </w:r>
      <w:r w:rsidDel="00000000" w:rsidR="00000000" w:rsidRPr="00000000">
        <w:rPr>
          <w:rtl w:val="0"/>
        </w:rPr>
        <w:t xml:space="preserve">Secondly, the range of salinity in mussel habitats in the </w:t>
      </w:r>
      <w:r w:rsidDel="00000000" w:rsidR="00000000" w:rsidRPr="00000000">
        <w:rPr>
          <w:highlight w:val="cyan"/>
          <w:rtl w:val="0"/>
        </w:rPr>
        <w:t xml:space="preserve">White Sea </w:t>
      </w:r>
      <w:r w:rsidDel="00000000" w:rsidR="00000000" w:rsidRPr="00000000">
        <w:rPr>
          <w:rtl w:val="0"/>
        </w:rPr>
        <w:t xml:space="preserve">is relatively narrow as compared to the Baltic Sea. </w:t>
      </w:r>
      <w:r w:rsidDel="00000000" w:rsidR="00000000" w:rsidRPr="00000000">
        <w:rPr>
          <w:strike w:val="1"/>
          <w:highlight w:val="cyan"/>
          <w:rtl w:val="0"/>
        </w:rPr>
        <w:t xml:space="preserve">These two reasons might also explain the vague relationship between species segregation and salinity in other contact zones. </w:t>
      </w:r>
    </w:p>
    <w:p w:rsidR="00000000" w:rsidDel="00000000" w:rsidP="00000000" w:rsidRDefault="00000000" w:rsidRPr="00000000" w14:paraId="000000BF">
      <w:pPr>
        <w:tabs>
          <w:tab w:val="left" w:leader="none" w:pos="9923"/>
        </w:tabs>
        <w:spacing w:line="360" w:lineRule="auto"/>
        <w:ind w:right="51" w:firstLine="0"/>
        <w:jc w:val="left"/>
        <w:rPr/>
      </w:pPr>
      <w:r w:rsidDel="00000000" w:rsidR="00000000" w:rsidRPr="00000000">
        <w:rPr>
          <w:rtl w:val="0"/>
        </w:rPr>
        <w:t xml:space="preserve">The third reason is the curvilinear dependence of the proportion of </w:t>
      </w:r>
      <w:r w:rsidDel="00000000" w:rsidR="00000000" w:rsidRPr="00000000">
        <w:rPr>
          <w:i w:val="1"/>
          <w:rtl w:val="0"/>
        </w:rPr>
        <w:t xml:space="preserve">MT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on salinity: </w:t>
      </w:r>
      <w:r w:rsidDel="00000000" w:rsidR="00000000" w:rsidRPr="00000000">
        <w:rPr>
          <w:i w:val="1"/>
          <w:rtl w:val="0"/>
        </w:rPr>
        <w:t xml:space="preserve">Ptros </w:t>
      </w:r>
      <w:r w:rsidDel="00000000" w:rsidR="00000000" w:rsidRPr="00000000">
        <w:rPr>
          <w:rtl w:val="0"/>
        </w:rPr>
        <w:t xml:space="preserve">increases not only when the salinity is reduced but also when it is extremely high for the White Sea (up to 30 ppt, </w:t>
      </w:r>
      <w:r w:rsidDel="00000000" w:rsidR="00000000" w:rsidRPr="00000000">
        <w:rPr>
          <w:b w:val="1"/>
          <w:rtl w:val="0"/>
        </w:rPr>
        <w:t xml:space="preserve">Fig. 2D</w:t>
      </w:r>
      <w:r w:rsidDel="00000000" w:rsidR="00000000" w:rsidRPr="00000000">
        <w:rPr>
          <w:rtl w:val="0"/>
        </w:rPr>
        <w:t xml:space="preserve">). This nonlinearity, which may prevent the dependence from being detected, can be explained in two ways. On the one hand, local summer surface salinity above 24 ppt in the Kandalaksha Bay, supposedly associated with irregular episodes of upwelling (</w:t>
      </w:r>
      <w:r w:rsidDel="00000000" w:rsidR="00000000" w:rsidRPr="00000000">
        <w:rPr>
          <w:highlight w:val="green"/>
          <w:rtl w:val="0"/>
        </w:rPr>
        <w:t xml:space="preserve">Dale &amp; Prego 2003</w:t>
      </w:r>
      <w:r w:rsidDel="00000000" w:rsidR="00000000" w:rsidRPr="00000000">
        <w:rPr>
          <w:rtl w:val="0"/>
        </w:rPr>
        <w:t xml:space="preserve">), may be a nonspecific stress for littoral animals adapted to lower salinity, while </w:t>
      </w:r>
      <w:r w:rsidDel="00000000" w:rsidR="00000000" w:rsidRPr="00000000">
        <w:rPr>
          <w:i w:val="1"/>
          <w:rtl w:val="0"/>
        </w:rPr>
        <w:t xml:space="preserve">MT</w:t>
      </w:r>
      <w:r w:rsidDel="00000000" w:rsidR="00000000" w:rsidRPr="00000000">
        <w:rPr>
          <w:rtl w:val="0"/>
        </w:rPr>
        <w:t xml:space="preserve"> can tolerate it better</w:t>
      </w:r>
      <w:r w:rsidDel="00000000" w:rsidR="00000000" w:rsidRPr="00000000">
        <w:rPr>
          <w:highlight w:val="cyan"/>
          <w:rtl w:val="0"/>
        </w:rPr>
        <w:t xml:space="preserve"> being more opportunistic species </w:t>
      </w:r>
      <w:r w:rsidDel="00000000" w:rsidR="00000000" w:rsidRPr="00000000">
        <w:rPr>
          <w:rtl w:val="0"/>
        </w:rPr>
        <w:t xml:space="preserve"> (</w:t>
      </w:r>
      <w:r w:rsidDel="00000000" w:rsidR="00000000" w:rsidRPr="00000000">
        <w:rPr>
          <w:rtl w:val="0"/>
        </w:rPr>
        <w:t xml:space="preserve">Katolikova et al. 2016</w:t>
      </w:r>
      <w:r w:rsidDel="00000000" w:rsidR="00000000" w:rsidRPr="00000000">
        <w:rPr>
          <w:rtl w:val="0"/>
        </w:rPr>
        <w:t xml:space="preserve">, see also below). On the other hand, as shown in detailed studies at the Barents Sea (</w:t>
      </w:r>
      <w:r w:rsidDel="00000000" w:rsidR="00000000" w:rsidRPr="00000000">
        <w:rPr>
          <w:highlight w:val="green"/>
          <w:rtl w:val="0"/>
        </w:rPr>
        <w:t xml:space="preserve">Khaitov et al. 2021, </w:t>
      </w:r>
      <w:r w:rsidDel="00000000" w:rsidR="00000000" w:rsidRPr="00000000">
        <w:rPr>
          <w:rtl w:val="0"/>
        </w:rPr>
        <w:t xml:space="preserve">Marchenko et al. 2023</w:t>
      </w:r>
      <w:r w:rsidDel="00000000" w:rsidR="00000000" w:rsidRPr="00000000">
        <w:rPr>
          <w:rtl w:val="0"/>
        </w:rPr>
        <w:t xml:space="preserve">), the method of predicting </w:t>
      </w:r>
      <w:r w:rsidDel="00000000" w:rsidR="00000000" w:rsidRPr="00000000">
        <w:rPr>
          <w:i w:val="1"/>
          <w:rtl w:val="0"/>
        </w:rPr>
        <w:t xml:space="preserve">Ptros </w:t>
      </w:r>
      <w:r w:rsidDel="00000000" w:rsidR="00000000" w:rsidRPr="00000000">
        <w:rPr>
          <w:rtl w:val="0"/>
        </w:rPr>
        <w:t xml:space="preserve">(“morphotype test”) used in our study may slightly overestimate it at salinities close to 30 ppt. Therefore, we cannot rule out the possibility that the increased </w:t>
      </w:r>
      <w:r w:rsidDel="00000000" w:rsidR="00000000" w:rsidRPr="00000000">
        <w:rPr>
          <w:i w:val="1"/>
          <w:rtl w:val="0"/>
        </w:rPr>
        <w:t xml:space="preserve">Ptros </w:t>
      </w:r>
      <w:r w:rsidDel="00000000" w:rsidR="00000000" w:rsidRPr="00000000">
        <w:rPr>
          <w:rtl w:val="0"/>
        </w:rPr>
        <w:t xml:space="preserve">at sites with a high salinity is an artifact. </w:t>
      </w:r>
    </w:p>
    <w:p w:rsidR="00000000" w:rsidDel="00000000" w:rsidP="00000000" w:rsidRDefault="00000000" w:rsidRPr="00000000" w14:paraId="000000C0">
      <w:pPr>
        <w:tabs>
          <w:tab w:val="left" w:leader="none" w:pos="9923"/>
        </w:tabs>
        <w:spacing w:line="360" w:lineRule="auto"/>
        <w:ind w:right="51" w:firstLine="0"/>
        <w:jc w:val="left"/>
        <w:rPr/>
      </w:pPr>
      <w:r w:rsidDel="00000000" w:rsidR="00000000" w:rsidRPr="00000000">
        <w:rPr>
          <w:i w:val="1"/>
          <w:rtl w:val="0"/>
        </w:rPr>
        <w:t xml:space="preserve">Non-random distribution depending on distance to ports. </w:t>
      </w:r>
      <w:r w:rsidDel="00000000" w:rsidR="00000000" w:rsidRPr="00000000">
        <w:rPr>
          <w:rtl w:val="0"/>
        </w:rPr>
        <w:t xml:space="preserve">It has been suggested that the confinement of </w:t>
      </w:r>
      <w:r w:rsidDel="00000000" w:rsidR="00000000" w:rsidRPr="00000000">
        <w:rPr>
          <w:i w:val="1"/>
          <w:rtl w:val="0"/>
        </w:rPr>
        <w:t xml:space="preserve">MT </w:t>
      </w:r>
      <w:r w:rsidDel="00000000" w:rsidR="00000000" w:rsidRPr="00000000">
        <w:rPr>
          <w:rtl w:val="0"/>
        </w:rPr>
        <w:t xml:space="preserve">to harbors in the White and the Barents Sea is associated </w:t>
      </w:r>
      <w:r w:rsidDel="00000000" w:rsidR="00000000" w:rsidRPr="00000000">
        <w:rPr>
          <w:highlight w:val="cyan"/>
          <w:rtl w:val="0"/>
        </w:rPr>
        <w:t xml:space="preserve">with </w:t>
      </w:r>
      <w:r w:rsidDel="00000000" w:rsidR="00000000" w:rsidRPr="00000000">
        <w:rPr>
          <w:rtl w:val="0"/>
        </w:rPr>
        <w:t xml:space="preserve">its invasion into the region with maritime transport from the western Atlantic in the 20th century (</w:t>
      </w:r>
      <w:r w:rsidDel="00000000" w:rsidR="00000000" w:rsidRPr="00000000">
        <w:rPr>
          <w:rtl w:val="0"/>
        </w:rPr>
        <w:t xml:space="preserve">Vainola &amp; Strelkov 2011</w:t>
      </w:r>
      <w:r w:rsidDel="00000000" w:rsidR="00000000" w:rsidRPr="00000000">
        <w:rPr>
          <w:rtl w:val="0"/>
        </w:rPr>
        <w:t xml:space="preserve">). This hypothesis agrees with the available genetic data (</w:t>
      </w:r>
      <w:r w:rsidDel="00000000" w:rsidR="00000000" w:rsidRPr="00000000">
        <w:rPr>
          <w:rtl w:val="0"/>
        </w:rPr>
        <w:t xml:space="preserve">Vainola &amp; Strelkov 2011; Simon et al. 2021; Wenne et al. 2020</w:t>
      </w:r>
      <w:r w:rsidDel="00000000" w:rsidR="00000000" w:rsidRPr="00000000">
        <w:rPr>
          <w:rtl w:val="0"/>
        </w:rPr>
        <w:t xml:space="preserve">). It has also been hypothesized that </w:t>
      </w:r>
      <w:r w:rsidDel="00000000" w:rsidR="00000000" w:rsidRPr="00000000">
        <w:rPr>
          <w:i w:val="1"/>
          <w:rtl w:val="0"/>
        </w:rPr>
        <w:t xml:space="preserve">MT </w:t>
      </w:r>
      <w:r w:rsidDel="00000000" w:rsidR="00000000" w:rsidRPr="00000000">
        <w:rPr>
          <w:rtl w:val="0"/>
        </w:rPr>
        <w:t xml:space="preserve">is more resistant to anthropogenic pollution and is </w:t>
      </w:r>
      <w:r w:rsidDel="00000000" w:rsidR="00000000" w:rsidRPr="00000000">
        <w:rPr>
          <w:strike w:val="1"/>
          <w:highlight w:val="yellow"/>
          <w:rtl w:val="0"/>
        </w:rPr>
        <w:t xml:space="preserve">in general a more opportunistic species,</w:t>
      </w:r>
      <w:r w:rsidDel="00000000" w:rsidR="00000000" w:rsidRPr="00000000">
        <w:rPr>
          <w:rtl w:val="0"/>
        </w:rPr>
        <w:t xml:space="preserve"> better adapted to disturbed habitats, than </w:t>
      </w:r>
      <w:r w:rsidDel="00000000" w:rsidR="00000000" w:rsidRPr="00000000">
        <w:rPr>
          <w:i w:val="1"/>
          <w:rtl w:val="0"/>
        </w:rPr>
        <w:t xml:space="preserve">ME</w:t>
      </w:r>
      <w:r w:rsidDel="00000000" w:rsidR="00000000" w:rsidRPr="00000000">
        <w:rPr>
          <w:rtl w:val="0"/>
        </w:rPr>
        <w:t xml:space="preserve"> (</w:t>
      </w:r>
      <w:r w:rsidDel="00000000" w:rsidR="00000000" w:rsidRPr="00000000">
        <w:rPr>
          <w:rtl w:val="0"/>
        </w:rPr>
        <w:t xml:space="preserve">Katolikova et al. 2016</w:t>
      </w:r>
      <w:r w:rsidDel="00000000" w:rsidR="00000000" w:rsidRPr="00000000">
        <w:rPr>
          <w:rtl w:val="0"/>
        </w:rPr>
        <w:t xml:space="preserve">). Our observation that </w:t>
      </w:r>
      <w:r w:rsidDel="00000000" w:rsidR="00000000" w:rsidRPr="00000000">
        <w:rPr>
          <w:i w:val="1"/>
          <w:rtl w:val="0"/>
        </w:rPr>
        <w:t xml:space="preserve">MT </w:t>
      </w:r>
      <w:r w:rsidDel="00000000" w:rsidR="00000000" w:rsidRPr="00000000">
        <w:rPr>
          <w:rtl w:val="0"/>
        </w:rPr>
        <w:t xml:space="preserve">frequency is lower near abandoned ports than near active ones is consistent with this hypothesis. However, the propagule pressure of </w:t>
      </w:r>
      <w:r w:rsidDel="00000000" w:rsidR="00000000" w:rsidRPr="00000000">
        <w:rPr>
          <w:i w:val="1"/>
          <w:rtl w:val="0"/>
        </w:rPr>
        <w:t xml:space="preserve">MT </w:t>
      </w:r>
      <w:r w:rsidDel="00000000" w:rsidR="00000000" w:rsidRPr="00000000">
        <w:rPr>
          <w:rtl w:val="0"/>
        </w:rPr>
        <w:t xml:space="preserve">may have decreased near abandoned harbors in recent decades, which may have affected the size of its populations. </w:t>
      </w:r>
    </w:p>
    <w:p w:rsidR="00000000" w:rsidDel="00000000" w:rsidP="00000000" w:rsidRDefault="00000000" w:rsidRPr="00000000" w14:paraId="000000C1">
      <w:pPr>
        <w:tabs>
          <w:tab w:val="left" w:leader="none" w:pos="9923"/>
        </w:tabs>
        <w:spacing w:line="360" w:lineRule="auto"/>
        <w:ind w:right="51" w:firstLine="0"/>
        <w:jc w:val="left"/>
        <w:rPr/>
      </w:pPr>
      <w:r w:rsidDel="00000000" w:rsidR="00000000" w:rsidRPr="00000000">
        <w:rPr>
          <w:i w:val="1"/>
          <w:rtl w:val="0"/>
        </w:rPr>
        <w:t xml:space="preserve">Segregation by surf level</w:t>
      </w:r>
      <w:r w:rsidDel="00000000" w:rsidR="00000000" w:rsidRPr="00000000">
        <w:rPr>
          <w:rtl w:val="0"/>
        </w:rPr>
        <w:t xml:space="preserve">. The fact that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segregated by surf levels may be due to the well-known differences in the mechanical properties of their shells and the ability to form dense aggregations. </w:t>
      </w:r>
      <w:r w:rsidDel="00000000" w:rsidR="00000000" w:rsidRPr="00000000">
        <w:rPr>
          <w:i w:val="1"/>
          <w:rtl w:val="0"/>
        </w:rPr>
        <w:t xml:space="preserve">ME</w:t>
      </w:r>
      <w:r w:rsidDel="00000000" w:rsidR="00000000" w:rsidRPr="00000000">
        <w:rPr>
          <w:rtl w:val="0"/>
        </w:rPr>
        <w:t xml:space="preserve"> has less flexible, thicker and heavier shells (</w:t>
      </w:r>
      <w:r w:rsidDel="00000000" w:rsidR="00000000" w:rsidRPr="00000000">
        <w:rPr>
          <w:highlight w:val="green"/>
          <w:rtl w:val="0"/>
        </w:rPr>
        <w:t xml:space="preserve">Beaumont et al. 2008, Michalek et al, 2020</w:t>
      </w:r>
      <w:r w:rsidDel="00000000" w:rsidR="00000000" w:rsidRPr="00000000">
        <w:rPr>
          <w:rtl w:val="0"/>
        </w:rPr>
        <w:t xml:space="preserve">), and is more inclined to form tight clumps (</w:t>
      </w:r>
      <w:r w:rsidDel="00000000" w:rsidR="00000000" w:rsidRPr="00000000">
        <w:rPr>
          <w:highlight w:val="green"/>
          <w:rtl w:val="0"/>
        </w:rPr>
        <w:t xml:space="preserve">Liu et al. 2011</w:t>
      </w:r>
      <w:r w:rsidDel="00000000" w:rsidR="00000000" w:rsidRPr="00000000">
        <w:rPr>
          <w:rtl w:val="0"/>
        </w:rPr>
        <w:t xml:space="preserve">). These features may be adaptive on exposed coasts. Unfortunately, there are no comparative data on the differences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byssus secretion and attachment strength, which theoretically might also affect their distribution by surf level as well as across substrates. </w:t>
      </w:r>
    </w:p>
    <w:p w:rsidR="00000000" w:rsidDel="00000000" w:rsidP="00000000" w:rsidRDefault="00000000" w:rsidRPr="00000000" w14:paraId="000000C2">
      <w:pPr>
        <w:tabs>
          <w:tab w:val="left" w:leader="none" w:pos="9923"/>
        </w:tabs>
        <w:spacing w:line="360" w:lineRule="auto"/>
        <w:ind w:right="51" w:firstLine="0"/>
        <w:jc w:val="left"/>
        <w:rPr>
          <w:i w:val="1"/>
        </w:rPr>
      </w:pPr>
      <w:r w:rsidDel="00000000" w:rsidR="00000000" w:rsidRPr="00000000">
        <w:rPr>
          <w:i w:val="1"/>
          <w:rtl w:val="0"/>
        </w:rPr>
        <w:t xml:space="preserve">Segregation by substrate.</w:t>
      </w:r>
      <w:r w:rsidDel="00000000" w:rsidR="00000000" w:rsidRPr="00000000">
        <w:rPr>
          <w:rtl w:val="0"/>
        </w:rPr>
        <w:t xml:space="preserve"> The differences in shell structure and aggregation behavior possibly explaining segregation by surf may also explain that by substrate. An ability to form dense aggregations is an adaptation to life on bottom, not on algae. Other things being equal, </w:t>
      </w:r>
      <w:r w:rsidDel="00000000" w:rsidR="00000000" w:rsidRPr="00000000">
        <w:rPr>
          <w:i w:val="1"/>
          <w:rtl w:val="0"/>
        </w:rPr>
        <w:t xml:space="preserve">MT</w:t>
      </w:r>
      <w:r w:rsidDel="00000000" w:rsidR="00000000" w:rsidRPr="00000000">
        <w:rPr>
          <w:rtl w:val="0"/>
        </w:rPr>
        <w:t xml:space="preserve">, with its thinner shells, should be lighter than </w:t>
      </w:r>
      <w:r w:rsidDel="00000000" w:rsidR="00000000" w:rsidRPr="00000000">
        <w:rPr>
          <w:i w:val="1"/>
          <w:rtl w:val="0"/>
        </w:rPr>
        <w:t xml:space="preserve">ME</w:t>
      </w:r>
      <w:r w:rsidDel="00000000" w:rsidR="00000000" w:rsidRPr="00000000">
        <w:rPr>
          <w:rtl w:val="0"/>
        </w:rPr>
        <w:t xml:space="preserve"> (Michalek et al, 2020) and thus better adapted to life on algae. Further, fucoid thalli may serve as shock absorbers for fragile </w:t>
      </w:r>
      <w:r w:rsidDel="00000000" w:rsidR="00000000" w:rsidRPr="00000000">
        <w:rPr>
          <w:i w:val="1"/>
          <w:rtl w:val="0"/>
        </w:rPr>
        <w:t xml:space="preserve">MT</w:t>
      </w:r>
      <w:r w:rsidDel="00000000" w:rsidR="00000000" w:rsidRPr="00000000">
        <w:rPr>
          <w:rtl w:val="0"/>
        </w:rPr>
        <w:t xml:space="preserve"> (</w:t>
      </w:r>
      <w:r w:rsidDel="00000000" w:rsidR="00000000" w:rsidRPr="00000000">
        <w:rPr>
          <w:rtl w:val="0"/>
        </w:rPr>
        <w:t xml:space="preserve">Katolikova 2016</w:t>
      </w:r>
      <w:r w:rsidDel="00000000" w:rsidR="00000000" w:rsidRPr="00000000">
        <w:rPr>
          <w:rtl w:val="0"/>
        </w:rPr>
        <w:t xml:space="preserve">) and shelter them from starfish selectively preying on </w:t>
      </w:r>
      <w:r w:rsidDel="00000000" w:rsidR="00000000" w:rsidRPr="00000000">
        <w:rPr>
          <w:i w:val="1"/>
          <w:rtl w:val="0"/>
        </w:rPr>
        <w:t xml:space="preserve">MT</w:t>
      </w:r>
      <w:r w:rsidDel="00000000" w:rsidR="00000000" w:rsidRPr="00000000">
        <w:rPr>
          <w:rtl w:val="0"/>
        </w:rPr>
        <w:t xml:space="preserve"> in mixed settlements (</w:t>
      </w:r>
      <w:r w:rsidDel="00000000" w:rsidR="00000000" w:rsidRPr="00000000">
        <w:rPr>
          <w:highlight w:val="green"/>
          <w:rtl w:val="0"/>
        </w:rPr>
        <w:t xml:space="preserve">Khaitov et al. 2019, 2023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tabs>
          <w:tab w:val="left" w:leader="none" w:pos="9923"/>
        </w:tabs>
        <w:spacing w:line="360" w:lineRule="auto"/>
        <w:ind w:right="51" w:firstLine="0"/>
        <w:jc w:val="left"/>
        <w:rPr/>
      </w:pPr>
      <w:r w:rsidDel="00000000" w:rsidR="00000000" w:rsidRPr="00000000">
        <w:rPr>
          <w:i w:val="1"/>
          <w:rtl w:val="0"/>
        </w:rPr>
        <w:t xml:space="preserve">Competition for substrate. </w:t>
      </w:r>
      <w:r w:rsidDel="00000000" w:rsidR="00000000" w:rsidRPr="00000000">
        <w:rPr>
          <w:rtl w:val="0"/>
        </w:rPr>
        <w:t xml:space="preserve">Whatever physiological, morphological, behavioral and other features influence the segregation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by the environmental factors, interspecific competition may also be involved. Assessing the role of mussel abundance in the degree of species segregation across substrates, we found that while </w:t>
      </w:r>
      <w:r w:rsidDel="00000000" w:rsidR="00000000" w:rsidRPr="00000000">
        <w:rPr>
          <w:i w:val="1"/>
          <w:rtl w:val="0"/>
        </w:rPr>
        <w:t xml:space="preserve">MT </w:t>
      </w:r>
      <w:r w:rsidDel="00000000" w:rsidR="00000000" w:rsidRPr="00000000">
        <w:rPr>
          <w:rtl w:val="0"/>
        </w:rPr>
        <w:t xml:space="preserve">abundance did not significantly affect it, </w:t>
      </w:r>
      <w:r w:rsidDel="00000000" w:rsidR="00000000" w:rsidRPr="00000000">
        <w:rPr>
          <w:i w:val="1"/>
          <w:rtl w:val="0"/>
        </w:rPr>
        <w:t xml:space="preserve">ME </w:t>
      </w:r>
      <w:r w:rsidDel="00000000" w:rsidR="00000000" w:rsidRPr="00000000">
        <w:rPr>
          <w:rtl w:val="0"/>
        </w:rPr>
        <w:t xml:space="preserve">abundance did: as the latter increased, the degree of segregation increased, too (Fig. 4 B,C). In our opinion, this pattern results from the divergence of the realized species niches. </w:t>
      </w:r>
      <w:r w:rsidDel="00000000" w:rsidR="00000000" w:rsidRPr="00000000">
        <w:rPr>
          <w:i w:val="1"/>
          <w:rtl w:val="0"/>
        </w:rPr>
        <w:t xml:space="preserve">ME </w:t>
      </w:r>
      <w:r w:rsidDel="00000000" w:rsidR="00000000" w:rsidRPr="00000000">
        <w:rPr>
          <w:rtl w:val="0"/>
        </w:rPr>
        <w:t xml:space="preserve">outcompetes MT on bottom substrates displacing it to algal thalli, which appear to be a less suitable substrate for </w:t>
      </w:r>
      <w:r w:rsidDel="00000000" w:rsidR="00000000" w:rsidRPr="00000000">
        <w:rPr>
          <w:i w:val="1"/>
          <w:rtl w:val="0"/>
        </w:rPr>
        <w:t xml:space="preserve">ME</w:t>
      </w:r>
      <w:r w:rsidDel="00000000" w:rsidR="00000000" w:rsidRPr="00000000">
        <w:rPr>
          <w:rtl w:val="0"/>
        </w:rPr>
        <w:t xml:space="preserve"> (see above).</w:t>
      </w:r>
      <w:r w:rsidDel="00000000" w:rsidR="00000000" w:rsidRPr="00000000">
        <w:rPr>
          <w:rtl w:val="0"/>
        </w:rPr>
      </w:r>
    </w:p>
    <w:p w:rsidR="00000000" w:rsidDel="00000000" w:rsidP="00000000" w:rsidRDefault="00000000" w:rsidRPr="00000000" w14:paraId="000000C4">
      <w:pPr>
        <w:tabs>
          <w:tab w:val="left" w:leader="none" w:pos="9923"/>
        </w:tabs>
        <w:spacing w:line="360" w:lineRule="auto"/>
        <w:ind w:right="51" w:firstLine="0"/>
        <w:jc w:val="left"/>
        <w:rPr/>
      </w:pPr>
      <w:r w:rsidDel="00000000" w:rsidR="00000000" w:rsidRPr="00000000">
        <w:rPr>
          <w:rtl w:val="0"/>
        </w:rPr>
        <w:t xml:space="preserve">Spatial segregation of sympatric mussels by substrates, which is apparently density-dependent, is evident at the level of tens of centimeters (</w:t>
      </w:r>
      <w:r w:rsidDel="00000000" w:rsidR="00000000" w:rsidRPr="00000000">
        <w:rPr>
          <w:rtl w:val="0"/>
        </w:rPr>
        <w:t xml:space="preserve">Katolikova et al. 2016</w:t>
      </w:r>
      <w:r w:rsidDel="00000000" w:rsidR="00000000" w:rsidRPr="00000000">
        <w:rPr>
          <w:rtl w:val="0"/>
        </w:rPr>
        <w:t xml:space="preserve">). Direct analogies for segregation at such a small scale can be found in other attached organisms, terrestrial plants (Raventos et al., 2010). A “biologically generated spatial pattern” model, relating inter-specific segregation with the intra-specific clustering in competing species, has been suggested (</w:t>
      </w:r>
      <w:r w:rsidDel="00000000" w:rsidR="00000000" w:rsidRPr="00000000">
        <w:rPr>
          <w:highlight w:val="green"/>
          <w:rtl w:val="0"/>
        </w:rPr>
        <w:t xml:space="preserve">Paccala and Levin, 1997; Amarasekare, 2003</w:t>
      </w:r>
      <w:r w:rsidDel="00000000" w:rsidR="00000000" w:rsidRPr="00000000">
        <w:rPr>
          <w:rtl w:val="0"/>
        </w:rPr>
        <w:t xml:space="preserve">). Our findings suggest that this model can also be applied to mussels. </w:t>
      </w:r>
    </w:p>
    <w:p w:rsidR="00000000" w:rsidDel="00000000" w:rsidP="00000000" w:rsidRDefault="00000000" w:rsidRPr="00000000" w14:paraId="000000C5">
      <w:pPr>
        <w:tabs>
          <w:tab w:val="left" w:leader="none" w:pos="9923"/>
        </w:tabs>
        <w:spacing w:line="360" w:lineRule="auto"/>
        <w:ind w:right="51" w:firstLine="0"/>
        <w:jc w:val="left"/>
        <w:rPr/>
      </w:pPr>
      <w:r w:rsidDel="00000000" w:rsidR="00000000" w:rsidRPr="00000000">
        <w:rPr>
          <w:i w:val="1"/>
          <w:rtl w:val="0"/>
        </w:rPr>
        <w:t xml:space="preserve">Predictive power of SDM. </w:t>
      </w:r>
      <w:r w:rsidDel="00000000" w:rsidR="00000000" w:rsidRPr="00000000">
        <w:rPr>
          <w:rtl w:val="0"/>
        </w:rPr>
        <w:t xml:space="preserve">The ability of our model to classify sites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Fonts w:ascii="Gungsuh" w:cs="Gungsuh" w:eastAsia="Gungsuh" w:hAnsi="Gungsuh"/>
          <w:rtl w:val="0"/>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in the Kola contact zone.</w:t>
      </w:r>
    </w:p>
    <w:p w:rsidR="00000000" w:rsidDel="00000000" w:rsidP="00000000" w:rsidRDefault="00000000" w:rsidRPr="00000000" w14:paraId="000000C6">
      <w:pPr>
        <w:tabs>
          <w:tab w:val="left" w:leader="none" w:pos="9923"/>
        </w:tabs>
        <w:spacing w:line="360" w:lineRule="auto"/>
        <w:ind w:right="51" w:firstLine="0"/>
        <w:jc w:val="left"/>
        <w:rPr/>
      </w:pPr>
      <w:r w:rsidDel="00000000" w:rsidR="00000000" w:rsidRPr="00000000">
        <w:rPr>
          <w:rtl w:val="0"/>
        </w:rPr>
        <w:t xml:space="preserve">The worst predictive value of the model for the Barents Sea data may be due to the following reasons. Firstly, considering that distribution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w:t>
      </w:r>
      <w:r w:rsidDel="00000000" w:rsidR="00000000" w:rsidRPr="00000000">
        <w:rPr>
          <w:i w:val="1"/>
          <w:rtl w:val="0"/>
        </w:rPr>
        <w:t xml:space="preserve">Ptros </w:t>
      </w:r>
      <w:r w:rsidDel="00000000" w:rsidR="00000000" w:rsidRPr="00000000">
        <w:rPr>
          <w:rtl w:val="0"/>
        </w:rPr>
        <w:t xml:space="preserve">in the Barents Sea data (false positive predictions) is consistent with the observation that the proportion of </w:t>
      </w:r>
      <w:r w:rsidDel="00000000" w:rsidR="00000000" w:rsidRPr="00000000">
        <w:rPr>
          <w:i w:val="1"/>
          <w:rtl w:val="0"/>
        </w:rPr>
        <w:t xml:space="preserve">MT</w:t>
      </w:r>
      <w:r w:rsidDel="00000000" w:rsidR="00000000" w:rsidRPr="00000000">
        <w:rPr>
          <w:rtl w:val="0"/>
        </w:rPr>
        <w:t xml:space="preserve"> has been declining in the study area in the 2010s under seemingly stable environmental conditions in terms of predictors included in our model (</w:t>
      </w:r>
      <w:r w:rsidDel="00000000" w:rsidR="00000000" w:rsidRPr="00000000">
        <w:rPr>
          <w:rtl w:val="0"/>
        </w:rPr>
        <w:t xml:space="preserve">Marchenko et al. 2023</w:t>
      </w:r>
      <w:r w:rsidDel="00000000" w:rsidR="00000000" w:rsidRPr="00000000">
        <w:rPr>
          <w:rtl w:val="0"/>
        </w:rPr>
        <w:t xml:space="preserve">). This observation suggests the presence of some yet unknown factors regulating taxonomic structure.</w:t>
      </w:r>
    </w:p>
    <w:p w:rsidR="00000000" w:rsidDel="00000000" w:rsidP="00000000" w:rsidRDefault="00000000" w:rsidRPr="00000000" w14:paraId="000000C7">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w:t>
      </w:r>
      <w:r w:rsidDel="00000000" w:rsidR="00000000" w:rsidRPr="00000000">
        <w:rPr>
          <w:b w:val="1"/>
          <w:rtl w:val="0"/>
        </w:rPr>
        <w:t xml:space="preserve"> in the Kola contact zone as compared to other zones</w:t>
      </w:r>
    </w:p>
    <w:p w:rsidR="00000000" w:rsidDel="00000000" w:rsidP="00000000" w:rsidRDefault="00000000" w:rsidRPr="00000000" w14:paraId="000000C8">
      <w:pPr>
        <w:tabs>
          <w:tab w:val="left" w:leader="none" w:pos="9923"/>
        </w:tabs>
        <w:spacing w:line="360" w:lineRule="auto"/>
        <w:ind w:right="51" w:firstLine="0"/>
        <w:jc w:val="left"/>
        <w:rPr/>
      </w:pPr>
      <w:r w:rsidDel="00000000" w:rsidR="00000000" w:rsidRPr="00000000">
        <w:rPr>
          <w:rtl w:val="0"/>
        </w:rPr>
        <w:t xml:space="preserve">Blue mussels are a challenging model for studying ecological niche partitioning between “cryptic” species in sympatry due to their wide distribution, biogeographic history and hybridization.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play similar ecological roles in their native oceans, Atlantic and Pacific, respectively </w:t>
      </w:r>
      <w:commentRangeStart w:id="11"/>
      <w:r w:rsidDel="00000000" w:rsidR="00000000" w:rsidRPr="00000000">
        <w:rPr>
          <w:highlight w:val="red"/>
          <w:rtl w:val="0"/>
        </w:rPr>
        <w:t xml:space="preserve">(R</w:t>
      </w:r>
      <w:r w:rsidDel="00000000" w:rsidR="00000000" w:rsidRPr="00000000">
        <w:rPr>
          <w:highlight w:val="green"/>
          <w:rtl w:val="0"/>
        </w:rPr>
        <w:t xml:space="preserve">E</w:t>
      </w:r>
      <w:r w:rsidDel="00000000" w:rsidR="00000000" w:rsidRPr="00000000">
        <w:rPr>
          <w:highlight w:val="red"/>
          <w:rtl w:val="0"/>
        </w:rPr>
        <w:t xml:space="preserve">F) </w:t>
      </w:r>
      <w:commentRangeEnd w:id="11"/>
      <w:r w:rsidDel="00000000" w:rsidR="00000000" w:rsidRPr="00000000">
        <w:commentReference w:id="11"/>
      </w:r>
      <w:r w:rsidDel="00000000" w:rsidR="00000000" w:rsidRPr="00000000">
        <w:rPr>
          <w:rtl w:val="0"/>
        </w:rPr>
        <w:t xml:space="preserve">and therefore may inherently have strongly overlapping fundamental ecological niches. Contact zones between these species in the Atlantic can be considered as ecological (and evolutionary) “experiments”, set in strikingly different environments (from Baltic to Spitsbergen) at different times (from late post-glacial to the historical period, </w:t>
      </w:r>
      <w:r w:rsidDel="00000000" w:rsidR="00000000" w:rsidRPr="00000000">
        <w:rPr>
          <w:rtl w:val="0"/>
        </w:rPr>
        <w:t xml:space="preserve">Väinölä, Strelkov 2011, Wenne et al. 2020</w:t>
      </w:r>
      <w:r w:rsidDel="00000000" w:rsidR="00000000" w:rsidRPr="00000000">
        <w:rPr>
          <w:rtl w:val="0"/>
        </w:rPr>
        <w:t xml:space="preserve"> and references therein). The “design” of these “experiments” was possibly different too, because </w:t>
      </w:r>
      <w:r w:rsidDel="00000000" w:rsidR="00000000" w:rsidRPr="00000000">
        <w:rPr>
          <w:strike w:val="1"/>
          <w:rtl w:val="0"/>
        </w:rPr>
        <w:t xml:space="preserve">that </w:t>
      </w:r>
      <w:r w:rsidDel="00000000" w:rsidR="00000000" w:rsidRPr="00000000">
        <w:rPr>
          <w:rtl w:val="0"/>
        </w:rPr>
        <w:t xml:space="preserve">in some zones the original settler could be </w:t>
      </w:r>
      <w:r w:rsidDel="00000000" w:rsidR="00000000" w:rsidRPr="00000000">
        <w:rPr>
          <w:i w:val="1"/>
          <w:rtl w:val="0"/>
        </w:rPr>
        <w:t xml:space="preserve">ME</w:t>
      </w:r>
      <w:r w:rsidDel="00000000" w:rsidR="00000000" w:rsidRPr="00000000">
        <w:rPr>
          <w:rtl w:val="0"/>
        </w:rPr>
        <w:t xml:space="preserve"> and in others, </w:t>
      </w:r>
      <w:r w:rsidDel="00000000" w:rsidR="00000000" w:rsidRPr="00000000">
        <w:rPr>
          <w:i w:val="1"/>
          <w:rtl w:val="0"/>
        </w:rPr>
        <w:t xml:space="preserve">MT</w:t>
      </w:r>
      <w:r w:rsidDel="00000000" w:rsidR="00000000" w:rsidRPr="00000000">
        <w:rPr>
          <w:rtl w:val="0"/>
        </w:rPr>
        <w:t xml:space="preserve">. In addition, competition (“ecological character displacement”, </w:t>
      </w:r>
      <w:r w:rsidDel="00000000" w:rsidR="00000000" w:rsidRPr="00000000">
        <w:rPr>
          <w:rtl w:val="0"/>
        </w:rPr>
        <w:t xml:space="preserve">Pfennig and Pfennig 2020</w:t>
      </w:r>
      <w:r w:rsidDel="00000000" w:rsidR="00000000" w:rsidRPr="00000000">
        <w:rPr>
          <w:rtl w:val="0"/>
        </w:rPr>
        <w:t xml:space="preserve">), hybridization (“reinforcement of prezygotic reproductive isolation”, </w:t>
      </w:r>
      <w:r w:rsidDel="00000000" w:rsidR="00000000" w:rsidRPr="00000000">
        <w:rPr>
          <w:rtl w:val="0"/>
        </w:rPr>
        <w:t xml:space="preserve">Lukhtanov 2011</w:t>
      </w:r>
      <w:r w:rsidDel="00000000" w:rsidR="00000000" w:rsidRPr="00000000">
        <w:rPr>
          <w:rtl w:val="0"/>
        </w:rPr>
        <w:t xml:space="preserve">) and introgression (“adaptive introgression”, </w:t>
      </w:r>
      <w:r w:rsidDel="00000000" w:rsidR="00000000" w:rsidRPr="00000000">
        <w:rPr>
          <w:rtl w:val="0"/>
        </w:rPr>
        <w:t xml:space="preserve">Herdick 2013</w:t>
      </w:r>
      <w:r w:rsidDel="00000000" w:rsidR="00000000" w:rsidRPr="00000000">
        <w:rPr>
          <w:rtl w:val="0"/>
        </w:rPr>
        <w:t xml:space="preserve">) could influence the divergence of their ecological phenotypes differently in different zones. These considerations suggest that the zones should differ, and this hypothesis has been a recurrent theme in genetic research on blue mussel contact zones (</w:t>
      </w:r>
      <w:r w:rsidDel="00000000" w:rsidR="00000000" w:rsidRPr="00000000">
        <w:rPr>
          <w:rtl w:val="0"/>
        </w:rPr>
        <w:t xml:space="preserve">Riginos, Cunningham 2005; Bierne et al. 2011, Fraisse et al. 2016</w:t>
      </w:r>
      <w:r w:rsidDel="00000000" w:rsidR="00000000" w:rsidRPr="00000000">
        <w:rPr>
          <w:rtl w:val="0"/>
        </w:rPr>
        <w:t xml:space="preserve">). Nevertheless, we believe that the differences between these two species are more fundamental and thus that conspecific ecological phenotypes (“niches”) in different zones should be similar, producing comparable patterns in species distributions. Some results of this study support this hypothesis.</w:t>
      </w:r>
    </w:p>
    <w:p w:rsidR="00000000" w:rsidDel="00000000" w:rsidP="00000000" w:rsidRDefault="00000000" w:rsidRPr="00000000" w14:paraId="000000C9">
      <w:pPr>
        <w:tabs>
          <w:tab w:val="left" w:leader="none" w:pos="9923"/>
        </w:tabs>
        <w:spacing w:line="360" w:lineRule="auto"/>
        <w:ind w:right="51" w:firstLine="0"/>
        <w:jc w:val="left"/>
        <w:rPr/>
      </w:pPr>
      <w:r w:rsidDel="00000000" w:rsidR="00000000" w:rsidRPr="00000000">
        <w:rPr>
          <w:rtl w:val="0"/>
        </w:rPr>
        <w:t xml:space="preserve">The observation that </w:t>
      </w:r>
      <w:r w:rsidDel="00000000" w:rsidR="00000000" w:rsidRPr="00000000">
        <w:rPr>
          <w:i w:val="1"/>
          <w:rtl w:val="0"/>
        </w:rPr>
        <w:t xml:space="preserve">MT</w:t>
      </w:r>
      <w:r w:rsidDel="00000000" w:rsidR="00000000" w:rsidRPr="00000000">
        <w:rPr>
          <w:rtl w:val="0"/>
        </w:rPr>
        <w:t xml:space="preserve"> frequency is elevated in low-salinity habitats not only in the Baltic but also in the White Sea seems to resolve the old conundrum about seemingly contrasting salinity adaptations of the Baltic</w:t>
      </w:r>
      <w:r w:rsidDel="00000000" w:rsidR="00000000" w:rsidRPr="00000000">
        <w:rPr>
          <w:i w:val="1"/>
          <w:rtl w:val="0"/>
        </w:rPr>
        <w:t xml:space="preserve"> </w:t>
      </w:r>
      <w:r w:rsidDel="00000000" w:rsidR="00000000" w:rsidRPr="00000000">
        <w:rPr>
          <w:rtl w:val="0"/>
        </w:rPr>
        <w:t xml:space="preserve">and other Atlantic </w:t>
      </w:r>
      <w:r w:rsidDel="00000000" w:rsidR="00000000" w:rsidRPr="00000000">
        <w:rPr>
          <w:i w:val="1"/>
          <w:rtl w:val="0"/>
        </w:rPr>
        <w:t xml:space="preserve">MT </w:t>
      </w:r>
      <w:r w:rsidDel="00000000" w:rsidR="00000000" w:rsidRPr="00000000">
        <w:rPr>
          <w:rtl w:val="0"/>
        </w:rPr>
        <w:t xml:space="preserve">populations (e.g. </w:t>
      </w:r>
      <w:r w:rsidDel="00000000" w:rsidR="00000000" w:rsidRPr="00000000">
        <w:rPr>
          <w:rtl w:val="0"/>
        </w:rPr>
        <w:t xml:space="preserve">Riginos, Cunningham 2005; Katolikova et al. 2016</w:t>
      </w:r>
      <w:r w:rsidDel="00000000" w:rsidR="00000000" w:rsidRPr="00000000">
        <w:rPr>
          <w:rtl w:val="0"/>
        </w:rPr>
        <w:t xml:space="preserve">, see also above). Further, an increased </w:t>
      </w:r>
      <w:r w:rsidDel="00000000" w:rsidR="00000000" w:rsidRPr="00000000">
        <w:rPr>
          <w:i w:val="1"/>
          <w:rtl w:val="0"/>
        </w:rPr>
        <w:t xml:space="preserve">MT </w:t>
      </w:r>
      <w:r w:rsidDel="00000000" w:rsidR="00000000" w:rsidRPr="00000000">
        <w:rPr>
          <w:rtl w:val="0"/>
        </w:rPr>
        <w:t xml:space="preserve">frequency has been repeatedly observed in calm and freshened waters e.g. in the tops of fjords near Bergen in Norway (</w:t>
      </w:r>
      <w:r w:rsidDel="00000000" w:rsidR="00000000" w:rsidRPr="00000000">
        <w:rPr>
          <w:rtl w:val="0"/>
        </w:rPr>
        <w:t xml:space="preserve">Ridgway, Nævdal 2004</w:t>
      </w:r>
      <w:r w:rsidDel="00000000" w:rsidR="00000000" w:rsidRPr="00000000">
        <w:rPr>
          <w:rtl w:val="0"/>
        </w:rPr>
        <w:t xml:space="preserve">) and Uummannaq in Greenland (</w:t>
      </w:r>
      <w:r w:rsidDel="00000000" w:rsidR="00000000" w:rsidRPr="00000000">
        <w:rPr>
          <w:rtl w:val="0"/>
        </w:rPr>
        <w:t xml:space="preserve">Wenne et al. 2016</w:t>
      </w:r>
      <w:r w:rsidDel="00000000" w:rsidR="00000000" w:rsidRPr="00000000">
        <w:rPr>
          <w:rtl w:val="0"/>
        </w:rPr>
        <w:t xml:space="preserve">) and in Loch Etive in Scotland (</w:t>
      </w:r>
      <w:r w:rsidDel="00000000" w:rsidR="00000000" w:rsidRPr="00000000">
        <w:rPr>
          <w:highlight w:val="green"/>
          <w:rtl w:val="0"/>
        </w:rPr>
        <w:t xml:space="preserve">Beaumont et al. 2008)</w:t>
      </w:r>
      <w:r w:rsidDel="00000000" w:rsidR="00000000" w:rsidRPr="00000000">
        <w:rPr>
          <w:rtl w:val="0"/>
        </w:rPr>
        <w:t xml:space="preserve">, which is hardly a coincidence. Our observations indicate that this combination </w:t>
      </w:r>
      <w:r w:rsidDel="00000000" w:rsidR="00000000" w:rsidRPr="00000000">
        <w:rPr>
          <w:rtl w:val="0"/>
        </w:rPr>
        <w:t xml:space="preserve">of weak surf and low salinity is also favorable for </w:t>
      </w:r>
      <w:r w:rsidDel="00000000" w:rsidR="00000000" w:rsidRPr="00000000">
        <w:rPr>
          <w:i w:val="1"/>
          <w:rtl w:val="0"/>
        </w:rPr>
        <w:t xml:space="preserve">MT</w:t>
      </w:r>
      <w:r w:rsidDel="00000000" w:rsidR="00000000" w:rsidRPr="00000000">
        <w:rPr>
          <w:rtl w:val="0"/>
        </w:rPr>
        <w:t xml:space="preserve"> in the White Sea. </w:t>
      </w:r>
    </w:p>
    <w:p w:rsidR="00000000" w:rsidDel="00000000" w:rsidP="00000000" w:rsidRDefault="00000000" w:rsidRPr="00000000" w14:paraId="000000CA">
      <w:pPr>
        <w:tabs>
          <w:tab w:val="left" w:leader="none" w:pos="9923"/>
        </w:tabs>
        <w:spacing w:line="360" w:lineRule="auto"/>
        <w:ind w:right="51" w:firstLine="0"/>
        <w:jc w:val="left"/>
        <w:rPr>
          <w:strike w:val="1"/>
          <w:highlight w:val="cyan"/>
        </w:rPr>
      </w:pPr>
      <w:r w:rsidDel="00000000" w:rsidR="00000000" w:rsidRPr="00000000">
        <w:rPr>
          <w:rtl w:val="0"/>
        </w:rPr>
        <w:t xml:space="preserve"> </w:t>
      </w:r>
      <w:r w:rsidDel="00000000" w:rsidR="00000000" w:rsidRPr="00000000">
        <w:rPr>
          <w:rtl w:val="0"/>
        </w:rPr>
        <w:t xml:space="preserve">No non-random relationship between the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and any of the predictors significant in the White Sea has been convincingly demonstrated in other contact zones, with the exception of salinity in the Baltic contact zone. Data on surf are inconsistent (compare </w:t>
      </w:r>
      <w:r w:rsidDel="00000000" w:rsidR="00000000" w:rsidRPr="00000000">
        <w:rPr>
          <w:highlight w:val="green"/>
          <w:rtl w:val="0"/>
        </w:rPr>
        <w:t xml:space="preserve">Bates, Innes 1995; Comesaña et al., 1999; Tam &amp; Scrosati, 2013</w:t>
      </w:r>
      <w:r w:rsidDel="00000000" w:rsidR="00000000" w:rsidRPr="00000000">
        <w:rPr>
          <w:rtl w:val="0"/>
        </w:rPr>
        <w:t xml:space="preserve"> and this study), while data on fouling substrates are, as far as we know, completely absent. If our assumption is correct and the diverging preferences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for sites differing as to surf and substrates are associated with the differences in their morphology and behavior (see above), then these differences should be manifested universally. </w:t>
      </w:r>
      <w:r w:rsidDel="00000000" w:rsidR="00000000" w:rsidRPr="00000000">
        <w:rPr>
          <w:strike w:val="1"/>
          <w:highlight w:val="yellow"/>
          <w:rtl w:val="0"/>
        </w:rPr>
        <w:t xml:space="preserve">The causes of an increased resilience of </w:t>
      </w:r>
      <w:r w:rsidDel="00000000" w:rsidR="00000000" w:rsidRPr="00000000">
        <w:rPr>
          <w:i w:val="1"/>
          <w:strike w:val="1"/>
          <w:highlight w:val="yellow"/>
          <w:rtl w:val="0"/>
        </w:rPr>
        <w:t xml:space="preserve">MT</w:t>
      </w:r>
      <w:r w:rsidDel="00000000" w:rsidR="00000000" w:rsidRPr="00000000">
        <w:rPr>
          <w:strike w:val="1"/>
          <w:highlight w:val="yellow"/>
          <w:rtl w:val="0"/>
        </w:rPr>
        <w:t xml:space="preserve"> to stress, particularly anthropogenic pollution, remain unclear (see Brooks et al. 2015 and Beyer et al. 2017 for discussion). </w:t>
      </w:r>
      <w:r w:rsidDel="00000000" w:rsidR="00000000" w:rsidRPr="00000000">
        <w:rPr>
          <w:highlight w:val="cyan"/>
          <w:rtl w:val="0"/>
        </w:rPr>
        <w:t xml:space="preserve">The intrigue of differences between species in stress tolerance, particularly to anthropogenic pollution as in harbors, also remains open (see discussion in Brooks et al. 2015 and Beyer et al. 2017). </w:t>
      </w:r>
      <w:r w:rsidDel="00000000" w:rsidR="00000000" w:rsidRPr="00000000">
        <w:rPr>
          <w:rtl w:val="0"/>
        </w:rPr>
      </w:r>
    </w:p>
    <w:p w:rsidR="00000000" w:rsidDel="00000000" w:rsidP="00000000" w:rsidRDefault="00000000" w:rsidRPr="00000000" w14:paraId="000000CB">
      <w:pPr>
        <w:tabs>
          <w:tab w:val="left" w:leader="none" w:pos="9923"/>
        </w:tabs>
        <w:spacing w:line="360" w:lineRule="auto"/>
        <w:ind w:right="51" w:firstLine="0"/>
        <w:jc w:val="left"/>
        <w:rPr/>
      </w:pPr>
      <w:r w:rsidDel="00000000" w:rsidR="00000000" w:rsidRPr="00000000">
        <w:rPr>
          <w:rtl w:val="0"/>
        </w:rPr>
        <w:t xml:space="preserve">The classical review on the divergence of ecological niches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different contact zones (RC 05) is already 20 years old. The time is obviously ripe for a new survey, and our observations from the Kola zone may prove useful.</w:t>
      </w:r>
    </w:p>
    <w:p w:rsidR="00000000" w:rsidDel="00000000" w:rsidP="00000000" w:rsidRDefault="00000000" w:rsidRPr="00000000" w14:paraId="000000CC">
      <w:pPr>
        <w:tabs>
          <w:tab w:val="left" w:leader="none" w:pos="9923"/>
        </w:tabs>
        <w:spacing w:line="360" w:lineRule="auto"/>
        <w:ind w:right="51" w:firstLine="0"/>
        <w:jc w:val="left"/>
        <w:rPr>
          <w:b w:val="1"/>
        </w:rPr>
      </w:pPr>
      <w:r w:rsidDel="00000000" w:rsidR="00000000" w:rsidRPr="00000000">
        <w:rPr>
          <w:b w:val="1"/>
          <w:rtl w:val="0"/>
        </w:rPr>
        <w:t xml:space="preserve">Strengths and weaknesses of our approaches to the study of sympatric mussels.</w:t>
      </w:r>
    </w:p>
    <w:p w:rsidR="00000000" w:rsidDel="00000000" w:rsidP="00000000" w:rsidRDefault="00000000" w:rsidRPr="00000000" w14:paraId="000000CD">
      <w:pPr>
        <w:tabs>
          <w:tab w:val="left" w:leader="none" w:pos="9923"/>
        </w:tabs>
        <w:spacing w:line="360" w:lineRule="auto"/>
        <w:ind w:right="51" w:firstLine="0"/>
        <w:jc w:val="left"/>
        <w:rPr/>
      </w:pPr>
      <w:r w:rsidDel="00000000" w:rsidR="00000000" w:rsidRPr="00000000">
        <w:rPr>
          <w:rtl w:val="0"/>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works well in habitats with salinity below 25 ppt in the Kola contact zone (</w:t>
      </w:r>
      <w:r w:rsidDel="00000000" w:rsidR="00000000" w:rsidRPr="00000000">
        <w:rPr>
          <w:rtl w:val="0"/>
        </w:rPr>
        <w:t xml:space="preserve">Khaitov et al. 2021</w:t>
      </w:r>
      <w:r w:rsidDel="00000000" w:rsidR="00000000" w:rsidRPr="00000000">
        <w:rPr>
          <w:rtl w:val="0"/>
        </w:rPr>
        <w:t xml:space="preserve">) 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 (</w:t>
      </w:r>
      <w:r w:rsidDel="00000000" w:rsidR="00000000" w:rsidRPr="00000000">
        <w:rPr>
          <w:rtl w:val="0"/>
        </w:rPr>
        <w:t xml:space="preserve">Väinölä, Strelkov 2011; Wenne et al. 2020</w:t>
      </w:r>
      <w:r w:rsidDel="00000000" w:rsidR="00000000" w:rsidRPr="00000000">
        <w:rPr>
          <w:rtl w:val="0"/>
        </w:rPr>
        <w:t xml:space="preserve">), where hybrids may be important ecological actors (e.g. </w:t>
      </w:r>
      <w:r w:rsidDel="00000000" w:rsidR="00000000" w:rsidRPr="00000000">
        <w:rPr>
          <w:color w:val="1f1f1f"/>
          <w:rtl w:val="0"/>
        </w:rPr>
        <w:t xml:space="preserve">Schwartz et al.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tabs>
          <w:tab w:val="left" w:leader="none" w:pos="9923"/>
        </w:tabs>
        <w:spacing w:line="360" w:lineRule="auto"/>
        <w:ind w:right="51" w:firstLine="0"/>
        <w:jc w:val="left"/>
        <w:rPr/>
      </w:pPr>
      <w:r w:rsidDel="00000000" w:rsidR="00000000" w:rsidRPr="00000000">
        <w:rPr>
          <w:rtl w:val="0"/>
        </w:rPr>
        <w:t xml:space="preserve">Although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differ universally in morphotype frequencies, the magnitude of the differences varies between contact zones and between habitats with different salinities in the Arctic (</w:t>
      </w:r>
      <w:r w:rsidDel="00000000" w:rsidR="00000000" w:rsidRPr="00000000">
        <w:rPr>
          <w:rtl w:val="0"/>
        </w:rPr>
        <w:t xml:space="preserve">Khaitov et al. 2021</w:t>
      </w:r>
      <w:r w:rsidDel="00000000" w:rsidR="00000000" w:rsidRPr="00000000">
        <w:rPr>
          <w:rtl w:val="0"/>
        </w:rPr>
        <w:t xml:space="preserve">). This means that the “morphotype test” must be additionally calibrated before use (see </w:t>
      </w:r>
      <w:r w:rsidDel="00000000" w:rsidR="00000000" w:rsidRPr="00000000">
        <w:rPr>
          <w:rtl w:val="0"/>
        </w:rPr>
        <w:t xml:space="preserve">Khaitov et al. 2021 </w:t>
      </w:r>
      <w:r w:rsidDel="00000000" w:rsidR="00000000" w:rsidRPr="00000000">
        <w:rPr>
          <w:rtl w:val="0"/>
        </w:rPr>
        <w:t xml:space="preserve">for recommendations). Multilocus genotyping, while still too costly for processing dozens of thousands of specimens needed for SDM, remains the gold standard of taxonomic assessment in blue mussels. </w:t>
      </w:r>
    </w:p>
    <w:p w:rsidR="00000000" w:rsidDel="00000000" w:rsidP="00000000" w:rsidRDefault="00000000" w:rsidRPr="00000000" w14:paraId="000000CF">
      <w:pPr>
        <w:tabs>
          <w:tab w:val="left" w:leader="none" w:pos="9923"/>
        </w:tabs>
        <w:spacing w:line="360" w:lineRule="auto"/>
        <w:ind w:right="51" w:firstLine="0"/>
        <w:jc w:val="left"/>
        <w:rPr/>
      </w:pPr>
      <w:r w:rsidDel="00000000" w:rsidR="00000000" w:rsidRPr="00000000">
        <w:rPr>
          <w:rtl w:val="0"/>
        </w:rPr>
        <w:t xml:space="preserve">It should also be noted that we did not account for all potential predictors affecting species segregation (e.g., depth, </w:t>
      </w:r>
      <w:r w:rsidDel="00000000" w:rsidR="00000000" w:rsidRPr="00000000">
        <w:rPr>
          <w:rtl w:val="0"/>
        </w:rPr>
        <w:t xml:space="preserve">Marchenko et al. 2023</w:t>
      </w:r>
      <w:r w:rsidDel="00000000" w:rsidR="00000000" w:rsidRPr="00000000">
        <w:rPr>
          <w:rtl w:val="0"/>
        </w:rPr>
        <w:t xml:space="preserve"> or predators, </w:t>
      </w:r>
      <w:r w:rsidDel="00000000" w:rsidR="00000000" w:rsidRPr="00000000">
        <w:rPr>
          <w:highlight w:val="green"/>
          <w:rtl w:val="0"/>
        </w:rPr>
        <w:t xml:space="preserve">Khaitov et al. 2019; 2023</w:t>
      </w:r>
      <w:r w:rsidDel="00000000" w:rsidR="00000000" w:rsidRPr="00000000">
        <w:rPr>
          <w:rtl w:val="0"/>
        </w:rPr>
        <w:t xml:space="preserve">). Moreover, some of our predictors could have been estimated more carefully (for example, </w:t>
      </w:r>
      <w:r w:rsidDel="00000000" w:rsidR="00000000" w:rsidRPr="00000000">
        <w:rPr>
          <w:highlight w:val="cyan"/>
          <w:rtl w:val="0"/>
        </w:rPr>
        <w:t xml:space="preserve">bottom </w:t>
      </w:r>
      <w:r w:rsidDel="00000000" w:rsidR="00000000" w:rsidRPr="00000000">
        <w:rPr>
          <w:rtl w:val="0"/>
        </w:rPr>
        <w:t xml:space="preserve">salinity at high water could be more informative for littoral mussels than salinity at low water when they are not submerged). However, since most of our predictors were shown to be significant, they should not be ignored in future studies. </w:t>
      </w:r>
      <w:r w:rsidDel="00000000" w:rsidR="00000000" w:rsidRPr="00000000">
        <w:rPr>
          <w:rtl w:val="0"/>
        </w:rPr>
      </w:r>
    </w:p>
    <w:p w:rsidR="00000000" w:rsidDel="00000000" w:rsidP="00000000" w:rsidRDefault="00000000" w:rsidRPr="00000000" w14:paraId="000000D0">
      <w:pPr>
        <w:tabs>
          <w:tab w:val="left" w:leader="none" w:pos="9923"/>
        </w:tabs>
        <w:spacing w:line="360" w:lineRule="auto"/>
        <w:ind w:right="51" w:firstLine="0"/>
        <w:jc w:val="left"/>
        <w:rPr/>
      </w:pPr>
      <w:r w:rsidDel="00000000" w:rsidR="00000000" w:rsidRPr="00000000">
        <w:rPr>
          <w:rtl w:val="0"/>
        </w:rPr>
        <w:t xml:space="preserve">The correlative approach used in our study does not allow a direct assessment of either relative or absolute “importance” of factors. For instance, we cannot say whether salinity or substrate is more crucial. However, the take-home message from our research is that there is no single “leading” factor determining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contrary to the idea that has dominated the field since the pioneering studies in the Baltic (</w:t>
      </w:r>
      <w:r w:rsidDel="00000000" w:rsidR="00000000" w:rsidRPr="00000000">
        <w:rPr>
          <w:rtl w:val="0"/>
        </w:rPr>
        <w:t xml:space="preserve">Riginos, Cunningham 2005; Ridgway, Nævdal </w:t>
      </w:r>
      <w:commentRangeStart w:id="12"/>
      <w:r w:rsidDel="00000000" w:rsidR="00000000" w:rsidRPr="00000000">
        <w:rPr>
          <w:rtl w:val="0"/>
        </w:rPr>
        <w:t xml:space="preserve">2004</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D1">
      <w:pPr>
        <w:tabs>
          <w:tab w:val="left" w:leader="none" w:pos="9923"/>
        </w:tabs>
        <w:spacing w:line="360" w:lineRule="auto"/>
        <w:ind w:right="51" w:firstLine="0"/>
        <w:jc w:val="left"/>
        <w:rPr>
          <w:strike w:val="1"/>
          <w:highlight w:val="yellow"/>
        </w:rPr>
      </w:pPr>
      <w:r w:rsidDel="00000000" w:rsidR="00000000" w:rsidRPr="00000000">
        <w:rPr>
          <w:rtl w:val="0"/>
        </w:rPr>
        <w:t xml:space="preserve">The limitations discussed above do not detract from the fact that, as shown in our pioneering study, SDMs are a promising tool for the study of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 </w:t>
      </w:r>
      <w:r w:rsidDel="00000000" w:rsidR="00000000" w:rsidRPr="00000000">
        <w:rPr>
          <w:strike w:val="1"/>
          <w:highlight w:val="yellow"/>
          <w:rtl w:val="0"/>
        </w:rPr>
        <w:t xml:space="preserve">The development of new approaches to SDM construction may help unlock their full potential.</w:t>
      </w:r>
    </w:p>
    <w:p w:rsidR="00000000" w:rsidDel="00000000" w:rsidP="00000000" w:rsidRDefault="00000000" w:rsidRPr="00000000" w14:paraId="000000D2">
      <w:pPr>
        <w:tabs>
          <w:tab w:val="left" w:leader="none" w:pos="8789"/>
        </w:tabs>
        <w:spacing w:line="360" w:lineRule="auto"/>
        <w:ind w:right="1185" w:firstLine="0"/>
        <w:rPr/>
      </w:pPr>
      <w:r w:rsidDel="00000000" w:rsidR="00000000" w:rsidRPr="00000000">
        <w:rPr>
          <w:rtl w:val="0"/>
        </w:rPr>
      </w:r>
    </w:p>
    <w:p w:rsidR="00000000" w:rsidDel="00000000" w:rsidP="00000000" w:rsidRDefault="00000000" w:rsidRPr="00000000" w14:paraId="000000D3">
      <w:pPr>
        <w:tabs>
          <w:tab w:val="left" w:leader="none" w:pos="9923"/>
        </w:tabs>
        <w:spacing w:line="360" w:lineRule="auto"/>
        <w:ind w:right="51" w:firstLine="0"/>
        <w:jc w:val="left"/>
        <w:rPr/>
      </w:pPr>
      <w:r w:rsidDel="00000000" w:rsidR="00000000" w:rsidRPr="00000000">
        <w:rPr>
          <w:rtl w:val="0"/>
        </w:rP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 </w:t>
      </w:r>
    </w:p>
    <w:p w:rsidR="00000000" w:rsidDel="00000000" w:rsidP="00000000" w:rsidRDefault="00000000" w:rsidRPr="00000000" w14:paraId="000000D4">
      <w:pPr>
        <w:tabs>
          <w:tab w:val="left" w:leader="none" w:pos="9923"/>
        </w:tabs>
        <w:spacing w:line="360" w:lineRule="auto"/>
        <w:ind w:right="51" w:firstLine="0"/>
        <w:jc w:val="left"/>
        <w:rPr/>
      </w:pPr>
      <w:r w:rsidDel="00000000" w:rsidR="00000000" w:rsidRPr="00000000">
        <w:rPr>
          <w:rtl w:val="0"/>
        </w:rPr>
        <w:t xml:space="preserve">REFs</w:t>
      </w:r>
    </w:p>
    <w:p w:rsidR="00000000" w:rsidDel="00000000" w:rsidP="00000000" w:rsidRDefault="00000000" w:rsidRPr="00000000" w14:paraId="000000D5">
      <w:pPr>
        <w:tabs>
          <w:tab w:val="left" w:leader="none" w:pos="9923"/>
        </w:tabs>
        <w:spacing w:line="360" w:lineRule="auto"/>
        <w:ind w:right="51" w:firstLine="0"/>
        <w:jc w:val="left"/>
        <w:rPr/>
      </w:pPr>
      <w:r w:rsidDel="00000000" w:rsidR="00000000" w:rsidRPr="00000000">
        <w:rPr>
          <w:rtl w:val="0"/>
        </w:rPr>
        <w:t xml:space="preserve">Amarasekare, P. (2003). Competitive coexistence in spatially structured environments: a synthesis. Ecology letters, 6(12), 1109-1122.</w:t>
      </w:r>
    </w:p>
    <w:p w:rsidR="00000000" w:rsidDel="00000000" w:rsidP="00000000" w:rsidRDefault="00000000" w:rsidRPr="00000000" w14:paraId="000000D6">
      <w:pPr>
        <w:tabs>
          <w:tab w:val="left" w:leader="none" w:pos="9923"/>
        </w:tabs>
        <w:spacing w:line="360" w:lineRule="auto"/>
        <w:ind w:right="51" w:firstLine="0"/>
        <w:jc w:val="left"/>
        <w:rPr/>
      </w:pPr>
      <w:r w:rsidDel="00000000" w:rsidR="00000000" w:rsidRPr="00000000">
        <w:rPr>
          <w:rtl w:val="0"/>
        </w:rPr>
        <w:t xml:space="preserve">Beaumont, A. R., Hawkins, M. P., Doig, F. L., Davies, I. M., &amp; Snow, M. (2008). Three species of Mytilus and their hybrids identified in a Scottish Loch: natives, relicts and invaders?. Journal of Experimental Marine Biology and Ecology, 367(2), 100-110.</w:t>
      </w:r>
    </w:p>
    <w:p w:rsidR="00000000" w:rsidDel="00000000" w:rsidP="00000000" w:rsidRDefault="00000000" w:rsidRPr="00000000" w14:paraId="000000D7">
      <w:pPr>
        <w:tabs>
          <w:tab w:val="left" w:leader="none" w:pos="9923"/>
        </w:tabs>
        <w:spacing w:line="360" w:lineRule="auto"/>
        <w:ind w:right="51" w:firstLine="0"/>
        <w:jc w:val="left"/>
        <w:rPr/>
      </w:pPr>
      <w:r w:rsidDel="00000000" w:rsidR="00000000" w:rsidRPr="00000000">
        <w:rPr>
          <w:rtl w:val="0"/>
        </w:rPr>
        <w:t xml:space="preserve">Beyer, J., Green, N. W., Brooks, S., Allan, I. J., Ruus, A., Gomes, T., ... &amp; Schøyen, M. (2017). Blue mussels (Mytilus edulis spp.) as sentinel organisms in coastal pollution monitoring: a review. Marine environmental research, 130, 338-365.</w:t>
      </w:r>
    </w:p>
    <w:p w:rsidR="00000000" w:rsidDel="00000000" w:rsidP="00000000" w:rsidRDefault="00000000" w:rsidRPr="00000000" w14:paraId="000000D8">
      <w:pPr>
        <w:tabs>
          <w:tab w:val="left" w:leader="none" w:pos="9923"/>
        </w:tabs>
        <w:spacing w:line="360" w:lineRule="auto"/>
        <w:ind w:right="51" w:firstLine="0"/>
        <w:jc w:val="left"/>
        <w:rPr/>
      </w:pPr>
      <w:r w:rsidDel="00000000" w:rsidR="00000000" w:rsidRPr="00000000">
        <w:rPr>
          <w:rtl w:val="0"/>
        </w:rPr>
        <w:t xml:space="preserve">Bickford, D., Lohman, D. J., Sodhi, N. S., Ng, P. K., Meier, R., Winker, K., ... &amp; Das, I. (2007). Cryptic species as a window on diversity and conservation. Trends in ecology &amp; evolution, 22(3), 148-155.</w:t>
      </w:r>
    </w:p>
    <w:p w:rsidR="00000000" w:rsidDel="00000000" w:rsidP="00000000" w:rsidRDefault="00000000" w:rsidRPr="00000000" w14:paraId="000000D9">
      <w:pPr>
        <w:tabs>
          <w:tab w:val="left" w:leader="none" w:pos="9923"/>
        </w:tabs>
        <w:spacing w:line="360" w:lineRule="auto"/>
        <w:ind w:right="51" w:firstLine="0"/>
        <w:jc w:val="left"/>
        <w:rPr/>
      </w:pPr>
      <w:r w:rsidDel="00000000" w:rsidR="00000000" w:rsidRPr="00000000">
        <w:rPr>
          <w:rtl w:val="0"/>
        </w:rPr>
        <w:t xml:space="preserve">Bierne, N., Welch, J., Loire, E., Bonhomme, F., &amp; David, P. (2011). The coupling hypothesis: why genome scans may fail to map local adaptation genes. Molecular ecology, 20(10), 2044-2072.</w:t>
      </w:r>
    </w:p>
    <w:p w:rsidR="00000000" w:rsidDel="00000000" w:rsidP="00000000" w:rsidRDefault="00000000" w:rsidRPr="00000000" w14:paraId="000000DA">
      <w:pPr>
        <w:tabs>
          <w:tab w:val="left" w:leader="none" w:pos="9923"/>
        </w:tabs>
        <w:spacing w:line="360" w:lineRule="auto"/>
        <w:ind w:right="51" w:firstLine="0"/>
        <w:jc w:val="left"/>
        <w:rPr/>
      </w:pPr>
      <w:r w:rsidDel="00000000" w:rsidR="00000000" w:rsidRPr="00000000">
        <w:rPr>
          <w:rtl w:val="0"/>
        </w:rPr>
        <w:t xml:space="preserve">Brooks, S. J., Farmen, E., Heier, L. S., Blanco-Rayón, E., &amp; Izagirre, U. (2015). Differences in copper bioaccumulation and biological responses in three Mytilus species. Aquatic Toxicology, 160, 1-12.</w:t>
      </w:r>
    </w:p>
    <w:p w:rsidR="00000000" w:rsidDel="00000000" w:rsidP="00000000" w:rsidRDefault="00000000" w:rsidRPr="00000000" w14:paraId="000000DB">
      <w:pPr>
        <w:tabs>
          <w:tab w:val="left" w:leader="none" w:pos="9923"/>
        </w:tabs>
        <w:spacing w:line="360" w:lineRule="auto"/>
        <w:ind w:right="51" w:firstLine="0"/>
        <w:jc w:val="left"/>
        <w:rPr/>
      </w:pPr>
      <w:r w:rsidDel="00000000" w:rsidR="00000000" w:rsidRPr="00000000">
        <w:rPr>
          <w:rtl w:val="0"/>
        </w:rPr>
        <w:t xml:space="preserve">DeMarche, M. L., Doak, D. F., &amp; Morris, W. F. (2019). Incorporating local adaptation into forecasts of species’ distribution and abundance under climate change. Global Change Biology, 25(3), 775-793.</w:t>
      </w:r>
    </w:p>
    <w:p w:rsidR="00000000" w:rsidDel="00000000" w:rsidP="00000000" w:rsidRDefault="00000000" w:rsidRPr="00000000" w14:paraId="000000DC">
      <w:pPr>
        <w:tabs>
          <w:tab w:val="left" w:leader="none" w:pos="9923"/>
        </w:tabs>
        <w:spacing w:line="360" w:lineRule="auto"/>
        <w:ind w:right="51" w:firstLine="0"/>
        <w:jc w:val="left"/>
        <w:rPr/>
      </w:pPr>
      <w:r w:rsidDel="00000000" w:rsidR="00000000" w:rsidRPr="00000000">
        <w:rPr>
          <w:rtl w:val="0"/>
        </w:rPr>
        <w:t xml:space="preserve">Dufresnes, C., Poyarkov, N., &amp; Jablonski, D. (2023). Acknowledging more biodiversity without more species. Proceedings of the national Academy of Sciences, 120(40), e2302424120. https://doi.org/10.1073/pnas.2302424120</w:t>
      </w:r>
    </w:p>
    <w:p w:rsidR="00000000" w:rsidDel="00000000" w:rsidP="00000000" w:rsidRDefault="00000000" w:rsidRPr="00000000" w14:paraId="000000DD">
      <w:pPr>
        <w:tabs>
          <w:tab w:val="left" w:leader="none" w:pos="9923"/>
        </w:tabs>
        <w:spacing w:line="360" w:lineRule="auto"/>
        <w:ind w:right="51" w:firstLine="0"/>
        <w:jc w:val="left"/>
        <w:rPr/>
      </w:pPr>
      <w:r w:rsidDel="00000000" w:rsidR="00000000" w:rsidRPr="00000000">
        <w:rPr>
          <w:rtl w:val="0"/>
        </w:rPr>
        <w:t xml:space="preserve">Fraïsse, C., Belkhir, K., Welch, J. J., &amp; Bierne, N. (2016). Local interspecies introgression is the main cause of extreme levels of intraspecific differentiation in mussels. Molecular Ecology, 25(1), 269–286. https://doi.org/10.1111/mec.13299</w:t>
      </w:r>
    </w:p>
    <w:p w:rsidR="00000000" w:rsidDel="00000000" w:rsidP="00000000" w:rsidRDefault="00000000" w:rsidRPr="00000000" w14:paraId="000000DE">
      <w:pPr>
        <w:tabs>
          <w:tab w:val="left" w:leader="none" w:pos="9923"/>
        </w:tabs>
        <w:spacing w:line="360" w:lineRule="auto"/>
        <w:ind w:right="51" w:firstLine="0"/>
        <w:jc w:val="left"/>
        <w:rPr/>
      </w:pPr>
      <w:r w:rsidDel="00000000" w:rsidR="00000000" w:rsidRPr="00000000">
        <w:rPr>
          <w:rtl w:val="0"/>
        </w:rPr>
        <w:t xml:space="preserve">Gardner, J. P., Oyarzun, P. A., Toro, J. E., Wenne, R., &amp; Zbawicka, M. (2021). Phylogeography of Southern Hemisphere blue mussels of the genus Mytilus: evolution, biosecurity, aquaculture and food labelling. In Oceanography and Marine Biology (pp. 139-228). CRC Press.</w:t>
      </w:r>
    </w:p>
    <w:p w:rsidR="00000000" w:rsidDel="00000000" w:rsidP="00000000" w:rsidRDefault="00000000" w:rsidRPr="00000000" w14:paraId="000000DF">
      <w:pPr>
        <w:tabs>
          <w:tab w:val="left" w:leader="none" w:pos="9923"/>
        </w:tabs>
        <w:spacing w:line="360" w:lineRule="auto"/>
        <w:ind w:right="51" w:firstLine="0"/>
        <w:jc w:val="left"/>
        <w:rPr/>
      </w:pPr>
      <w:r w:rsidDel="00000000" w:rsidR="00000000" w:rsidRPr="00000000">
        <w:rPr>
          <w:rtl w:val="0"/>
        </w:rPr>
        <w:t xml:space="preserve">Geller, J. B., Darling, J. A., &amp; Carlton, J. T. (2010). Genetic perspectives on marine biological invasions. Annual review of marine science, 2(1), 367-393. doi:10.1146/annurev.marine.010908.163745</w:t>
      </w:r>
    </w:p>
    <w:p w:rsidR="00000000" w:rsidDel="00000000" w:rsidP="00000000" w:rsidRDefault="00000000" w:rsidRPr="00000000" w14:paraId="000000E0">
      <w:pPr>
        <w:tabs>
          <w:tab w:val="left" w:leader="none" w:pos="9923"/>
        </w:tabs>
        <w:spacing w:line="360" w:lineRule="auto"/>
        <w:ind w:right="51" w:firstLine="0"/>
        <w:jc w:val="left"/>
        <w:rPr/>
      </w:pPr>
      <w:r w:rsidDel="00000000" w:rsidR="00000000" w:rsidRPr="00000000">
        <w:rPr>
          <w:rtl w:val="0"/>
        </w:rPr>
        <w:t xml:space="preserve">Gosling, E. (2021). Marine mussels: ecology, physiology, genetics and culture. John Wiley &amp; Sons.</w:t>
      </w:r>
    </w:p>
    <w:p w:rsidR="00000000" w:rsidDel="00000000" w:rsidP="00000000" w:rsidRDefault="00000000" w:rsidRPr="00000000" w14:paraId="000000E1">
      <w:pPr>
        <w:tabs>
          <w:tab w:val="left" w:leader="none" w:pos="9923"/>
        </w:tabs>
        <w:spacing w:line="360" w:lineRule="auto"/>
        <w:ind w:right="51" w:firstLine="0"/>
        <w:jc w:val="left"/>
        <w:rPr/>
      </w:pPr>
      <w:r w:rsidDel="00000000" w:rsidR="00000000" w:rsidRPr="00000000">
        <w:rPr>
          <w:rtl w:val="0"/>
        </w:rPr>
        <w:t xml:space="preserve">Hedrick PW. Adaptive introgression in animals: examples and comparison to new mutation and standing variation as sources of adaptive variation. Mol Ecol. 2013 Sep;22(18):4606-18. doi: 10.1111/mec.12415.</w:t>
      </w:r>
    </w:p>
    <w:p w:rsidR="00000000" w:rsidDel="00000000" w:rsidP="00000000" w:rsidRDefault="00000000" w:rsidRPr="00000000" w14:paraId="000000E2">
      <w:pPr>
        <w:tabs>
          <w:tab w:val="left" w:leader="none" w:pos="9923"/>
        </w:tabs>
        <w:spacing w:line="360" w:lineRule="auto"/>
        <w:ind w:right="51" w:firstLine="0"/>
        <w:jc w:val="left"/>
        <w:rPr/>
      </w:pPr>
      <w:r w:rsidDel="00000000" w:rsidR="00000000" w:rsidRPr="00000000">
        <w:rPr>
          <w:rtl w:val="0"/>
        </w:rPr>
        <w:t xml:space="preserve">Hedrick, P. W. (2013). Adaptive introgression in animals: examples and comparison to new mutation and standing variation as sources of adaptive variation. Molecular ecology, 22(18), 4606-4618.</w:t>
      </w:r>
    </w:p>
    <w:p w:rsidR="00000000" w:rsidDel="00000000" w:rsidP="00000000" w:rsidRDefault="00000000" w:rsidRPr="00000000" w14:paraId="000000E3">
      <w:pPr>
        <w:tabs>
          <w:tab w:val="left" w:leader="none" w:pos="9923"/>
        </w:tabs>
        <w:spacing w:line="360" w:lineRule="auto"/>
        <w:ind w:right="51" w:firstLine="0"/>
        <w:jc w:val="left"/>
        <w:rPr/>
      </w:pPr>
      <w:r w:rsidDel="00000000" w:rsidR="00000000" w:rsidRPr="00000000">
        <w:rPr>
          <w:rtl w:val="0"/>
        </w:rPr>
        <w:t xml:space="preserve">Hellou, J., &amp; Law, R. J. (2003). Stress on stress response of wild mussels, Mytilus edulis and Mytilus trossulus, as an indicator of ecosystem health. Environmental Pollution, 126(3), 407-416.</w:t>
      </w:r>
    </w:p>
    <w:p w:rsidR="00000000" w:rsidDel="00000000" w:rsidP="00000000" w:rsidRDefault="00000000" w:rsidRPr="00000000" w14:paraId="000000E4">
      <w:pPr>
        <w:tabs>
          <w:tab w:val="left" w:leader="none" w:pos="9923"/>
        </w:tabs>
        <w:spacing w:line="360" w:lineRule="auto"/>
        <w:ind w:right="51" w:firstLine="0"/>
        <w:jc w:val="left"/>
        <w:rPr/>
      </w:pPr>
      <w:r w:rsidDel="00000000" w:rsidR="00000000" w:rsidRPr="00000000">
        <w:rPr>
          <w:rtl w:val="0"/>
        </w:rPr>
        <w:t xml:space="preserve">Hu ZM, Zhang QS, Zhang J, Kass JM, Mammola S, Fresia P, Draisma SGA, Assis J, Jueterbock A, Yokota M, Zhang Z. Intraspecific genetic variation matters when predicting seagrass distribution under climate change. Mol Ecol. 2021 Aug;30(15):3840-3855. doi: 10.1111/mec.15996. Väinölä R, Strelkov P. Mytilus trossulus in Northern Europe. Mar Biol. 2011;158(4):817-833. doi: 10.1007/s00227-010-1609-z. </w:t>
      </w:r>
    </w:p>
    <w:p w:rsidR="00000000" w:rsidDel="00000000" w:rsidP="00000000" w:rsidRDefault="00000000" w:rsidRPr="00000000" w14:paraId="000000E5">
      <w:pPr>
        <w:tabs>
          <w:tab w:val="left" w:leader="none" w:pos="9923"/>
        </w:tabs>
        <w:spacing w:line="360" w:lineRule="auto"/>
        <w:ind w:right="51" w:firstLine="0"/>
        <w:jc w:val="left"/>
        <w:rPr/>
      </w:pPr>
      <w:r w:rsidDel="00000000" w:rsidR="00000000" w:rsidRPr="00000000">
        <w:rPr>
          <w:rtl w:val="0"/>
        </w:rPr>
        <w:t xml:space="preserve">Katolikova M, Khaitov V, Väinölä R, Gantsevich M, Strelkov P. Genetic, Ecological and Morphological Distinctness of the Blue Mussels Mytilus trossulus Gould and M. edulis L. in the White Sea. PLoS One. 2016 Apr 4;11(4):e0152963. doi: 10.1371/journal.pone.0152963.</w:t>
      </w:r>
    </w:p>
    <w:p w:rsidR="00000000" w:rsidDel="00000000" w:rsidP="00000000" w:rsidRDefault="00000000" w:rsidRPr="00000000" w14:paraId="000000E6">
      <w:pPr>
        <w:tabs>
          <w:tab w:val="left" w:leader="none" w:pos="9923"/>
        </w:tabs>
        <w:spacing w:line="360" w:lineRule="auto"/>
        <w:ind w:right="51" w:firstLine="0"/>
        <w:jc w:val="left"/>
        <w:rPr/>
      </w:pPr>
      <w:r w:rsidDel="00000000" w:rsidR="00000000" w:rsidRPr="00000000">
        <w:rPr>
          <w:rtl w:val="0"/>
        </w:rPr>
        <w:t xml:space="preserve">Khaitov V, Marchenko J, Katolikova M, Väinölä R, Kingston SE, Carlon DB, Gantsevich M, Strelkov P. Species identification based on a semi-diagnostic marker: Evaluation of a simple conchological test for distinguishing blue mussels Mytilus edulis L. and M. trossulus Gould. PLoS One. 2021 Jul 23;16(7):e0249587. doi: 10.1371/journal.pone.0249587.</w:t>
      </w:r>
    </w:p>
    <w:p w:rsidR="00000000" w:rsidDel="00000000" w:rsidP="00000000" w:rsidRDefault="00000000" w:rsidRPr="00000000" w14:paraId="000000E7">
      <w:pPr>
        <w:tabs>
          <w:tab w:val="left" w:leader="none" w:pos="9923"/>
        </w:tabs>
        <w:spacing w:line="360" w:lineRule="auto"/>
        <w:ind w:right="51" w:firstLine="0"/>
        <w:jc w:val="left"/>
        <w:rPr/>
      </w:pPr>
      <w:r w:rsidDel="00000000" w:rsidR="00000000" w:rsidRPr="00000000">
        <w:rPr>
          <w:rtl w:val="0"/>
        </w:rPr>
        <w:t xml:space="preserve">Kijewski, T., Zbawicka, M., Strand, J., Kautsky, H., Kotta, J., Rätsep, M., &amp; Wenne, R. (2019). Random forest assessment of correlation between environmental factors and genetic differentiation of populations: Case of marine mussels Mytilus. Oceanologia, 61(1), 131-142. https://doi.org/10.1016/j.oceano.2018.08.00</w:t>
      </w:r>
    </w:p>
    <w:p w:rsidR="00000000" w:rsidDel="00000000" w:rsidP="00000000" w:rsidRDefault="00000000" w:rsidRPr="00000000" w14:paraId="000000E8">
      <w:pPr>
        <w:tabs>
          <w:tab w:val="left" w:leader="none" w:pos="9923"/>
        </w:tabs>
        <w:spacing w:line="360" w:lineRule="auto"/>
        <w:ind w:right="51" w:firstLine="0"/>
        <w:jc w:val="left"/>
        <w:rPr/>
      </w:pPr>
      <w:r w:rsidDel="00000000" w:rsidR="00000000" w:rsidRPr="00000000">
        <w:rPr>
          <w:rtl w:val="0"/>
        </w:rPr>
        <w:t xml:space="preserve">Knowlton, N. (1993). Sibling species in the sea. Annual review of ecology and systematics, 189-216.</w:t>
      </w:r>
    </w:p>
    <w:p w:rsidR="00000000" w:rsidDel="00000000" w:rsidP="00000000" w:rsidRDefault="00000000" w:rsidRPr="00000000" w14:paraId="000000E9">
      <w:pPr>
        <w:tabs>
          <w:tab w:val="left" w:leader="none" w:pos="9923"/>
        </w:tabs>
        <w:spacing w:line="360" w:lineRule="auto"/>
        <w:ind w:right="51" w:firstLine="0"/>
        <w:jc w:val="left"/>
        <w:rPr/>
      </w:pPr>
      <w:r w:rsidDel="00000000" w:rsidR="00000000" w:rsidRPr="00000000">
        <w:rPr>
          <w:rtl w:val="0"/>
        </w:rPr>
        <w:t xml:space="preserve">Koehn RK. The genetics and taxonomy of species in the genus Mytilus. Aquaculture. 1991; 94 (2–3): 125–145.</w:t>
      </w:r>
    </w:p>
    <w:p w:rsidR="00000000" w:rsidDel="00000000" w:rsidP="00000000" w:rsidRDefault="00000000" w:rsidRPr="00000000" w14:paraId="000000EA">
      <w:pPr>
        <w:tabs>
          <w:tab w:val="left" w:leader="none" w:pos="9923"/>
        </w:tabs>
        <w:spacing w:line="360" w:lineRule="auto"/>
        <w:ind w:right="51" w:firstLine="0"/>
        <w:jc w:val="left"/>
        <w:rPr/>
      </w:pPr>
      <w:r w:rsidDel="00000000" w:rsidR="00000000" w:rsidRPr="00000000">
        <w:rPr>
          <w:rtl w:val="0"/>
        </w:rPr>
        <w:t xml:space="preserve">Lukhtanov, V. A. (2011). Dobzhansky’s rule and reinforcement of prezygotic reproductive isolation in zones of secondary contact. Biology Bulletin Reviews, 1(1), 2-12.</w:t>
      </w:r>
    </w:p>
    <w:p w:rsidR="00000000" w:rsidDel="00000000" w:rsidP="00000000" w:rsidRDefault="00000000" w:rsidRPr="00000000" w14:paraId="000000EB">
      <w:pPr>
        <w:tabs>
          <w:tab w:val="left" w:leader="none" w:pos="9923"/>
        </w:tabs>
        <w:spacing w:line="360" w:lineRule="auto"/>
        <w:ind w:right="51" w:firstLine="0"/>
        <w:jc w:val="left"/>
        <w:rPr/>
      </w:pPr>
      <w:r w:rsidDel="00000000" w:rsidR="00000000" w:rsidRPr="00000000">
        <w:rPr>
          <w:rtl w:val="0"/>
        </w:rPr>
        <w:t xml:space="preserve">Marchenko J., Khaitov V., Katolikova M., Sabirov M., Malavenda S., Gantsevich M., et al. (2023). Patterns of spatial and temporal dynamics of mixed Mytilus edulis and M. trossulus populations in a small subarctic inlet (Tyuva Inlet, Barents Sea). Front. Mar. Sci. 10. doi: 10.3389/fmars.2023.1146527</w:t>
      </w:r>
    </w:p>
    <w:p w:rsidR="00000000" w:rsidDel="00000000" w:rsidP="00000000" w:rsidRDefault="00000000" w:rsidRPr="00000000" w14:paraId="000000EC">
      <w:pPr>
        <w:tabs>
          <w:tab w:val="left" w:leader="none" w:pos="9923"/>
        </w:tabs>
        <w:spacing w:line="360" w:lineRule="auto"/>
        <w:ind w:right="51" w:firstLine="0"/>
        <w:jc w:val="left"/>
        <w:rPr/>
      </w:pPr>
      <w:r w:rsidDel="00000000" w:rsidR="00000000" w:rsidRPr="00000000">
        <w:rPr>
          <w:rtl w:val="0"/>
        </w:rPr>
        <w:t xml:space="preserve">Pacala, S. W., &amp; Levin, S. A. (1997). Biologically generated spatial pattern and the coexistence of competing species. Spatial ecology: the role of space in population dynamics and interspecific interactions, 204-232.</w:t>
      </w:r>
    </w:p>
    <w:p w:rsidR="00000000" w:rsidDel="00000000" w:rsidP="00000000" w:rsidRDefault="00000000" w:rsidRPr="00000000" w14:paraId="000000ED">
      <w:pPr>
        <w:tabs>
          <w:tab w:val="left" w:leader="none" w:pos="9923"/>
        </w:tabs>
        <w:spacing w:line="360" w:lineRule="auto"/>
        <w:ind w:right="51" w:firstLine="0"/>
        <w:jc w:val="left"/>
        <w:rPr/>
      </w:pPr>
      <w:r w:rsidDel="00000000" w:rsidR="00000000" w:rsidRPr="00000000">
        <w:rPr>
          <w:rtl w:val="0"/>
        </w:rPr>
        <w:t xml:space="preserve">Pfennig KS, Pfennig DW. Character displacement: ecological and reproductive responses to a common evolutionary problem. Q Rev Biol. 2009 Sep;84(3):253-76. doi: 10.1086/605079. PMID: 19764283; PMCID: PMC3279117.</w:t>
      </w:r>
    </w:p>
    <w:p w:rsidR="00000000" w:rsidDel="00000000" w:rsidP="00000000" w:rsidRDefault="00000000" w:rsidRPr="00000000" w14:paraId="000000EE">
      <w:pPr>
        <w:tabs>
          <w:tab w:val="left" w:leader="none" w:pos="9923"/>
        </w:tabs>
        <w:spacing w:line="360" w:lineRule="auto"/>
        <w:ind w:right="51" w:firstLine="0"/>
        <w:jc w:val="left"/>
        <w:rPr/>
      </w:pPr>
      <w:r w:rsidDel="00000000" w:rsidR="00000000" w:rsidRPr="00000000">
        <w:rPr>
          <w:rtl w:val="0"/>
        </w:rPr>
        <w:t xml:space="preserve">Pfennig, D. W., &amp; Pfennig, K. S. (2020). Character displacement. Current Biology, 30(18), R1023-R1024.</w:t>
      </w:r>
    </w:p>
    <w:p w:rsidR="00000000" w:rsidDel="00000000" w:rsidP="00000000" w:rsidRDefault="00000000" w:rsidRPr="00000000" w14:paraId="000000EF">
      <w:pPr>
        <w:tabs>
          <w:tab w:val="left" w:leader="none" w:pos="9923"/>
        </w:tabs>
        <w:spacing w:line="360" w:lineRule="auto"/>
        <w:ind w:right="51" w:firstLine="0"/>
        <w:jc w:val="left"/>
        <w:rPr/>
      </w:pPr>
      <w:r w:rsidDel="00000000" w:rsidR="00000000" w:rsidRPr="00000000">
        <w:rPr>
          <w:rtl w:val="0"/>
        </w:rPr>
        <w:t xml:space="preserve">Raventós, J., Wiegand, T., &amp; Luis, M. D. (2010). Evidence for the spatial segregation hypothesis: a test with nine‐year survivorship data in a Mediterranean shrubland. Ecology, 91(7), 2110-2120.</w:t>
      </w:r>
    </w:p>
    <w:p w:rsidR="00000000" w:rsidDel="00000000" w:rsidP="00000000" w:rsidRDefault="00000000" w:rsidRPr="00000000" w14:paraId="000000F0">
      <w:pPr>
        <w:tabs>
          <w:tab w:val="left" w:leader="none" w:pos="9923"/>
        </w:tabs>
        <w:spacing w:line="360" w:lineRule="auto"/>
        <w:ind w:right="51" w:firstLine="0"/>
        <w:jc w:val="left"/>
        <w:rPr/>
      </w:pPr>
      <w:r w:rsidDel="00000000" w:rsidR="00000000" w:rsidRPr="00000000">
        <w:rPr>
          <w:rtl w:val="0"/>
        </w:rPr>
        <w:t xml:space="preserve">Ridgway, G., &amp; Nævdal, G. (2004). Genotypes of Mytilus from waters of different salinity around Bergen, Norway. Helgoland Marine Research, 58, 104-109.</w:t>
      </w:r>
    </w:p>
    <w:p w:rsidR="00000000" w:rsidDel="00000000" w:rsidP="00000000" w:rsidRDefault="00000000" w:rsidRPr="00000000" w14:paraId="000000F1">
      <w:pPr>
        <w:tabs>
          <w:tab w:val="left" w:leader="none" w:pos="9923"/>
        </w:tabs>
        <w:spacing w:line="360" w:lineRule="auto"/>
        <w:ind w:right="51" w:firstLine="0"/>
        <w:jc w:val="left"/>
        <w:rPr/>
      </w:pPr>
      <w:r w:rsidDel="00000000" w:rsidR="00000000" w:rsidRPr="00000000">
        <w:rPr>
          <w:rtl w:val="0"/>
        </w:rPr>
        <w:t xml:space="preserve">Riginos C, Cunningham CW. Local adaptation and species segregation in two mussel (Mytilus edulis x Mytilus trossulus) hybrid zones. Mol Ecol. 2005 Feb;14(2):381-400. doi: 10.1111/j.1365-294X.2004.02379.x.</w:t>
      </w:r>
    </w:p>
    <w:p w:rsidR="00000000" w:rsidDel="00000000" w:rsidP="00000000" w:rsidRDefault="00000000" w:rsidRPr="00000000" w14:paraId="000000F2">
      <w:pPr>
        <w:tabs>
          <w:tab w:val="left" w:leader="none" w:pos="9923"/>
        </w:tabs>
        <w:spacing w:line="360" w:lineRule="auto"/>
        <w:ind w:right="51" w:firstLine="0"/>
        <w:jc w:val="left"/>
        <w:rPr/>
      </w:pPr>
      <w:r w:rsidDel="00000000" w:rsidR="00000000" w:rsidRPr="00000000">
        <w:rPr>
          <w:rtl w:val="0"/>
        </w:rPr>
        <w:t xml:space="preserve">Schwartz, L. C., González, V. L., Strong, E. E., Truebano, M., &amp; Hilbish, T. J. (2024). Transgressive gene expression and expression plasticity under thermal stress in a stable hybrid zone. Molecular Ecology, 33(9), e17333.</w:t>
      </w:r>
    </w:p>
    <w:p w:rsidR="00000000" w:rsidDel="00000000" w:rsidP="00000000" w:rsidRDefault="00000000" w:rsidRPr="00000000" w14:paraId="000000F3">
      <w:pPr>
        <w:tabs>
          <w:tab w:val="left" w:leader="none" w:pos="9923"/>
        </w:tabs>
        <w:spacing w:line="360" w:lineRule="auto"/>
        <w:ind w:right="51" w:firstLine="0"/>
        <w:jc w:val="left"/>
        <w:rPr/>
      </w:pPr>
      <w:r w:rsidDel="00000000" w:rsidR="00000000" w:rsidRPr="00000000">
        <w:rPr>
          <w:rtl w:val="0"/>
        </w:rPr>
        <w:t xml:space="preserve">Simon A., Fraïsse C., El Ayari T., Liautard-Haag C., Strelkov P., Welch J. J., et al. (2021). How do species barriers decay? concordance and local introgression in mosaic hybrid zones of mussels. J. Evolutionary Biol. 34, 208–223. doi: 10.1111/jeb.13709</w:t>
      </w:r>
    </w:p>
    <w:p w:rsidR="00000000" w:rsidDel="00000000" w:rsidP="00000000" w:rsidRDefault="00000000" w:rsidRPr="00000000" w14:paraId="000000F4">
      <w:pPr>
        <w:tabs>
          <w:tab w:val="left" w:leader="none" w:pos="9923"/>
        </w:tabs>
        <w:spacing w:line="360" w:lineRule="auto"/>
        <w:ind w:right="51" w:firstLine="0"/>
        <w:jc w:val="left"/>
        <w:rPr/>
      </w:pPr>
      <w:r w:rsidDel="00000000" w:rsidR="00000000" w:rsidRPr="00000000">
        <w:rPr>
          <w:rtl w:val="0"/>
        </w:rPr>
        <w:t xml:space="preserve">Struck TH, Feder JL, Bendiksby M, Birkeland S, Cerca J, Gusarov VI, Kistenich S, Larsson KH, Liow LH, Nowak MD, Stedje B, Bachmann L, Dimitrov D. Finding Evolutionary Processes Hidden in Cryptic Species. Trends Ecol Evol. 2018 Mar;33(3):153-163. doi: 10.1016/j.tree.2017.11.007. </w:t>
      </w:r>
    </w:p>
    <w:p w:rsidR="00000000" w:rsidDel="00000000" w:rsidP="00000000" w:rsidRDefault="00000000" w:rsidRPr="00000000" w14:paraId="000000F5">
      <w:pPr>
        <w:tabs>
          <w:tab w:val="left" w:leader="none" w:pos="9923"/>
        </w:tabs>
        <w:spacing w:line="360" w:lineRule="auto"/>
        <w:ind w:right="51" w:firstLine="0"/>
        <w:jc w:val="left"/>
        <w:rPr/>
      </w:pPr>
      <w:r w:rsidDel="00000000" w:rsidR="00000000" w:rsidRPr="00000000">
        <w:rPr>
          <w:rtl w:val="0"/>
        </w:rPr>
        <w:t xml:space="preserve">Stuckas H, Knöbel L, Schade H, Breusing C, Hinrichsen HH, Bartel M, Langguth K, Melzner F. Combining hydrodynamic modelling with genetics: can passive larval drift shape the genetic structure of Baltic Mytilus populations? Mol Ecol. 2017 May;26(10):2765-2782. doi: 10.1111/mec.14075.</w:t>
      </w:r>
    </w:p>
    <w:p w:rsidR="00000000" w:rsidDel="00000000" w:rsidP="00000000" w:rsidRDefault="00000000" w:rsidRPr="00000000" w14:paraId="000000F6">
      <w:pPr>
        <w:tabs>
          <w:tab w:val="left" w:leader="none" w:pos="9923"/>
        </w:tabs>
        <w:spacing w:line="360" w:lineRule="auto"/>
        <w:ind w:right="51" w:firstLine="0"/>
        <w:jc w:val="left"/>
        <w:rPr/>
      </w:pPr>
      <w:r w:rsidDel="00000000" w:rsidR="00000000" w:rsidRPr="00000000">
        <w:rPr>
          <w:rtl w:val="0"/>
        </w:rPr>
        <w:t xml:space="preserve">Wenne R, Zbawicka M, Bach L, Strelkov P, Gantsevich M, Kukliński P, Kijewski T, McDonald JH, Sundsaasen KK, Árnyasi M, Lien S, Kaasik A, Herkül K, Kotta J. Trans-Atlantic Distribution and Introgression as Inferred from Single Nucleotide Polymorphism: Mussels Mytilus and Environmental Factors. Genes (Basel). 2020 May 10;11(5):530. doi: 10.3390/genes11050530.</w:t>
      </w:r>
    </w:p>
    <w:p w:rsidR="00000000" w:rsidDel="00000000" w:rsidP="00000000" w:rsidRDefault="00000000" w:rsidRPr="00000000" w14:paraId="000000F7">
      <w:pPr>
        <w:tabs>
          <w:tab w:val="left" w:leader="none" w:pos="9923"/>
        </w:tabs>
        <w:spacing w:line="360" w:lineRule="auto"/>
        <w:ind w:right="51" w:firstLine="0"/>
        <w:jc w:val="left"/>
        <w:rPr/>
      </w:pPr>
      <w:r w:rsidDel="00000000" w:rsidR="00000000" w:rsidRPr="00000000">
        <w:rPr>
          <w:rtl w:val="0"/>
        </w:rPr>
        <w:t xml:space="preserve">Wenne, R., Bach, L., Zbawicka, M., Strand, J., &amp; McDonald, J. H. (2016). A first report on coexistence and hybridization of Mytilus trossulus and M. edulis mussels in Greenland. Polar Biology, 39, 343-355. DOI 10.1007/s00300-015-1785-x</w:t>
      </w:r>
    </w:p>
    <w:p w:rsidR="00000000" w:rsidDel="00000000" w:rsidP="00000000" w:rsidRDefault="00000000" w:rsidRPr="00000000" w14:paraId="000000F8">
      <w:pPr>
        <w:tabs>
          <w:tab w:val="left" w:leader="none" w:pos="9923"/>
        </w:tabs>
        <w:spacing w:line="360" w:lineRule="auto"/>
        <w:ind w:right="51" w:firstLine="0"/>
        <w:jc w:val="left"/>
        <w:rPr/>
      </w:pPr>
      <w:r w:rsidDel="00000000" w:rsidR="00000000" w:rsidRPr="00000000">
        <w:rPr>
          <w:rtl w:val="0"/>
        </w:rPr>
        <w:t xml:space="preserve">Zbawicka, M ; Sanko, T ; Strand, J ; Wenne, R New SNP markers reveal largely concordant clinal variation across the hybrid zone between Mytilus spp. in the Baltic Sea. Aquatic biology, 2014-01, Vol.21 (1), p.25-36 doi: 10.3354/ab00566</w:t>
      </w:r>
    </w:p>
    <w:p w:rsidR="00000000" w:rsidDel="00000000" w:rsidP="00000000" w:rsidRDefault="00000000" w:rsidRPr="00000000" w14:paraId="000000F9">
      <w:pPr>
        <w:tabs>
          <w:tab w:val="left" w:leader="none" w:pos="9923"/>
        </w:tabs>
        <w:spacing w:line="360" w:lineRule="auto"/>
        <w:ind w:right="51" w:firstLine="0"/>
        <w:jc w:val="left"/>
        <w:rPr/>
      </w:pPr>
      <w:r w:rsidDel="00000000" w:rsidR="00000000" w:rsidRPr="00000000">
        <w:rPr>
          <w:rtl w:val="0"/>
        </w:rPr>
        <w:t xml:space="preserve">Zolotarev VN. Morphological differences in mussels of Mytilus edulis group. Vestn Zhitomirskogo Derzhavnogo Univ Im I Franka. 2002. pp. 5–8. In Russian.</w:t>
      </w:r>
    </w:p>
    <w:p w:rsidR="00000000" w:rsidDel="00000000" w:rsidP="00000000" w:rsidRDefault="00000000" w:rsidRPr="00000000" w14:paraId="000000FA">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B">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C">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FD">
      <w:pPr>
        <w:tabs>
          <w:tab w:val="left" w:leader="none" w:pos="8789"/>
        </w:tabs>
        <w:spacing w:line="360" w:lineRule="auto"/>
        <w:ind w:right="1185" w:firstLine="0"/>
        <w:rPr/>
      </w:pPr>
      <w:r w:rsidDel="00000000" w:rsidR="00000000" w:rsidRPr="00000000">
        <w:rPr>
          <w:rtl w:val="0"/>
        </w:rPr>
      </w:r>
    </w:p>
    <w:sectPr>
      <w:footerReference r:id="rId11" w:type="default"/>
      <w:pgSz w:h="15842" w:w="12242" w:orient="portrait"/>
      <w:pgMar w:bottom="1134" w:top="1134" w:left="1134" w:right="113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Petr Strelkov" w:id="4" w:date="2024-07-30T14:30:27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сюда перенес "биогеографию"</w:t>
      </w:r>
    </w:p>
  </w:comment>
  <w:comment w:author="Vadim Khaitov" w:id="5" w:date="2024-07-30T16:43:58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так лучше смотрится</w:t>
      </w:r>
    </w:p>
  </w:comment>
  <w:comment w:author="Petr Strelkov" w:id="11" w:date="2024-07-30T17:03:2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соврать что прочитали в Гослинг?</w:t>
      </w:r>
    </w:p>
  </w:comment>
  <w:comment w:author="Petr Strelkov" w:id="6" w:date="2024-07-30T17:10:3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проверь!</w:t>
      </w:r>
    </w:p>
  </w:comment>
  <w:comment w:author="Petr Strelkov" w:id="3" w:date="2024-07-30T14:27:33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w:t>
      </w:r>
    </w:p>
  </w:comment>
  <w:comment w:author="Petr Strelkov" w:id="9" w:date="2024-07-30T14:46:14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w:t>
      </w:r>
    </w:p>
  </w:comment>
  <w:comment w:author="Petr Strelkov" w:id="12" w:date="2024-07-30T16:06:15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еще ссылок! Где тупо ищут МТ в низкой солености</w:t>
      </w:r>
    </w:p>
  </w:comment>
  <w:comment w:author="Petr Strelkov" w:id="7" w:date="2024-07-30T14:42:21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общее знание, может не надо ссылки?</w:t>
      </w:r>
    </w:p>
  </w:comment>
  <w:comment w:author="Vadim Khaitov" w:id="8" w:date="2024-07-30T16:53:49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некоторых морях кельпы на литораль выходят</w:t>
      </w:r>
    </w:p>
  </w:comment>
  <w:comment w:author="Petr Strelkov" w:id="1" w:date="2024-07-30T13:37:0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пойдет?</w:t>
      </w:r>
    </w:p>
  </w:comment>
  <w:comment w:author="Vadim Khaitov" w:id="2" w:date="2024-07-30T16:41:56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Отлично!</w:t>
      </w:r>
    </w:p>
  </w:comment>
  <w:comment w:author="Vadim Khaitov" w:id="0" w:date="2024-07-30T16:57:04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Второй вариант лучше.</w:t>
      </w:r>
    </w:p>
  </w:comment>
  <w:comment w:author="Petr Strelkov" w:id="10" w:date="2024-07-30T16:47:04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ungsuh"/>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jc w:val="right"/>
      <w:rPr>
        <w:rFonts w:ascii="Courier New" w:cs="Courier New" w:eastAsia="Courier New" w:hAnsi="Courier New"/>
        <w:color w:val="000000"/>
      </w:rPr>
    </w:pPr>
    <w:r w:rsidDel="00000000" w:rsidR="00000000" w:rsidRPr="00000000">
      <w:rPr>
        <w:rFonts w:ascii="Courier New" w:cs="Courier New" w:eastAsia="Courier New" w:hAnsi="Courier New"/>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spacing w:after="120" w:line="48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Heading2">
    <w:name w:val="heading 2"/>
    <w:basedOn w:val="Normal"/>
    <w:next w:val="Normal"/>
    <w:pPr>
      <w:keepNext w:val="1"/>
      <w:widowControl w:val="0"/>
      <w:pBdr>
        <w:top w:color="000000" w:space="0" w:sz="0" w:val="none"/>
        <w:left w:color="000000" w:space="0" w:sz="0" w:val="none"/>
        <w:bottom w:color="000000" w:space="0" w:sz="0" w:val="none"/>
        <w:right w:color="000000" w:space="0" w:sz="0" w:val="none"/>
        <w:between w:color="000000" w:space="0" w:sz="0" w:val="none"/>
      </w:pBdr>
      <w:spacing w:after="60" w:before="240" w:lineRule="auto"/>
      <w:jc w:val="left"/>
    </w:pPr>
    <w:rPr>
      <w:i w:val="1"/>
    </w:rPr>
  </w:style>
  <w:style w:type="paragraph" w:styleId="Heading3">
    <w:name w:val="heading 3"/>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ind w:firstLine="0"/>
    </w:pPr>
    <w:rPr>
      <w:b w:val="1"/>
      <w:sz w:val="28"/>
      <w:szCs w:val="28"/>
    </w:rPr>
  </w:style>
  <w:style w:type="paragraph" w:styleId="Heading5">
    <w:name w:val="heading 5"/>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i w:val="1"/>
      <w:sz w:val="26"/>
      <w:szCs w:val="26"/>
    </w:rPr>
  </w:style>
  <w:style w:type="paragraph" w:styleId="Heading6">
    <w:name w:val="heading 6"/>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sz w:val="22"/>
      <w:szCs w:val="22"/>
    </w:rPr>
  </w:style>
  <w:style w:type="paragraph" w:styleId="Title">
    <w:name w:val="Title"/>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Subtitle">
    <w:name w:val="Sub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77022DFA9206416FABD5B187E87F8D90_13</vt:lpwstr>
  </property>
</Properties>
</file>