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Где-то надо сказать, что в анализах мы не учитываем данные 1961 и 1962 года.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К математическим методам</w:t>
      </w:r>
    </w:p>
    <w:p>
      <w:pPr>
        <w:rPr>
          <w:lang w:val="ru-RU"/>
        </w:rPr>
      </w:pPr>
      <w:r>
        <w:rPr>
          <w:lang w:val="ru-RU"/>
        </w:rPr>
        <w:t xml:space="preserve">Вся обработка материала осуществлялась с помощью функций языка статистического программирования </w:t>
      </w:r>
      <w:r>
        <w:rPr>
          <w:lang w:val="en-US"/>
        </w:rPr>
        <w:t xml:space="preserve">R </w:t>
      </w:r>
      <w:r>
        <w:rPr>
          <w:rFonts w:hint="default"/>
          <w:lang w:val="en-US"/>
        </w:rPr>
        <w:t xml:space="preserve">3.5.3 (R Core Team, 2019). </w:t>
      </w:r>
      <w:r>
        <w:rPr>
          <w:lang w:val="ru-RU"/>
        </w:rPr>
        <w:t xml:space="preserve">   </w:t>
      </w:r>
    </w:p>
    <w:p>
      <w:pPr>
        <w:rPr>
          <w:rFonts w:hint="default"/>
          <w:i/>
          <w:iCs/>
          <w:lang w:val="ru-RU"/>
        </w:rPr>
      </w:pPr>
    </w:p>
    <w:p>
      <w:pPr>
        <w:rPr>
          <w:i/>
          <w:iCs/>
          <w:lang w:val="ru-RU"/>
        </w:rPr>
      </w:pPr>
      <w:r>
        <w:rPr>
          <w:rFonts w:hint="default"/>
          <w:i/>
          <w:iCs/>
          <w:lang w:val="ru-RU"/>
        </w:rPr>
        <w:t>R Core Team (2019). R: A language and environment for statistical computing. R Foundation for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  <w:lang w:val="ru-RU"/>
        </w:rPr>
        <w:t>Statistical Computing, Vienna, Austria. URL https://www.R-project.org/.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Выявление фенологических событий в популяциях отдельных видов</w:t>
      </w: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>Мы выделили четыре ключевых события, даты проявления которых было необходимо оценить, исходя из имеющихся наблюдений: начало пребывания вида в планктоне (</w:t>
      </w:r>
      <w:r>
        <w:rPr>
          <w:lang w:val="en-US"/>
        </w:rPr>
        <w:t>Begin)</w:t>
      </w:r>
      <w:r>
        <w:rPr>
          <w:lang w:val="ru-RU"/>
        </w:rPr>
        <w:t>, середина временного промежутка, когда вид представлен в планктоне</w:t>
      </w:r>
      <w:r>
        <w:rPr>
          <w:lang w:val="en-US"/>
        </w:rPr>
        <w:t xml:space="preserve"> (Middle)</w:t>
      </w:r>
      <w:r>
        <w:rPr>
          <w:lang w:val="ru-RU"/>
        </w:rPr>
        <w:t>, дата пика численности вида</w:t>
      </w:r>
      <w:r>
        <w:rPr>
          <w:lang w:val="en-US"/>
        </w:rPr>
        <w:t xml:space="preserve"> (Peak)</w:t>
      </w:r>
      <w:r>
        <w:rPr>
          <w:lang w:val="ru-RU"/>
        </w:rPr>
        <w:t xml:space="preserve"> и дата окончания пребывания вида в планктоне</w:t>
      </w:r>
      <w:r>
        <w:rPr>
          <w:lang w:val="en-US"/>
        </w:rPr>
        <w:t xml:space="preserve"> (End)</w:t>
      </w:r>
      <w:r>
        <w:rPr>
          <w:lang w:val="ru-RU"/>
        </w:rPr>
        <w:t xml:space="preserve">.    </w:t>
      </w: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>Поскольку в нашем распоряжении были сезонные наблюдения, организованные по декадной схеме, то даты</w:t>
      </w:r>
      <w:r>
        <w:rPr>
          <w:lang w:val="en-US"/>
        </w:rPr>
        <w:t xml:space="preserve"> </w:t>
      </w:r>
      <w:r>
        <w:rPr>
          <w:lang w:val="ru-RU"/>
        </w:rPr>
        <w:t xml:space="preserve">ключевых событий могли приходиться на промежутки между наблюлениями и, стало быть, пропущены. В связи с этим мы воспользовались следующим методом руконструкции дат ключевых событий. </w:t>
      </w: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В качестве маркеров пребывания вида в планктоне мы использовали обилие копеподитов, как наиболее обильной и, стало быть, репрезентативной стадии. (Для </w:t>
      </w:r>
      <w:r>
        <w:rPr>
          <w:lang w:val="en-US"/>
        </w:rPr>
        <w:t xml:space="preserve">Calanus glacialis </w:t>
      </w:r>
      <w:r>
        <w:rPr>
          <w:lang w:val="ru-RU"/>
        </w:rPr>
        <w:t xml:space="preserve">была рассмотрена суммарная численность копеподитов </w:t>
      </w:r>
      <w:r>
        <w:rPr>
          <w:lang w:val="en-US"/>
        </w:rPr>
        <w:t>I, II</w:t>
      </w:r>
      <w:r>
        <w:rPr>
          <w:lang w:val="ru-RU"/>
        </w:rPr>
        <w:t xml:space="preserve"> и </w:t>
      </w:r>
      <w:r>
        <w:rPr>
          <w:lang w:val="en-US"/>
        </w:rPr>
        <w:t>III</w:t>
      </w:r>
      <w:r>
        <w:rPr>
          <w:lang w:val="ru-RU"/>
        </w:rPr>
        <w:t>)</w:t>
      </w:r>
      <w:r>
        <w:rPr>
          <w:lang w:val="en-US"/>
        </w:rPr>
        <w:t>.</w:t>
      </w:r>
      <w:r>
        <w:rPr>
          <w:lang w:val="ru-RU"/>
        </w:rPr>
        <w:t xml:space="preserve"> Обилие особей этих стадий рассматривалось, как отражение общего обилия популяции.</w:t>
      </w: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Для каждого вида в каждый из календарных годов была построена кумулята обилия -- числовой ряд, отражающий накопленное число особей, отмеченных в пробах на данный момент наблюдений. Эта кумулята была аппроксимирована с помощью логистической кривой, которая описывала зависимость кумуляты от количества Юлианских дней, прошедших от 1 января данного года (эта дата была взята за начало отсчета в каждый отдельный год). </w:t>
      </w:r>
    </w:p>
    <w:p>
      <w:pPr>
        <w:numPr>
          <w:ilvl w:val="0"/>
          <w:numId w:val="0"/>
        </w:numPr>
        <w:rPr>
          <w:i/>
          <w:iCs/>
          <w:lang w:val="en-US"/>
        </w:rPr>
      </w:pPr>
      <w:r>
        <w:rPr>
          <w:lang w:val="ru-RU"/>
        </w:rPr>
        <w:t xml:space="preserve">Подбор параметров логистической модели производился методом наименьших квадратов с помощью функции </w:t>
      </w:r>
      <w:r>
        <w:rPr>
          <w:lang w:val="en-US"/>
        </w:rPr>
        <w:t xml:space="preserve">nls() (Bates, Chambers, 1992) </w:t>
      </w:r>
      <w:r>
        <w:rPr>
          <w:lang w:val="ru-RU"/>
        </w:rPr>
        <w:t xml:space="preserve">из пакета </w:t>
      </w:r>
      <w:r>
        <w:rPr>
          <w:lang w:val="en-US"/>
        </w:rPr>
        <w:t xml:space="preserve">Stats (R Core Team, 2019).  </w:t>
      </w:r>
    </w:p>
    <w:p>
      <w:pPr>
        <w:numPr>
          <w:ilvl w:val="0"/>
          <w:numId w:val="0"/>
        </w:numPr>
        <w:rPr>
          <w:rFonts w:hint="default"/>
          <w:i/>
          <w:iCs/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rFonts w:hint="default"/>
          <w:i/>
          <w:iCs/>
          <w:lang w:val="en-US"/>
        </w:rPr>
        <w:t>Bates, D. M. and Chambers, J. M. (1992) Nonlinear models. Chapter 10 of Statistical Models in Seds J. M. Chambers and T. J. Hastie, Wadsworth &amp; Brooks/Cole.</w:t>
      </w: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>После подбора параметров модели, связывающей кумуляту и время, прошедшее с начала года, мы оценивали три величины:</w:t>
      </w:r>
    </w:p>
    <w:p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Дата (количество Юлианских дней, прошедших с начала года), на которую приходилось 15% от значения асимптоты логистической кривой подобранной для данного вида в данном году. Это значение рассматривалось, как дата начала пребывания вида в планктоне (</w:t>
      </w:r>
      <w:r>
        <w:rPr>
          <w:lang w:val="en-US"/>
        </w:rPr>
        <w:t>Begin)</w:t>
      </w:r>
      <w:r>
        <w:rPr>
          <w:lang w:val="ru-RU"/>
        </w:rPr>
        <w:t>.</w:t>
      </w:r>
    </w:p>
    <w:p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Дата, на которую приходилась точка перегиба логистической кривой. Это значение рассматривалась, как характеристика середины пребывания вида в планктоне</w:t>
      </w:r>
      <w:r>
        <w:rPr>
          <w:lang w:val="en-US"/>
        </w:rPr>
        <w:t xml:space="preserve"> (Middle)</w:t>
      </w:r>
      <w:r>
        <w:rPr>
          <w:lang w:val="ru-RU"/>
        </w:rPr>
        <w:t>.</w:t>
      </w:r>
    </w:p>
    <w:p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Дата, на которую приходилось 85% от значения асимптоты. Это значение рассматривалось, как характеристика окончания пребывания вида в планктоне</w:t>
      </w:r>
      <w:r>
        <w:rPr>
          <w:lang w:val="en-US"/>
        </w:rPr>
        <w:t xml:space="preserve"> (End)</w:t>
      </w:r>
      <w:r>
        <w:rPr>
          <w:lang w:val="ru-RU"/>
        </w:rPr>
        <w:t>.</w:t>
      </w: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>В качестве даты пика численности вида (</w:t>
      </w:r>
      <w:r>
        <w:rPr>
          <w:lang w:val="en-US"/>
        </w:rPr>
        <w:t>Peak)</w:t>
      </w:r>
      <w:r>
        <w:rPr>
          <w:lang w:val="ru-RU"/>
        </w:rPr>
        <w:t xml:space="preserve"> рассматривалась дата прямого наблюдения (без учета аппроксимирующей логистической кривой), когда была отмечена максимальная численность за весь период наблюдения в данном году. </w:t>
      </w: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Методика заполнения пропущенных значений 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ru-RU"/>
        </w:rPr>
        <w:t xml:space="preserve">В 1963, 1972 и 1990 гг имеющая временная сеть наблюдений не позволила адекватно описать кумуляту для </w:t>
      </w:r>
      <w:r>
        <w:rPr>
          <w:lang w:val="en-US"/>
        </w:rPr>
        <w:t>C.glacialis</w:t>
      </w:r>
      <w:r>
        <w:rPr>
          <w:lang w:val="ru-RU"/>
        </w:rPr>
        <w:t xml:space="preserve"> (очень краткое пребывание вида в планктоне пришлось на промежутки между наблюдениями). В этих случаях подобрать логистическую кривую не удалось. В связи с этим пропущенные значения ключевых событий были реконструированы с помощью сингулярного спектрального анализа временных рядов (</w:t>
      </w:r>
      <w:r>
        <w:rPr>
          <w:lang w:val="en-US"/>
        </w:rPr>
        <w:t>singular spectral analysis of time series)</w:t>
      </w:r>
      <w:r>
        <w:rPr>
          <w:lang w:val="ru-RU"/>
        </w:rPr>
        <w:t>, предложенного в качестве инструмента заполнения пропусков во временных рядах</w:t>
      </w:r>
      <w:r>
        <w:rPr>
          <w:lang w:val="en-US"/>
        </w:rPr>
        <w:t xml:space="preserve"> (Golyadina, Osipov, 2007; Golyadina, Korobeynikov, 2013). </w:t>
      </w:r>
      <w:r>
        <w:rPr>
          <w:lang w:val="ru-RU"/>
        </w:rPr>
        <w:t xml:space="preserve">Для данного анализа была применена функция </w:t>
      </w:r>
      <w:r>
        <w:rPr>
          <w:rFonts w:hint="default"/>
          <w:lang w:val="ru-RU"/>
        </w:rPr>
        <w:t xml:space="preserve">gapfill() из пакета </w:t>
      </w:r>
      <w:r>
        <w:rPr>
          <w:rFonts w:hint="default"/>
          <w:lang w:val="en-US"/>
        </w:rPr>
        <w:t>Rssa (</w:t>
      </w:r>
      <w:r>
        <w:rPr>
          <w:lang w:val="en-US"/>
        </w:rPr>
        <w:t>Golyadina, Korobeynikov, 2014).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i/>
          <w:iCs/>
          <w:lang w:val="en-US"/>
        </w:rPr>
      </w:pPr>
      <w:r>
        <w:rPr>
          <w:rFonts w:hint="default"/>
          <w:i/>
          <w:iCs/>
          <w:lang w:val="en-US"/>
        </w:rPr>
        <w:t>N. Golyandina, E. Osipov (2007): The "Caterpillar"-SSA method for analysis of time series with missing values. Journal of Statistical Planning and Inference, Vol. 137, No. 8, Pp 2642–2653</w:t>
      </w:r>
    </w:p>
    <w:p>
      <w:pPr>
        <w:numPr>
          <w:ilvl w:val="0"/>
          <w:numId w:val="0"/>
        </w:numPr>
        <w:rPr>
          <w:i/>
          <w:iCs/>
          <w:lang w:val="en-US"/>
        </w:rPr>
      </w:pPr>
      <w:r>
        <w:rPr>
          <w:rFonts w:hint="default"/>
          <w:i/>
          <w:iCs/>
          <w:lang w:val="en-US"/>
        </w:rPr>
        <w:t>Golyandina, N., &amp; Zhigljavsky, A. (2013). Singular Spectrum Analysis for time series. Springer Science &amp; Business Media.</w:t>
      </w:r>
    </w:p>
    <w:p>
      <w:pPr>
        <w:numPr>
          <w:ilvl w:val="0"/>
          <w:numId w:val="0"/>
        </w:numPr>
        <w:rPr>
          <w:i/>
          <w:iCs/>
          <w:lang w:val="en-US"/>
        </w:rPr>
      </w:pPr>
      <w:r>
        <w:rPr>
          <w:rFonts w:hint="default"/>
          <w:i/>
          <w:iCs/>
          <w:lang w:val="en-US"/>
        </w:rPr>
        <w:t>Nina Golyandina and Anton Korobeynikov (2014) Basic Singular Spectrum Analysis and Forecasting with R. Computational Statistics and Data Analysis, Vol. 71, 934-954</w:t>
      </w: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>Аналогичный подход бы применен для заполнения пропущенных значений во временных рядах факторов среды (см. ниже).</w:t>
      </w: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>Параметры среды</w:t>
      </w: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>В качестве парамтеров среды, потенциально оказывающих вличние на даты фенологических событий были использованы следующие показатели: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- TPD -- Julian day when temperature maximum was observed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- SpSD -- Julian day when hydrological spring started (water temperature reached 3 Celsium degree)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- SuSD -- Julian day when hydrological summer started (water temperature reached 3 Celsium degree)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- SuFD -- Julian day when hydrological summer finnished (????????)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- ICD -- Julian day when ice clearing was observed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- SpT -- Mean spring temperature 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- SuT -- Mean summer temperature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- NAO -- North Atlantic oscillation index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- AOI -- Arctic oscillation index ?????????????</w:t>
      </w: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Поскольку жизненный цикл изученных видов охватывает как минимум два года, то состояние популяции в данном году может зависеть от событий произошедших в предыдущий год. В связи с этим, в качестве отдельных факторов, вовлеченных в дальнейший анализ рассматривались значения показателей, отмченные в предыдущем году. </w:t>
      </w: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Анализ многолетней динамики изученных величин 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ru-RU"/>
        </w:rPr>
        <w:t xml:space="preserve">Для выявления многолетних линейных трендов в динамике фенологических показателей видов и их обилия, а также факторов среды для каждого из них были подобраны линейные модели, связывающие значение той или иной величины со временем (годы наблюдения). Подбор параметров линейных моделей осуществлялся методом наименьших квадратов с помощью функции </w:t>
      </w:r>
      <w:r>
        <w:rPr>
          <w:lang w:val="en-US"/>
        </w:rPr>
        <w:t>lm()</w:t>
      </w:r>
      <w:r>
        <w:rPr>
          <w:lang w:val="ru-RU"/>
        </w:rPr>
        <w:t xml:space="preserve"> из пакета </w:t>
      </w:r>
      <w:r>
        <w:rPr>
          <w:lang w:val="en-US"/>
        </w:rPr>
        <w:t xml:space="preserve">stats (R Core Team, 2019). 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ru-RU"/>
        </w:rPr>
        <w:t xml:space="preserve">Вместе с тем, из-за очевидного присутствия в данных временных автокорреляций, мы не использовали стандартные оценки статистической значимости параметров моделей, которые требуют независимости наблюдений. Вместо этого мы спользовали метод модельных матриц </w:t>
      </w:r>
      <w:r>
        <w:rPr>
          <w:lang w:val="en-US"/>
        </w:rPr>
        <w:t>[</w:t>
      </w:r>
      <w:r>
        <w:rPr>
          <w:rFonts w:hint="default"/>
          <w:lang w:val="ru-RU"/>
        </w:rPr>
        <w:t>‘‘model matrix’’ approach</w:t>
      </w:r>
      <w:r>
        <w:rPr>
          <w:rFonts w:hint="default"/>
          <w:lang w:val="en-US"/>
        </w:rPr>
        <w:t>]</w:t>
      </w:r>
      <w:r>
        <w:rPr>
          <w:lang w:val="ru-RU"/>
        </w:rPr>
        <w:t xml:space="preserve"> (</w:t>
      </w:r>
      <w:r>
        <w:rPr>
          <w:rFonts w:hint="default"/>
          <w:lang w:val="ru-RU"/>
        </w:rPr>
        <w:t>Clarke &amp; Gorley, 2006;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Legendre &amp; Legendre, 2012</w:t>
      </w:r>
      <w:r>
        <w:rPr>
          <w:rFonts w:hint="default"/>
          <w:lang w:val="en-US"/>
        </w:rPr>
        <w:t xml:space="preserve">). </w:t>
      </w:r>
      <w:r>
        <w:rPr>
          <w:rFonts w:hint="default"/>
          <w:lang w:val="ru-RU"/>
        </w:rPr>
        <w:t xml:space="preserve">Для этого </w:t>
      </w:r>
      <w:r>
        <w:rPr>
          <w:lang w:val="ru-RU"/>
        </w:rPr>
        <w:t xml:space="preserve">мы вычисляли матрицу попарных эвклидовых расстояний между годами, на основе временного ряда, представляющего многолетние изменения той или иной величины. Вторая, </w:t>
      </w:r>
      <w:r>
        <w:rPr>
          <w:rFonts w:hint="default"/>
          <w:lang w:val="ru-RU"/>
        </w:rPr>
        <w:t xml:space="preserve">«градиентная» </w:t>
      </w:r>
      <w:r>
        <w:rPr>
          <w:lang w:val="ru-RU"/>
        </w:rPr>
        <w:t>модельная матрица отражала попарные эвклидовы расстояния между числами натурального ряда от 1963 до 2018. Далее проводилось вычисление Мантеловской корреляции между этими двумя матрицами. Оценка статистической значимости осуществлялась пермутационным методом (здесь и в дальнейших случаях пермутаионных оценок значимости использовалось 9999 пермутаций). В дальнейшем мы использовали уровни значимости, полученные в данном анализе. Поскольку во всех случаях приходилось иметь дело со множественными гипотезами (несколько видов, несколько параметров среды), то все значения Мантеловских уровней значимости подвергались корректировке в соответствии с процедурой контроля</w:t>
      </w:r>
      <w:r>
        <w:rPr>
          <w:lang w:val="en-US"/>
        </w:rPr>
        <w:t xml:space="preserve"> FDR</w:t>
      </w:r>
      <w:r>
        <w:rPr>
          <w:lang w:val="ru-RU"/>
        </w:rPr>
        <w:t xml:space="preserve"> </w:t>
      </w:r>
      <w:r>
        <w:rPr>
          <w:lang w:val="en-US"/>
        </w:rPr>
        <w:t>[False Discovery Rate] (</w:t>
      </w:r>
      <w:r>
        <w:rPr>
          <w:rFonts w:hint="default"/>
          <w:lang w:val="ru-RU"/>
        </w:rPr>
        <w:t>Benjamini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Hochberg,1995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0"/>
        </w:numPr>
        <w:rPr>
          <w:rFonts w:hint="default"/>
          <w:i/>
          <w:iCs/>
          <w:lang w:val="ru-RU"/>
        </w:rPr>
      </w:pPr>
    </w:p>
    <w:p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Clarke, K. R. &amp; R. N. Gorley, 2006. PRIMER v6: User Manual/Tutorial. Primer-E Ltd., Plymouth.</w:t>
      </w:r>
    </w:p>
    <w:p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Legendre, P. &amp; L. Legendre, 2012. Numerical Ecology. Elsevier, Third English edition.</w:t>
      </w:r>
    </w:p>
    <w:p>
      <w:pPr>
        <w:numPr>
          <w:ilvl w:val="0"/>
          <w:numId w:val="0"/>
        </w:numPr>
        <w:rPr>
          <w:i/>
          <w:iCs/>
          <w:lang w:val="ru-RU"/>
        </w:rPr>
      </w:pPr>
      <w:bookmarkStart w:id="0" w:name="_GoBack"/>
      <w:r>
        <w:rPr>
          <w:rFonts w:hint="default"/>
          <w:i/>
          <w:iCs/>
          <w:lang w:val="ru-RU"/>
        </w:rPr>
        <w:t>Benjamini, Y., &amp; Hochberg</w:t>
      </w:r>
      <w:bookmarkEnd w:id="0"/>
      <w:r>
        <w:rPr>
          <w:rFonts w:hint="default"/>
          <w:i/>
          <w:iCs/>
          <w:lang w:val="ru-RU"/>
        </w:rPr>
        <w:t>, Y. (1995). Controlling the false discovery rate: a practical and powerful approach to multiple testing. Journal of the Royal statistical society: series B (Methodological), 57(1), 289-300.</w:t>
      </w: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Если скорректированный уровень значимости был ниже критического уровня (в данном анализе за критический уровень принималось значение </w:t>
      </w:r>
      <w:r>
        <w:rPr>
          <w:lang w:val="en-US"/>
        </w:rPr>
        <w:t>p</w:t>
      </w:r>
      <w:r>
        <w:rPr>
          <w:lang w:val="ru-RU"/>
        </w:rPr>
        <w:t>=0.0</w:t>
      </w:r>
      <w:r>
        <w:rPr>
          <w:lang w:val="en-US"/>
        </w:rPr>
        <w:t xml:space="preserve">5), </w:t>
      </w:r>
      <w:r>
        <w:rPr>
          <w:lang w:val="ru-RU"/>
        </w:rPr>
        <w:t xml:space="preserve">то это рассматривалось как свидетельство присутствия в многолетней динамике данной величины некоторого направленного (восходящего или нисходящего) тренда. Направленность тренда оценивалась по значению углового коэффициента подобранной линейной модели.  </w:t>
      </w: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>Фенологическая таблица и ее анализ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ru-RU"/>
        </w:rPr>
        <w:t>Для выявления факторов, оказывающих влияние на фенологические события видов</w:t>
      </w:r>
      <w:r>
        <w:rPr>
          <w:lang w:val="en-US"/>
        </w:rPr>
        <w:t>,</w:t>
      </w:r>
      <w:r>
        <w:rPr>
          <w:lang w:val="ru-RU"/>
        </w:rPr>
        <w:t xml:space="preserve"> был применен канонический корреспондентный анализ </w:t>
      </w:r>
      <w:r>
        <w:rPr>
          <w:lang w:val="en-US"/>
        </w:rPr>
        <w:t>[canonical correspondece analysis, CCA] (</w:t>
      </w:r>
      <w:r>
        <w:rPr>
          <w:rFonts w:hint="default"/>
          <w:lang w:val="en-US"/>
        </w:rPr>
        <w:t xml:space="preserve">Ter Braak,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1986; Legendre, Legendre, 2012</w:t>
      </w:r>
      <w:r>
        <w:rPr>
          <w:lang w:val="en-US"/>
        </w:rPr>
        <w:t>).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i/>
          <w:iCs/>
          <w:lang w:val="en-US"/>
        </w:rPr>
      </w:pPr>
      <w:r>
        <w:rPr>
          <w:rFonts w:hint="default"/>
          <w:i/>
          <w:iCs/>
          <w:lang w:val="en-US"/>
        </w:rPr>
        <w:t>Ter Braak, C. J. F. (1986) Canonical Correspondence Analysis: a new eigenvector technique for multivariate direct gradient analysis. Ecology 67, 1167-1179.</w:t>
      </w:r>
    </w:p>
    <w:p>
      <w:pPr>
        <w:numPr>
          <w:ilvl w:val="0"/>
          <w:numId w:val="0"/>
        </w:numPr>
        <w:rPr>
          <w:i/>
          <w:iCs/>
          <w:lang w:val="en-US"/>
        </w:rPr>
      </w:pPr>
      <w:r>
        <w:rPr>
          <w:rFonts w:hint="default"/>
          <w:i/>
          <w:iCs/>
          <w:lang w:val="en-US"/>
        </w:rPr>
        <w:t>Legendre, P. and Legendre, L. (2012) Numerical Ecology. 3rd English ed. Elsevier.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В качестве зависимой матрицы в этом анализе была использована </w:t>
      </w:r>
      <w:r>
        <w:rPr>
          <w:rFonts w:hint="default"/>
          <w:lang w:val="ru-RU"/>
        </w:rPr>
        <w:t xml:space="preserve">«фенологическая матрица», колонки котрой были сформированы </w:t>
      </w:r>
      <w:r>
        <w:rPr>
          <w:lang w:val="ru-RU"/>
        </w:rPr>
        <w:t>ключевыми событиями каждого из видов (4 х 7 = 21 колонка), а строками - годы. В ячейках фенологической матрицы были приведены даты ключевых событий (количество Юлианских дней от начала года).</w:t>
      </w: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В качестве матрицы-пердиктора выступала матрица, в котрой строками были годы, а колонками были параметры среды (см. выше). Вместе с тем, поскольку фенологические события в жизни планктона могут регулироваться не только абиотическими параметрами среды, но также и биотическими взаимодействиями с другими членами планктонного сообщества, в матрицу-предиктор мы также включили и значения обилия видов (величины были подвергнуты логарифмированию). Анализ был проведен с помощью функции </w:t>
      </w:r>
      <w:r>
        <w:rPr>
          <w:lang w:val="en-US"/>
        </w:rPr>
        <w:t xml:space="preserve">cca() </w:t>
      </w:r>
      <w:r>
        <w:rPr>
          <w:lang w:val="ru-RU"/>
        </w:rPr>
        <w:t xml:space="preserve">из пакета </w:t>
      </w:r>
      <w:r>
        <w:rPr>
          <w:lang w:val="en-US"/>
        </w:rPr>
        <w:t>vegan</w:t>
      </w:r>
      <w:r>
        <w:rPr>
          <w:lang w:val="ru-RU"/>
        </w:rPr>
        <w:t xml:space="preserve"> (</w:t>
      </w:r>
      <w:r>
        <w:rPr>
          <w:lang w:val="en-US"/>
        </w:rPr>
        <w:t>Oksanen et al., 2019</w:t>
      </w:r>
      <w:r>
        <w:rPr>
          <w:lang w:val="ru-RU"/>
        </w:rPr>
        <w:t>)</w:t>
      </w:r>
      <w:r>
        <w:rPr>
          <w:lang w:val="en-US"/>
        </w:rPr>
        <w:t>.</w:t>
      </w:r>
      <w:r>
        <w:rPr>
          <w:lang w:val="ru-RU"/>
        </w:rPr>
        <w:t xml:space="preserve">   </w:t>
      </w: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i/>
          <w:iCs/>
          <w:lang w:val="ru-RU"/>
        </w:rPr>
      </w:pPr>
      <w:r>
        <w:rPr>
          <w:rFonts w:hint="default"/>
          <w:i/>
          <w:iCs/>
          <w:lang w:val="ru-RU"/>
        </w:rPr>
        <w:t>Jari Oksanen, F. Guillaume Blanchet, Michael Friendly, Roeland Kindt, Pierre Legendre, Dan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  <w:lang w:val="ru-RU"/>
        </w:rPr>
        <w:t>McGlinn, Peter R. Minchin, R. B. O'Hara, Gavin L. Simpson, Peter Solymos, M. Henry H. Stevens,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  <w:lang w:val="ru-RU"/>
        </w:rPr>
        <w:t>Eduard Szoecs and Helene Wagner (2019). vegan: Community Ecology Package. R package version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  <w:lang w:val="ru-RU"/>
        </w:rPr>
        <w:t>2.5-4. https://CRAN.R-project.org/package=vegan</w:t>
      </w: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После того как была подобрана полная модель, включающая все возможные переменные из матрицы-предиктора, с помощью функции </w:t>
      </w:r>
      <w:r>
        <w:rPr>
          <w:lang w:val="en-US"/>
        </w:rPr>
        <w:t xml:space="preserve">ordistep() </w:t>
      </w:r>
      <w:r>
        <w:rPr>
          <w:lang w:val="ru-RU"/>
        </w:rPr>
        <w:t>из пакета</w:t>
      </w:r>
      <w:r>
        <w:rPr>
          <w:lang w:val="en-US"/>
        </w:rPr>
        <w:t xml:space="preserve"> vegan</w:t>
      </w:r>
      <w:r>
        <w:rPr>
          <w:lang w:val="ru-RU"/>
        </w:rPr>
        <w:t>,</w:t>
      </w:r>
      <w:r>
        <w:rPr>
          <w:lang w:val="en-US"/>
        </w:rPr>
        <w:t xml:space="preserve"> </w:t>
      </w:r>
      <w:r>
        <w:rPr>
          <w:lang w:val="ru-RU"/>
        </w:rPr>
        <w:t xml:space="preserve">был осуществлен подбор оптимальной модели в соответствии с протоколом пошагового обратного отбора </w:t>
      </w:r>
      <w:r>
        <w:rPr>
          <w:lang w:val="en-US"/>
        </w:rPr>
        <w:t>[stepwise backward selection].</w:t>
      </w:r>
      <w:r>
        <w:rPr>
          <w:lang w:val="ru-RU"/>
        </w:rPr>
        <w:t xml:space="preserve"> </w:t>
      </w: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>Для оценки статистической значимости финальной модели в целом, отдельных ограниченных осей (</w:t>
      </w:r>
      <w:r>
        <w:rPr>
          <w:lang w:val="en-US"/>
        </w:rPr>
        <w:t xml:space="preserve">constrained axis) </w:t>
      </w:r>
      <w:r>
        <w:rPr>
          <w:lang w:val="ru-RU"/>
        </w:rPr>
        <w:t xml:space="preserve">и оставшихся в модели переменных-предикторов был применен пермутационный метод, реализованный в функции </w:t>
      </w:r>
      <w:r>
        <w:rPr>
          <w:lang w:val="en-US"/>
        </w:rPr>
        <w:t xml:space="preserve">anova.cca() </w:t>
      </w:r>
      <w:r>
        <w:rPr>
          <w:lang w:val="ru-RU"/>
        </w:rPr>
        <w:t xml:space="preserve">из пакета </w:t>
      </w:r>
      <w:r>
        <w:rPr>
          <w:lang w:val="en-US"/>
        </w:rPr>
        <w:t>vegan.</w:t>
      </w:r>
      <w:r>
        <w:rPr>
          <w:lang w:val="ru-RU"/>
        </w:rPr>
        <w:t xml:space="preserve"> Статистически значимыми считались оценки при критическом уровне значимости </w:t>
      </w:r>
      <w:r>
        <w:rPr>
          <w:lang w:val="en-US"/>
        </w:rPr>
        <w:t xml:space="preserve">p = 0.1. </w:t>
      </w:r>
      <w:r>
        <w:rPr>
          <w:lang w:val="ru-RU"/>
        </w:rPr>
        <w:t xml:space="preserve">   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087C"/>
    <w:multiLevelType w:val="singleLevel"/>
    <w:tmpl w:val="009108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0A2B28"/>
    <w:rsid w:val="275F051B"/>
    <w:rsid w:val="2D7C3A6D"/>
    <w:rsid w:val="2DD4061F"/>
    <w:rsid w:val="3D2E204C"/>
    <w:rsid w:val="4693393B"/>
    <w:rsid w:val="58450B78"/>
    <w:rsid w:val="62081642"/>
    <w:rsid w:val="69087A9B"/>
    <w:rsid w:val="6A912367"/>
    <w:rsid w:val="6DD474D9"/>
    <w:rsid w:val="7C0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2"/>
    </w:pPr>
    <w:rPr>
      <w:rFonts w:asciiTheme="majorAscii" w:hAnsiTheme="majorAscii" w:eastAsiaTheme="majorEastAsia" w:cstheme="majorBidi"/>
      <w:b/>
      <w:bCs/>
      <w:i/>
      <w:color w:val="000000" w:themeColor="text1"/>
      <w:sz w:val="22"/>
      <w:szCs w:val="28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caption"/>
    <w:basedOn w:val="1"/>
    <w:next w:val="1"/>
    <w:link w:val="11"/>
    <w:semiHidden/>
    <w:unhideWhenUsed/>
    <w:qFormat/>
    <w:uiPriority w:val="0"/>
    <w:pPr>
      <w:spacing w:after="120"/>
    </w:pPr>
    <w:rPr>
      <w:rFonts w:asciiTheme="minorAscii" w:hAnsiTheme="minorAscii" w:eastAsiaTheme="minorEastAsia" w:cstheme="minorBidi"/>
      <w:sz w:val="20"/>
      <w:szCs w:val="20"/>
      <w:lang w:val="en-US"/>
    </w:rPr>
  </w:style>
  <w:style w:type="character" w:styleId="7">
    <w:name w:val="Emphasis"/>
    <w:basedOn w:val="6"/>
    <w:qFormat/>
    <w:uiPriority w:val="0"/>
    <w:rPr>
      <w:i/>
      <w:iCs/>
    </w:rPr>
  </w:style>
  <w:style w:type="paragraph" w:customStyle="1" w:styleId="9">
    <w:name w:val="Текст абзаца"/>
    <w:basedOn w:val="1"/>
    <w:qFormat/>
    <w:uiPriority w:val="0"/>
    <w:pPr>
      <w:spacing w:line="360" w:lineRule="auto"/>
      <w:jc w:val="both"/>
    </w:pPr>
    <w:rPr>
      <w:rFonts w:ascii="Times New Roman" w:hAnsi="Times New Roman" w:eastAsia="Calibri"/>
      <w:sz w:val="24"/>
    </w:rPr>
  </w:style>
  <w:style w:type="paragraph" w:customStyle="1" w:styleId="10">
    <w:name w:val="абзац"/>
    <w:basedOn w:val="1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</w:rPr>
  </w:style>
  <w:style w:type="character" w:customStyle="1" w:styleId="11">
    <w:name w:val="Название объекта Знак"/>
    <w:basedOn w:val="6"/>
    <w:link w:val="5"/>
    <w:qFormat/>
    <w:uiPriority w:val="0"/>
    <w:rPr>
      <w:rFonts w:asciiTheme="minorAscii" w:hAnsiTheme="minorAscii" w:eastAsiaTheme="minorEastAsia" w:cstheme="minorBidi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2019-05-20T10:13:00Z</dcterms:created>
  <dc:creator>polyd</dc:creator>
  <cp:lastModifiedBy>polyd</cp:lastModifiedBy>
  <dcterms:modified xsi:type="dcterms:W3CDTF">2019-05-20T18:35:10Z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