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pPr>
      <w:r>
        <w:t>&lt;</w:t>
      </w:r>
      <w:r>
        <w:rPr>
          <w:u w:val="single"/>
        </w:rPr>
        <w:t>Reviewer 1</w:t>
      </w:r>
      <w:r>
        <w:t>&gt;</w:t>
      </w:r>
    </w:p>
    <w:p>
      <w:pPr>
        <w:spacing w:after="0"/>
      </w:pPr>
      <w: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
      <w:pPr>
        <w:rPr>
          <w:rFonts w:hint="default"/>
          <w:lang w:val="en-US"/>
        </w:rPr>
      </w:pPr>
      <w:r>
        <w:rPr>
          <w:lang w:val="ru-RU"/>
        </w:rPr>
        <w:t>Спасибо</w:t>
      </w:r>
      <w:r>
        <w:rPr>
          <w:rFonts w:hint="default"/>
          <w:lang w:val="ru-RU"/>
        </w:rPr>
        <w:t xml:space="preserve"> за совет. Мы вставили рекомендованные иллюстрации в специальное электронное приложение (</w:t>
      </w:r>
      <w:r>
        <w:rPr>
          <w:rFonts w:hint="default"/>
          <w:lang w:val="en-US"/>
        </w:rPr>
        <w:t>ES</w:t>
      </w:r>
      <w:r>
        <w:rPr>
          <w:rFonts w:hint="default"/>
          <w:lang w:val="ru-RU"/>
        </w:rPr>
        <w:t>1), в котором мы даем объяснения</w:t>
      </w:r>
      <w:r>
        <w:rPr>
          <w:rFonts w:hint="default"/>
          <w:lang w:val="en-US"/>
        </w:rPr>
        <w:t xml:space="preserve"> </w:t>
      </w:r>
      <w:r>
        <w:rPr>
          <w:rFonts w:hint="default"/>
          <w:lang w:val="ru-RU"/>
        </w:rPr>
        <w:t>того, как оценивалось качество логистических регрессий.</w:t>
      </w:r>
      <w:r>
        <w:rPr>
          <w:rFonts w:hint="default"/>
          <w:lang w:val="en-US"/>
        </w:rPr>
        <w:t xml:space="preserve"> </w:t>
      </w:r>
    </w:p>
    <w:p>
      <w:pPr>
        <w:rPr>
          <w:rFonts w:hint="default"/>
          <w:highlight w:val="none"/>
          <w:lang w:val="en-US"/>
        </w:rPr>
      </w:pPr>
      <w:r>
        <w:rPr>
          <w:rFonts w:hint="default"/>
          <w:highlight w:val="none"/>
          <w:lang w:val="en-US"/>
        </w:rPr>
        <w:t>Since the standard tools of regression quality control such as R2 is not appropriate for nonlinear estimations (Spiess, Neumeyer, 2010) we controlled the goodness of fit for logistic regression by the mean of visual inspection of correspondence between cumulative curve and logistic regression line. Using the Residual Standard Error (RSE) we ordered the fitted logistic models from the worst (maximal RSE) to the best (minimal RSE) for each species. Both in the first case and in the second one the correspondences between observed and fitted values was rather high (see ES++). Additionally we compared the observed data of Peak with predicted Middle-of-season date. We suppose that in condition of highly expressed seasonality presented in high latitudes this two events should be close each to other. We found that medians of differences between these two values are close to zero in the case of all species.</w:t>
      </w:r>
    </w:p>
    <w:p>
      <w:pPr>
        <w:rPr>
          <w:rFonts w:hint="default"/>
          <w:highlight w:val="none"/>
          <w:lang w:val="ru-RU"/>
        </w:rPr>
      </w:pPr>
    </w:p>
    <w:p>
      <w:pPr>
        <w:rPr>
          <w:rFonts w:hint="default"/>
          <w:lang w:val="en-US"/>
        </w:rPr>
      </w:pPr>
      <w:r>
        <w:rPr>
          <w:rFonts w:hint="default"/>
          <w:lang w:val="en-US"/>
        </w:rPr>
        <w:t>+++++++++++++++++++++++++++++</w:t>
      </w:r>
    </w:p>
    <w:p>
      <w:pPr>
        <w:rPr>
          <w:rFonts w:hint="default"/>
          <w:lang w:val="ru-RU"/>
        </w:rPr>
      </w:pPr>
      <w:r>
        <w:rPr>
          <w:rFonts w:hint="default"/>
          <w:lang w:val="ru-RU"/>
        </w:rPr>
        <w:t xml:space="preserve">Коля, надо будет следующим образом модифицировать текст. </w:t>
      </w:r>
    </w:p>
    <w:p>
      <w:pPr>
        <w:rPr>
          <w:rFonts w:hint="default"/>
          <w:lang w:val="ru-RU"/>
        </w:rPr>
      </w:pPr>
      <w:r>
        <w:rPr>
          <w:rFonts w:hint="default"/>
          <w:lang w:val="ru-RU"/>
        </w:rPr>
        <w:t xml:space="preserve">После строки 247 (пдф. Сабмита) надо вставить фразу. </w:t>
      </w:r>
    </w:p>
    <w:p>
      <w:pPr>
        <w:rPr>
          <w:rFonts w:hint="default"/>
          <w:lang w:val="en-US"/>
        </w:rPr>
      </w:pPr>
      <w:r>
        <w:rPr>
          <w:rFonts w:hint="default"/>
          <w:lang w:val="en-US"/>
        </w:rPr>
        <w:t xml:space="preserve">Since standard methods of goodness of fit assessment are not appropriate for nonlinear </w:t>
      </w:r>
      <w:r>
        <w:rPr>
          <w:rFonts w:hint="default"/>
          <w:highlight w:val="green"/>
          <w:lang w:val="en-US"/>
        </w:rPr>
        <w:t xml:space="preserve">estimations </w:t>
      </w:r>
      <w:r>
        <w:rPr>
          <w:rFonts w:hint="default"/>
          <w:lang w:val="en-US"/>
        </w:rPr>
        <w:t>(Spiess, Neumeyer, 2010) the quality of fitted logistic curves was evaluated by visual inspection of correspondence between observed cumulative curve and fitted regression line (ES ++++). Additionally we inspected the level of similarity between observed date of Peak and predicted Middle-of-Season date (ES +++), which expected to be close to each other. Both methods gave acceptable results.</w:t>
      </w:r>
      <w:r>
        <w:rPr>
          <w:rFonts w:hint="default"/>
          <w:highlight w:val="none"/>
          <w:lang w:val="en-US"/>
        </w:rPr>
        <w:t xml:space="preserve">    </w:t>
      </w:r>
      <w:r>
        <w:rPr>
          <w:rFonts w:hint="default"/>
          <w:lang w:val="en-US"/>
        </w:rPr>
        <w:t xml:space="preserve"> </w:t>
      </w:r>
    </w:p>
    <w:p>
      <w:pPr>
        <w:rPr>
          <w:rFonts w:hint="default"/>
          <w:lang w:val="en-US"/>
        </w:rPr>
      </w:pPr>
    </w:p>
    <w:p>
      <w:pPr>
        <w:rPr>
          <w:rFonts w:hint="default"/>
          <w:lang w:val="en-US"/>
        </w:rPr>
      </w:pPr>
      <w:r>
        <w:rPr>
          <w:rFonts w:ascii="Arial" w:hAnsi="Arial" w:eastAsia="SimSun" w:cs="Arial"/>
          <w:i w:val="0"/>
          <w:iCs w:val="0"/>
          <w:caps w:val="0"/>
          <w:color w:val="222222"/>
          <w:spacing w:val="0"/>
          <w:sz w:val="15"/>
          <w:szCs w:val="15"/>
          <w:shd w:val="clear" w:fill="FFFFFF"/>
        </w:rPr>
        <w:t>Spiess, A. N., &amp; Neumeyer, N. (2010). An evaluation of R 2 as an inadequate measure for nonlinear models in pharmacological and biochemical research: a Monte Carlo approach.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BMC pharmacology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10</w:t>
      </w:r>
      <w:r>
        <w:rPr>
          <w:rFonts w:hint="default" w:ascii="Arial" w:hAnsi="Arial" w:eastAsia="SimSun" w:cs="Arial"/>
          <w:i w:val="0"/>
          <w:iCs w:val="0"/>
          <w:caps w:val="0"/>
          <w:color w:val="222222"/>
          <w:spacing w:val="0"/>
          <w:sz w:val="15"/>
          <w:szCs w:val="15"/>
          <w:shd w:val="clear" w:fill="FFFFFF"/>
        </w:rPr>
        <w:t>(1), 6.</w:t>
      </w:r>
    </w:p>
    <w:p>
      <w:pPr>
        <w:rPr>
          <w:rFonts w:hint="default"/>
          <w:lang w:val="en-US"/>
        </w:rPr>
      </w:pPr>
      <w:r>
        <w:rPr>
          <w:rFonts w:hint="default"/>
          <w:lang w:val="en-US"/>
        </w:rPr>
        <w:t>+++++++++++++++++++++++++++++</w:t>
      </w: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rPr>
          <w:rFonts w:hint="default"/>
          <w:lang w:val="en-US"/>
        </w:rPr>
      </w:pPr>
    </w:p>
    <w:p>
      <w:pPr>
        <w:rPr>
          <w:rFonts w:hint="default"/>
          <w:lang w:val="ru-RU"/>
        </w:rPr>
      </w:pPr>
      <w:r>
        <w:rPr>
          <w:rFonts w:hint="default"/>
          <w:lang w:val="ru-RU"/>
        </w:rPr>
        <w:t xml:space="preserve">Спасибо за замечание! Действительно, надежного и общепринятого метода восстановления пропущенных значений во временных рядах нет. Мы стояли перед выбором - либо удалять из массива годы, в которые какой-то из параметров не был измерен, либо использовать тот или иной метод восстановления пропусков. Поскольку основная ценность наших данных заключается в их продолжительности мы решили пойти по второму пути. Мы основывались на следующих соображениях. Во-первых, таких пропусков было немного </w:t>
      </w:r>
      <w:r>
        <w:rPr>
          <w:rFonts w:hint="default"/>
          <w:highlight w:val="none"/>
          <w:lang w:val="ru-RU"/>
        </w:rPr>
        <w:t>(6 пропусков в средовых параметрах и в 1</w:t>
      </w:r>
      <w:r>
        <w:rPr>
          <w:rFonts w:hint="default"/>
          <w:highlight w:val="none"/>
          <w:lang w:val="en-US"/>
        </w:rPr>
        <w:t>4</w:t>
      </w:r>
      <w:r>
        <w:rPr>
          <w:rFonts w:hint="default"/>
          <w:highlight w:val="none"/>
          <w:lang w:val="ru-RU"/>
        </w:rPr>
        <w:t xml:space="preserve"> случаях мы воспользовались методом восстановления пропусков фенологических показателей видов, когда логистическая модель, описывающая кумуляту обилия видов, либо не была подобрана, либо давала неадекватные оценки событий, см. Материал и методику).</w:t>
      </w:r>
      <w:r>
        <w:rPr>
          <w:rFonts w:hint="default"/>
          <w:lang w:val="ru-RU"/>
        </w:rPr>
        <w:t xml:space="preserve"> Во-вторых, метод </w:t>
      </w:r>
      <w:r>
        <w:rPr>
          <w:rFonts w:hint="default"/>
          <w:lang w:val="en-US"/>
        </w:rPr>
        <w:t>SSA</w:t>
      </w:r>
      <w:r>
        <w:rPr>
          <w:rFonts w:hint="default"/>
          <w:lang w:val="ru-RU"/>
        </w:rPr>
        <w:t xml:space="preserve"> позволяет реконструировать пропущенные значения с учетом общей тенденции многолетних изменений, имеющейся во временном ряде. Это приводит к минимальному смещению восстановленных данных. В-третьих, мы провели специальный анализ</w:t>
      </w:r>
      <w:r>
        <w:rPr>
          <w:rFonts w:hint="default"/>
          <w:lang w:val="en-US"/>
        </w:rPr>
        <w:t xml:space="preserve"> (</w:t>
      </w:r>
      <w:r>
        <w:rPr>
          <w:rFonts w:hint="default"/>
          <w:lang w:val="ru-RU"/>
        </w:rPr>
        <w:t xml:space="preserve">см </w:t>
      </w:r>
      <w:r>
        <w:rPr>
          <w:rFonts w:hint="default"/>
          <w:lang w:val="en-US"/>
        </w:rPr>
        <w:t>ES+)</w:t>
      </w:r>
      <w:r>
        <w:rPr>
          <w:rFonts w:hint="default"/>
          <w:lang w:val="ru-RU"/>
        </w:rPr>
        <w:t xml:space="preserve">, основанный на симуляции пропусков, который не выявил явных тенденций к смещении реконструированных значений, относительно восстановленных.     </w:t>
      </w:r>
    </w:p>
    <w:p>
      <w:pPr>
        <w:rPr>
          <w:rFonts w:hint="default"/>
          <w:lang w:val="ru-RU"/>
        </w:rPr>
      </w:pPr>
    </w:p>
    <w:p>
      <w:pPr>
        <w:rPr>
          <w:rFonts w:hint="default"/>
          <w:lang w:val="ru-RU"/>
        </w:rPr>
      </w:pPr>
      <w:r>
        <w:rPr>
          <w:rFonts w:hint="default"/>
          <w:lang w:val="ru-RU"/>
        </w:rPr>
        <w:t>++++++++++++++++++</w:t>
      </w:r>
    </w:p>
    <w:p>
      <w:pPr>
        <w:rPr>
          <w:rFonts w:hint="default"/>
          <w:lang w:val="en-US"/>
        </w:rPr>
      </w:pPr>
      <w:r>
        <w:rPr>
          <w:rFonts w:hint="default"/>
          <w:lang w:val="ru-RU"/>
        </w:rPr>
        <w:t xml:space="preserve">Нужно вставить в текст отсылку к электронному приложению </w:t>
      </w:r>
      <w:r>
        <w:rPr>
          <w:rFonts w:hint="default"/>
          <w:lang w:val="en-US"/>
        </w:rPr>
        <w:t>ES+.</w:t>
      </w:r>
    </w:p>
    <w:p>
      <w:pPr>
        <w:rPr>
          <w:rFonts w:hint="default"/>
          <w:lang w:val="en-US"/>
        </w:rPr>
      </w:pPr>
      <w:r>
        <w:rPr>
          <w:rFonts w:hint="default"/>
          <w:lang w:val="en-US"/>
        </w:rPr>
        <w:t>++++++++++++++++++</w:t>
      </w:r>
    </w:p>
    <w:p>
      <w:pPr>
        <w:rPr>
          <w:rFonts w:hint="default"/>
          <w:lang w:val="en-US"/>
        </w:rPr>
      </w:pPr>
    </w:p>
    <w:p>
      <w:pPr>
        <w:rPr>
          <w:rFonts w:hint="default"/>
          <w:lang w:val="en-US"/>
        </w:rPr>
      </w:pPr>
    </w:p>
    <w:p>
      <w:pPr>
        <w:spacing w:after="0"/>
        <w:rPr>
          <w:rFonts w:hint="default"/>
          <w:lang w:val="en-US"/>
        </w:rPr>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r>
        <w:rPr>
          <w:rFonts w:hint="default"/>
          <w:lang w:val="en-US"/>
        </w:rPr>
        <w:t xml:space="preserve"> </w:t>
      </w:r>
      <w:r>
        <w:t>If the main reason is to use the residuals from this analysis for the part devoted to "Relationship of the abundance of the species and its phenological indicators" (Line 344-368)</w:t>
      </w:r>
      <w:r>
        <w:rPr>
          <w:rFonts w:hint="default"/>
          <w:lang w:val="en-US"/>
        </w:rPr>
        <w:t>.</w:t>
      </w:r>
    </w:p>
    <w:p>
      <w:pPr>
        <w:spacing w:after="0"/>
        <w:rPr>
          <w:rFonts w:hint="default"/>
          <w:lang w:val="en-US"/>
        </w:rPr>
      </w:pPr>
    </w:p>
    <w:p>
      <w:pPr>
        <w:spacing w:after="0"/>
        <w:rPr>
          <w:rFonts w:hint="default"/>
          <w:lang w:val="ru-RU"/>
        </w:rPr>
      </w:pPr>
      <w:r>
        <w:rPr>
          <w:rFonts w:hint="default"/>
          <w:lang w:val="ru-RU"/>
        </w:rPr>
        <w:t xml:space="preserve">Спасибо за ценное указание на нашу неточность. В действительности мы использовали два метода оценки присутствия многолетних трендов. </w:t>
      </w:r>
    </w:p>
    <w:p>
      <w:pPr>
        <w:spacing w:after="0"/>
        <w:rPr>
          <w:rFonts w:hint="default"/>
          <w:lang w:val="ru-RU"/>
        </w:rPr>
      </w:pPr>
    </w:p>
    <w:p>
      <w:pPr>
        <w:spacing w:after="0"/>
        <w:rPr>
          <w:rFonts w:hint="default"/>
          <w:highlight w:val="none"/>
          <w:lang w:val="ru-RU"/>
        </w:rPr>
      </w:pPr>
      <w:r>
        <w:rPr>
          <w:rFonts w:hint="default"/>
          <w:highlight w:val="none"/>
          <w:lang w:val="ru-RU"/>
        </w:rPr>
        <w:t xml:space="preserve">Во-первых, мы вписывали линейные модели. Они были использованы для оценки линейного тренда, угловой коэффициент, и для детерндинга временных рядов  (см. Ниже). Во-вторых, мы использовали метод модельных матриц.  </w:t>
      </w:r>
    </w:p>
    <w:p>
      <w:pPr>
        <w:spacing w:after="0"/>
        <w:rPr>
          <w:rFonts w:hint="default"/>
          <w:highlight w:val="none"/>
          <w:lang w:val="ru-RU"/>
        </w:rPr>
      </w:pPr>
    </w:p>
    <w:p>
      <w:pPr>
        <w:numPr>
          <w:ilvl w:val="0"/>
          <w:numId w:val="0"/>
        </w:numPr>
        <w:spacing w:after="0"/>
        <w:rPr>
          <w:rFonts w:hint="default"/>
          <w:highlight w:val="none"/>
          <w:lang w:val="ru-RU"/>
        </w:rPr>
      </w:pPr>
      <w:r>
        <w:rPr>
          <w:highlight w:val="none"/>
          <w:lang w:val="ru-RU"/>
        </w:rPr>
        <w:t>Использование</w:t>
      </w:r>
      <w:r>
        <w:rPr>
          <w:rFonts w:hint="default"/>
          <w:highlight w:val="none"/>
          <w:lang w:val="ru-RU"/>
        </w:rPr>
        <w:t xml:space="preserve"> регрессионного анализа было продиктовано необходимостью оценки того, на сколько дней произошло смещение тех или иных фенологических параметров за период наблюдений. Это можно оценить только зная значение углового коэффициента регрессионной модели. </w:t>
      </w:r>
      <w:r>
        <w:rPr>
          <w:highlight w:val="none"/>
        </w:rPr>
        <w:t>Mann-Kendall trend test or the Spearman's rank correlation coefficient</w:t>
      </w:r>
      <w:r>
        <w:rPr>
          <w:rFonts w:hint="default"/>
          <w:highlight w:val="none"/>
          <w:lang w:val="ru-RU"/>
        </w:rPr>
        <w:t xml:space="preserve"> дают лишь информацию о наличии связи между временем и той или иной величиной. Мы также решили не использовать упомянутые ревьюером методы, основанные на  </w:t>
      </w:r>
      <w:r>
        <w:rPr>
          <w:highlight w:val="none"/>
        </w:rPr>
        <w:t>estimating trends over time by finding the best fit in the long-term dynamic of each parameter</w:t>
      </w:r>
      <w:r>
        <w:rPr>
          <w:rFonts w:hint="default"/>
          <w:highlight w:val="none"/>
          <w:lang w:val="ru-RU"/>
        </w:rPr>
        <w:t xml:space="preserve">. Такой подход, действительно, мог бы дать более тонкую оценку многолетних изменений (в том числе и нелинейных)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rFonts w:hint="default"/>
          <w:highlight w:val="none"/>
          <w:lang w:val="en-US"/>
        </w:rPr>
        <w:t xml:space="preserve">Error Type I. </w:t>
      </w:r>
      <w:r>
        <w:rPr>
          <w:rFonts w:hint="default"/>
          <w:highlight w:val="none"/>
          <w:lang w:val="ru-RU"/>
        </w:rPr>
        <w:t xml:space="preserve">Более того, потребовалось бы специальное изучение характера распределения анализируемых величин (например, для количества </w:t>
      </w:r>
      <w:r>
        <w:rPr>
          <w:rFonts w:hint="default"/>
          <w:highlight w:val="none"/>
          <w:lang w:val="en-US"/>
        </w:rPr>
        <w:t>Julian days, as dependent variable</w:t>
      </w:r>
      <w:r>
        <w:rPr>
          <w:rFonts w:hint="default"/>
          <w:highlight w:val="none"/>
          <w:lang w:val="ru-RU"/>
        </w:rPr>
        <w:t xml:space="preserve"> </w:t>
      </w:r>
      <w:r>
        <w:rPr>
          <w:rFonts w:hint="default"/>
          <w:highlight w:val="none"/>
          <w:lang w:val="en-US"/>
        </w:rPr>
        <w:t>poisson distribution seems to be appropriate)</w:t>
      </w:r>
      <w:r>
        <w:rPr>
          <w:rFonts w:hint="default"/>
          <w:highlight w:val="none"/>
          <w:lang w:val="ru-RU"/>
        </w:rPr>
        <w:t xml:space="preserve">. Все эти анализы надо было бы проделать для каждого вида в отдельности. Все это привело бы к порождению множества сущностей, что существенно снизило бы надежность результатов. </w:t>
      </w:r>
    </w:p>
    <w:p>
      <w:pPr>
        <w:spacing w:after="0"/>
        <w:rPr>
          <w:rFonts w:hint="default"/>
          <w:highlight w:val="none"/>
          <w:lang w:val="ru-RU"/>
        </w:rPr>
      </w:pPr>
    </w:p>
    <w:p>
      <w:pPr>
        <w:spacing w:after="0"/>
        <w:rPr>
          <w:rFonts w:hint="default"/>
          <w:highlight w:val="none"/>
          <w:lang w:val="ru-RU"/>
        </w:rPr>
      </w:pPr>
      <w:r>
        <w:rPr>
          <w:rFonts w:hint="default"/>
          <w:highlight w:val="none"/>
          <w:lang w:val="ru-RU"/>
        </w:rPr>
        <w:t>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величина углового коэффициента в линейной модели.</w:t>
      </w:r>
    </w:p>
    <w:p>
      <w:pPr>
        <w:spacing w:after="0"/>
        <w:rPr>
          <w:rFonts w:hint="default"/>
          <w:highlight w:val="none"/>
          <w:lang w:val="ru-RU"/>
        </w:rPr>
      </w:pPr>
    </w:p>
    <w:p>
      <w:pPr>
        <w:numPr>
          <w:ilvl w:val="0"/>
          <w:numId w:val="0"/>
        </w:numPr>
        <w:spacing w:after="0"/>
        <w:rPr>
          <w:rFonts w:hint="default"/>
          <w:highlight w:val="none"/>
          <w:lang w:val="ru-RU"/>
        </w:rPr>
      </w:pPr>
      <w:r>
        <w:rPr>
          <w:rFonts w:hint="default"/>
          <w:highlight w:val="none"/>
          <w:lang w:val="ru-RU"/>
        </w:rPr>
        <w:t xml:space="preserve">Однако, как справедливо отметил ревьюер, у регрессионных моделей есть много </w:t>
      </w:r>
      <w:r>
        <w:rPr>
          <w:rFonts w:hint="default"/>
          <w:highlight w:val="none"/>
          <w:lang w:val="en-US"/>
        </w:rPr>
        <w:t>assumptions</w:t>
      </w:r>
      <w:r>
        <w:rPr>
          <w:rFonts w:hint="default"/>
          <w:highlight w:val="none"/>
          <w:lang w:val="ru-RU"/>
        </w:rPr>
        <w:t>. Соблюдение этих ограничений гарантирует правильную оценку статистической значимости полученных оценок. В связи с этим, мы опять же, решили предельно упростить процедуру оценки статистической значимости выявленного тренда. Поэтому мы воспользовались методом, предложенным для поиска пространственных градиентов (Clarke &amp; Gorley, 2006). Кратко суть этого метода сводится к тому, что временой ряд превращается в матрицу эвклидовых расстояний (фактически это матрица квадратов разности значений в каждый из годов). Аналогично в матрицу эвклидовых расстояний превращается ряд 1961, 1962, 1963....2017, 2018. Этот ряд моделирует некий абсолютный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так как их величина коррелирует с модулем углового коэффициента линейных моделей. Мы используем из этого анализа лишь оценку значимости Мантеловской корреляции, которая проводитится пермутационным методом. Поскольку и в этом случае мы тестируем множество гипотез, то нам пришлось вводить поправки уровня значимости (</w:t>
      </w:r>
      <w:r>
        <w:rPr>
          <w:rFonts w:hint="default"/>
          <w:highlight w:val="none"/>
          <w:lang w:val="en-US"/>
        </w:rPr>
        <w:t xml:space="preserve">adjasted p-level) </w:t>
      </w:r>
      <w:r>
        <w:rPr>
          <w:rFonts w:hint="default"/>
          <w:highlight w:val="none"/>
          <w:lang w:val="ru-RU"/>
        </w:rPr>
        <w:t xml:space="preserve">за счет False Discovery Rate monitoring procedure (Benjamini, Hochberg, 1995). </w:t>
      </w:r>
      <w:r>
        <w:rPr>
          <w:highlight w:val="none"/>
        </w:rPr>
        <w:br w:type="textWrapping"/>
      </w:r>
      <w:r>
        <w:rPr>
          <w:rFonts w:hint="default"/>
          <w:highlight w:val="none"/>
          <w:lang w:val="ru-RU"/>
        </w:rPr>
        <w:t xml:space="preserve"> </w:t>
      </w:r>
    </w:p>
    <w:p>
      <w:pPr>
        <w:numPr>
          <w:ilvl w:val="0"/>
          <w:numId w:val="0"/>
        </w:numPr>
        <w:spacing w:after="0"/>
        <w:rPr>
          <w:rFonts w:hint="default"/>
          <w:highlight w:val="none"/>
          <w:lang w:val="ru-RU"/>
        </w:rPr>
      </w:pPr>
      <w:r>
        <w:rPr>
          <w:rFonts w:hint="default"/>
          <w:highlight w:val="none"/>
          <w:lang w:val="ru-RU"/>
        </w:rPr>
        <w:t>++++++++</w:t>
      </w:r>
    </w:p>
    <w:p>
      <w:pPr>
        <w:numPr>
          <w:ilvl w:val="0"/>
          <w:numId w:val="0"/>
        </w:numPr>
        <w:spacing w:after="0"/>
        <w:rPr>
          <w:rFonts w:hint="default"/>
          <w:highlight w:val="none"/>
          <w:lang w:val="ru-RU"/>
        </w:rPr>
      </w:pPr>
      <w:r>
        <w:rPr>
          <w:rFonts w:hint="default"/>
          <w:highlight w:val="none"/>
          <w:lang w:val="ru-RU"/>
        </w:rPr>
        <w:t>Где-то в тексте</w:t>
      </w:r>
      <w:r>
        <w:rPr>
          <w:rFonts w:hint="default"/>
          <w:highlight w:val="none"/>
          <w:lang w:val="en-US"/>
        </w:rPr>
        <w:t xml:space="preserve"> (</w:t>
      </w:r>
      <w:r>
        <w:rPr>
          <w:rFonts w:hint="default"/>
          <w:highlight w:val="none"/>
          <w:lang w:val="ru-RU"/>
        </w:rPr>
        <w:t>например на строке 294, сразу за подзаголовком). надо вставить фразу.</w:t>
      </w:r>
    </w:p>
    <w:p>
      <w:pPr>
        <w:numPr>
          <w:ilvl w:val="0"/>
          <w:numId w:val="0"/>
        </w:numPr>
        <w:spacing w:after="0"/>
        <w:rPr>
          <w:rFonts w:hint="default"/>
          <w:highlight w:val="none"/>
          <w:lang w:val="ru-RU"/>
        </w:rPr>
      </w:pPr>
      <w:r>
        <w:rPr>
          <w:rFonts w:hint="default"/>
          <w:highlight w:val="none"/>
          <w:lang w:val="ru-RU"/>
        </w:rPr>
        <w:t xml:space="preserve"> </w:t>
      </w:r>
    </w:p>
    <w:p>
      <w:pPr>
        <w:numPr>
          <w:ilvl w:val="0"/>
          <w:numId w:val="0"/>
        </w:numPr>
        <w:spacing w:after="0"/>
        <w:rPr>
          <w:rFonts w:hint="default"/>
          <w:highlight w:val="none"/>
          <w:lang w:val="en-US"/>
        </w:rPr>
      </w:pPr>
      <w:r>
        <w:rPr>
          <w:rFonts w:hint="default"/>
          <w:highlight w:val="none"/>
          <w:lang w:val="en-US"/>
        </w:rPr>
        <w:t>The presence of long-term trends in parameters</w:t>
      </w:r>
      <w:r>
        <w:rPr>
          <w:rFonts w:hint="default"/>
          <w:highlight w:val="none"/>
          <w:lang w:val="ru-RU"/>
        </w:rPr>
        <w:t xml:space="preserve"> </w:t>
      </w:r>
      <w:r>
        <w:rPr>
          <w:rFonts w:hint="default"/>
          <w:highlight w:val="none"/>
          <w:lang w:val="en-US"/>
        </w:rPr>
        <w:t>dynamics we assessed by two ways. Firstly, by fitting of linear regression model. Secondly, we used model matrix approach (</w:t>
      </w:r>
      <w:r>
        <w:rPr>
          <w:rFonts w:hint="eastAsia" w:ascii="Times New Roman" w:hAnsi="Times New Roman" w:eastAsia="Times New Roman"/>
          <w:sz w:val="24"/>
          <w:szCs w:val="24"/>
        </w:rPr>
        <w:t>Clarke &amp; Gorley, 2006</w:t>
      </w:r>
      <w:r>
        <w:rPr>
          <w:rFonts w:hint="default"/>
          <w:highlight w:val="none"/>
          <w:lang w:val="en-US"/>
        </w:rPr>
        <w:t xml:space="preserve">) comparing the observed time series with model “ideal” gradient represented by numerical series: 1961, 1962…. 2017, 2018. </w:t>
      </w:r>
    </w:p>
    <w:p>
      <w:pPr>
        <w:numPr>
          <w:ilvl w:val="0"/>
          <w:numId w:val="0"/>
        </w:numPr>
        <w:spacing w:after="0"/>
        <w:rPr>
          <w:rFonts w:hint="default"/>
          <w:highlight w:val="none"/>
          <w:lang w:val="en-US"/>
        </w:rPr>
      </w:pPr>
    </w:p>
    <w:p>
      <w:pPr>
        <w:numPr>
          <w:ilvl w:val="0"/>
          <w:numId w:val="0"/>
        </w:numPr>
        <w:spacing w:after="0"/>
        <w:rPr>
          <w:rFonts w:hint="default"/>
          <w:highlight w:val="none"/>
          <w:lang w:val="en-US"/>
        </w:rPr>
      </w:pPr>
      <w:r>
        <w:rPr>
          <w:rFonts w:hint="default"/>
          <w:highlight w:val="none"/>
          <w:lang w:val="en-US"/>
        </w:rPr>
        <w:t xml:space="preserve">++++++       </w:t>
      </w:r>
    </w:p>
    <w:p>
      <w:pPr>
        <w:numPr>
          <w:ilvl w:val="0"/>
          <w:numId w:val="0"/>
        </w:numPr>
        <w:spacing w:after="0"/>
        <w:rPr>
          <w:rFonts w:hint="default"/>
          <w:highlight w:val="none"/>
          <w:lang w:val="ru-RU"/>
        </w:rPr>
      </w:pPr>
    </w:p>
    <w:p>
      <w:pPr>
        <w:numPr>
          <w:ilvl w:val="0"/>
          <w:numId w:val="0"/>
        </w:numPr>
        <w:spacing w:after="0"/>
      </w:pPr>
      <w:r>
        <w:t>Line 322: "Factors, influencing phenology". I would suggest to present how the CCA works and the different steps of this analysis before explanations about the 'phenological' and 'predictor' matrices.</w:t>
      </w:r>
    </w:p>
    <w:p>
      <w:pPr>
        <w:numPr>
          <w:ilvl w:val="0"/>
          <w:numId w:val="0"/>
        </w:numPr>
        <w:spacing w:after="0"/>
      </w:pPr>
    </w:p>
    <w:p>
      <w:pPr>
        <w:numPr>
          <w:ilvl w:val="0"/>
          <w:numId w:val="0"/>
        </w:numPr>
        <w:spacing w:after="0"/>
        <w:rPr>
          <w:rFonts w:hint="default"/>
          <w:lang w:val="ru-RU"/>
        </w:rPr>
      </w:pPr>
      <w:r>
        <w:rPr>
          <w:rFonts w:hint="default"/>
          <w:lang w:val="ru-RU"/>
        </w:rPr>
        <w:t xml:space="preserve">Необходимо было оценить связь между двумя матрицами: зависимой матрицей (фенологические события для видов) и матрицей-предикторов (ряды фенологических событий в средовых параметрах и средние показатели обилия видов). Вычислительные особенности </w:t>
      </w:r>
      <w:r>
        <w:rPr>
          <w:rFonts w:hint="default"/>
          <w:lang w:val="en-US"/>
        </w:rPr>
        <w:t xml:space="preserve">Canonical Correspondence Analysis </w:t>
      </w:r>
      <w:r>
        <w:rPr>
          <w:rFonts w:hint="default"/>
          <w:lang w:val="ru-RU"/>
        </w:rPr>
        <w:t xml:space="preserve">исключительно полно описаны в </w:t>
      </w:r>
      <w:r>
        <w:rPr>
          <w:rFonts w:hint="default" w:ascii="Times New Roman" w:hAnsi="Times New Roman" w:eastAsia="Times New Roman"/>
          <w:sz w:val="24"/>
          <w:szCs w:val="24"/>
        </w:rPr>
        <w:t>Legendre, Legendre, 2012</w:t>
      </w:r>
      <w:r>
        <w:rPr>
          <w:rFonts w:hint="default" w:ascii="Times New Roman" w:hAnsi="Times New Roman" w:eastAsia="Times New Roman"/>
          <w:sz w:val="24"/>
          <w:szCs w:val="24"/>
          <w:lang w:val="ru-RU"/>
        </w:rPr>
        <w:t xml:space="preserve">. </w:t>
      </w:r>
    </w:p>
    <w:p>
      <w:pPr>
        <w:spacing w:after="0"/>
        <w:rPr>
          <w:rFonts w:hint="default"/>
          <w:highlight w:val="none"/>
          <w:lang w:val="en-US"/>
        </w:rPr>
      </w:pPr>
      <w:r>
        <w:rPr>
          <w:rFonts w:hint="default"/>
          <w:highlight w:val="none"/>
          <w:lang w:val="ru-RU"/>
        </w:rPr>
        <w:t>Единственной модификацией анализа, примененой в нашей работе, был подбор оптимальной модели, то есть формирование такого набора переменных из матрицы-пердиктора, которые наиболее сильно коррелируют с зависимой матрицей.</w:t>
      </w:r>
      <w:r>
        <w:rPr>
          <w:rFonts w:hint="default"/>
          <w:highlight w:val="none"/>
          <w:lang w:val="en-US"/>
        </w:rPr>
        <w:t xml:space="preserve"> </w:t>
      </w:r>
      <w:r>
        <w:rPr>
          <w:rFonts w:hint="default"/>
          <w:highlight w:val="none"/>
          <w:lang w:val="ru-RU"/>
        </w:rPr>
        <w:t>Подбор оптимальной модели описан</w:t>
      </w:r>
      <w:r>
        <w:rPr>
          <w:rFonts w:hint="default"/>
          <w:highlight w:val="none"/>
          <w:lang w:val="en-US"/>
        </w:rPr>
        <w:t xml:space="preserve"> </w:t>
      </w:r>
      <w:r>
        <w:rPr>
          <w:rFonts w:hint="default"/>
          <w:highlight w:val="none"/>
          <w:lang w:val="ru-RU"/>
        </w:rPr>
        <w:t>в</w:t>
      </w:r>
      <w:r>
        <w:rPr>
          <w:rFonts w:hint="default"/>
          <w:highlight w:val="none"/>
          <w:lang w:val="en-US"/>
        </w:rPr>
        <w:t xml:space="preserve"> Borcard et al (2018).</w:t>
      </w:r>
      <w:r>
        <w:rPr>
          <w:rFonts w:hint="default"/>
          <w:highlight w:val="none"/>
          <w:lang w:val="ru-RU"/>
        </w:rPr>
        <w:t xml:space="preserve"> Этот результат изображен в виде биплота (</w:t>
      </w:r>
      <w:r>
        <w:rPr>
          <w:rFonts w:hint="default"/>
          <w:highlight w:val="none"/>
          <w:lang w:val="en-US"/>
        </w:rPr>
        <w:t xml:space="preserve">Fig.6). </w:t>
      </w:r>
    </w:p>
    <w:p>
      <w:pPr>
        <w:spacing w:after="0"/>
        <w:rPr>
          <w:rFonts w:hint="default"/>
          <w:highlight w:val="none"/>
          <w:lang w:val="en-US"/>
        </w:rPr>
      </w:pPr>
    </w:p>
    <w:p>
      <w:pPr>
        <w:spacing w:after="0"/>
        <w:rPr>
          <w:rFonts w:hint="default"/>
          <w:highlight w:val="none"/>
          <w:lang w:val="en-US"/>
        </w:rPr>
      </w:pPr>
      <w:r>
        <w:rPr>
          <w:rFonts w:hint="default"/>
          <w:highlight w:val="none"/>
          <w:lang w:val="en-US"/>
        </w:rPr>
        <w:t>+++++++</w:t>
      </w:r>
    </w:p>
    <w:p>
      <w:pPr>
        <w:spacing w:after="0"/>
        <w:rPr>
          <w:rFonts w:hint="default"/>
          <w:highlight w:val="none"/>
          <w:lang w:val="ru-RU"/>
        </w:rPr>
      </w:pPr>
    </w:p>
    <w:p>
      <w:pPr>
        <w:spacing w:after="0"/>
        <w:rPr>
          <w:rFonts w:hint="default"/>
          <w:highlight w:val="none"/>
          <w:lang w:val="ru-RU"/>
        </w:rPr>
      </w:pPr>
    </w:p>
    <w:p>
      <w:pPr>
        <w:spacing w:beforeLines="0" w:afterLines="0"/>
        <w:jc w:val="left"/>
        <w:rPr>
          <w:rFonts w:hint="default" w:ascii="Times New Roman" w:hAnsi="Times New Roman" w:eastAsia="Times New Roman"/>
          <w:sz w:val="24"/>
          <w:szCs w:val="24"/>
          <w:lang w:val="ru-RU"/>
        </w:rPr>
      </w:pPr>
      <w:r>
        <w:rPr>
          <w:rFonts w:hint="default" w:ascii="Times New Roman" w:hAnsi="Times New Roman" w:eastAsia="Times New Roman"/>
          <w:sz w:val="24"/>
          <w:szCs w:val="24"/>
          <w:lang w:val="ru-RU"/>
        </w:rPr>
        <w:t>На строке 335 вставить ссылку</w:t>
      </w:r>
    </w:p>
    <w:p>
      <w:pPr>
        <w:spacing w:beforeLines="0" w:afterLines="0"/>
        <w:jc w:val="left"/>
        <w:rPr>
          <w:rFonts w:hint="default" w:ascii="Times New Roman" w:hAnsi="Times New Roman" w:eastAsia="Times New Roman"/>
          <w:sz w:val="24"/>
          <w:szCs w:val="24"/>
        </w:rPr>
      </w:pPr>
      <w:r>
        <w:rPr>
          <w:rFonts w:hint="default" w:ascii="Times New Roman" w:hAnsi="Times New Roman" w:eastAsia="Times New Roman"/>
          <w:sz w:val="24"/>
          <w:szCs w:val="24"/>
        </w:rPr>
        <w:t>CCA comprised several steps. Firstly, collinear predictors with variance inflation factor</w:t>
      </w:r>
      <w:r>
        <w:rPr>
          <w:rFonts w:hint="default" w:ascii="Calibri" w:hAnsi="Calibri" w:eastAsia="Calibri"/>
          <w:sz w:val="20"/>
          <w:szCs w:val="24"/>
        </w:rPr>
        <w:t xml:space="preserve"> </w:t>
      </w:r>
      <w:r>
        <w:rPr>
          <w:rFonts w:hint="default" w:ascii="Times New Roman" w:hAnsi="Times New Roman" w:eastAsia="Times New Roman"/>
          <w:sz w:val="24"/>
          <w:szCs w:val="24"/>
        </w:rPr>
        <w:t>exceeding 5 were rejected and were not included into the model</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highlight w:val="yellow"/>
          <w:lang w:val="ru-RU"/>
        </w:rPr>
        <w:t>(</w:t>
      </w:r>
      <w:r>
        <w:rPr>
          <w:rFonts w:hint="default" w:ascii="Times New Roman" w:hAnsi="Times New Roman" w:eastAsia="Times New Roman"/>
          <w:sz w:val="24"/>
          <w:szCs w:val="24"/>
          <w:highlight w:val="yellow"/>
          <w:lang w:val="en-US"/>
        </w:rPr>
        <w:t>Oksanen, 2011)</w:t>
      </w:r>
      <w:r>
        <w:rPr>
          <w:rFonts w:hint="default" w:ascii="Times New Roman" w:hAnsi="Times New Roman" w:eastAsia="Times New Roman"/>
          <w:sz w:val="24"/>
          <w:szCs w:val="24"/>
        </w:rPr>
        <w:t>.</w:t>
      </w:r>
    </w:p>
    <w:p>
      <w:pPr>
        <w:spacing w:beforeLines="0" w:afterLines="0"/>
        <w:jc w:val="left"/>
        <w:rPr>
          <w:rFonts w:hint="default" w:ascii="Times New Roman" w:hAnsi="Times New Roman" w:eastAsia="Times New Roman"/>
          <w:sz w:val="24"/>
          <w:szCs w:val="24"/>
        </w:rPr>
      </w:pPr>
    </w:p>
    <w:p>
      <w:pPr>
        <w:spacing w:beforeLines="0" w:afterLines="0"/>
        <w:jc w:val="left"/>
        <w:rPr>
          <w:rFonts w:hint="default" w:ascii="Times New Roman" w:hAnsi="Times New Roman" w:eastAsia="Times New Roman"/>
          <w:sz w:val="24"/>
          <w:szCs w:val="24"/>
          <w:lang w:val="ru-RU"/>
        </w:rPr>
      </w:pPr>
      <w:r>
        <w:rPr>
          <w:rFonts w:ascii="Arial" w:hAnsi="Arial" w:eastAsia="SimSun" w:cs="Arial"/>
          <w:i w:val="0"/>
          <w:iCs w:val="0"/>
          <w:caps w:val="0"/>
          <w:color w:val="222222"/>
          <w:spacing w:val="0"/>
          <w:sz w:val="15"/>
          <w:szCs w:val="15"/>
          <w:shd w:val="clear" w:fill="FFFFFF"/>
        </w:rPr>
        <w:t>Oksanen, J. (2011). Multivariate analysis of ecological communities in R: vegan tutorial.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R package version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w:t>
      </w:r>
      <w:r>
        <w:rPr>
          <w:rFonts w:hint="default" w:ascii="Arial" w:hAnsi="Arial" w:eastAsia="SimSun" w:cs="Arial"/>
          <w:i w:val="0"/>
          <w:iCs w:val="0"/>
          <w:caps w:val="0"/>
          <w:color w:val="222222"/>
          <w:spacing w:val="0"/>
          <w:sz w:val="15"/>
          <w:szCs w:val="15"/>
          <w:shd w:val="clear" w:fill="FFFFFF"/>
        </w:rPr>
        <w:t>(7), 1-43.</w:t>
      </w:r>
    </w:p>
    <w:p>
      <w:pPr>
        <w:spacing w:after="0"/>
        <w:rPr>
          <w:rFonts w:hint="default"/>
          <w:highlight w:val="none"/>
          <w:lang w:val="en-US"/>
        </w:rPr>
      </w:pPr>
      <w:r>
        <w:rPr>
          <w:rFonts w:hint="default"/>
          <w:highlight w:val="none"/>
          <w:lang w:val="en-US"/>
        </w:rPr>
        <w:t>+++++</w:t>
      </w:r>
    </w:p>
    <w:p>
      <w:pPr>
        <w:spacing w:after="0"/>
        <w:rPr>
          <w:rFonts w:hint="default"/>
          <w:highlight w:val="none"/>
          <w:lang w:val="ru-RU"/>
        </w:rPr>
      </w:pP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rPr>
          <w:rFonts w:hint="default"/>
          <w:highlight w:val="none"/>
          <w:lang w:val="ru-RU"/>
        </w:rPr>
      </w:pPr>
    </w:p>
    <w:p>
      <w:pPr>
        <w:spacing w:after="0"/>
        <w:rPr>
          <w:rFonts w:hint="default"/>
          <w:highlight w:val="cyan"/>
          <w:lang w:val="ru-RU"/>
        </w:rPr>
      </w:pPr>
      <w:r>
        <w:rPr>
          <w:rFonts w:hint="default"/>
          <w:highlight w:val="none"/>
          <w:lang w:val="ru-RU"/>
        </w:rPr>
        <w:t xml:space="preserve">Спасибо за очень правильное предложение. Мы всячески поддерживаем идею </w:t>
      </w:r>
      <w:r>
        <w:rPr>
          <w:rFonts w:hint="default"/>
          <w:highlight w:val="none"/>
          <w:lang w:val="en-US"/>
        </w:rPr>
        <w:t xml:space="preserve">reproducable research. </w:t>
      </w:r>
      <w:r>
        <w:rPr>
          <w:rFonts w:hint="default"/>
          <w:highlight w:val="none"/>
          <w:lang w:val="ru-RU"/>
        </w:rPr>
        <w:t xml:space="preserve">К сожалению, за время, отведенное на ревизию, мы не успеваем полностью подготовить </w:t>
      </w:r>
      <w:r>
        <w:rPr>
          <w:rFonts w:hint="default"/>
          <w:highlight w:val="none"/>
          <w:lang w:val="en-US"/>
        </w:rPr>
        <w:t>R-</w:t>
      </w:r>
      <w:r>
        <w:rPr>
          <w:rFonts w:hint="default"/>
          <w:highlight w:val="none"/>
          <w:lang w:val="ru-RU"/>
        </w:rPr>
        <w:t xml:space="preserve">код, включающий все необходимые комментарии. </w:t>
      </w:r>
      <w:r>
        <w:rPr>
          <w:rFonts w:hint="default"/>
          <w:highlight w:val="cyan"/>
          <w:lang w:val="ru-RU"/>
        </w:rPr>
        <w:t xml:space="preserve">Кроме того, пока не решены юридические вопросы о выкладывании в открытый доступ первичной информации по многолетним наблюдениям над обилием видов, а без публикации этих первичных данных код, работающий с ними, теряет смысл.   </w:t>
      </w:r>
    </w:p>
    <w:p>
      <w:pPr>
        <w:rPr>
          <w:rFonts w:hint="default"/>
          <w:highlight w:val="none"/>
          <w:lang w:val="en-US"/>
        </w:rPr>
      </w:pPr>
    </w:p>
    <w:p>
      <w:pPr>
        <w:rPr>
          <w:rFonts w:hint="default"/>
          <w:highlight w:val="none"/>
          <w:lang w:val="ru-RU"/>
        </w:rPr>
      </w:pPr>
    </w:p>
    <w:p>
      <w:pPr>
        <w:spacing w:after="0"/>
      </w:pPr>
      <w:r>
        <w:t xml:space="preserve">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w:t>
      </w:r>
    </w:p>
    <w:p>
      <w:pPr>
        <w:rPr>
          <w:rFonts w:hint="default"/>
          <w:highlight w:val="none"/>
          <w:lang w:val="ru-RU"/>
        </w:rPr>
      </w:pPr>
    </w:p>
    <w:p>
      <w:pPr>
        <w:rPr>
          <w:rFonts w:hint="default"/>
          <w:highlight w:val="none"/>
          <w:lang w:val="ru-RU"/>
        </w:rPr>
      </w:pPr>
      <w:r>
        <w:rPr>
          <w:rFonts w:hint="default"/>
          <w:highlight w:val="none"/>
          <w:lang w:val="ru-RU"/>
        </w:rPr>
        <w:t>Сезонные тренды имеет смысл удалять только для временных рядов обилий видов. Остальные временные ряды (даты фенологических событий) включают единственное для каждого года значение и не имеют сезонного тренда. Мы рассматривали вариант анализа, в котором обилие видов было бы разложено на составляющие (</w:t>
      </w:r>
      <w:r>
        <w:rPr>
          <w:rFonts w:hint="default"/>
          <w:highlight w:val="none"/>
          <w:lang w:val="en-US"/>
        </w:rPr>
        <w:t>main trend</w:t>
      </w:r>
      <w:r>
        <w:rPr>
          <w:rFonts w:hint="default"/>
          <w:highlight w:val="none"/>
          <w:lang w:val="ru-RU"/>
        </w:rPr>
        <w:t xml:space="preserve">, </w:t>
      </w:r>
      <w:r>
        <w:rPr>
          <w:rFonts w:hint="default"/>
          <w:highlight w:val="none"/>
          <w:lang w:val="en-US"/>
        </w:rPr>
        <w:t>seasonal dynamics</w:t>
      </w:r>
      <w:r>
        <w:rPr>
          <w:rFonts w:hint="default"/>
          <w:highlight w:val="none"/>
          <w:lang w:val="ru-RU"/>
        </w:rPr>
        <w:t xml:space="preserve"> </w:t>
      </w:r>
      <w:r>
        <w:rPr>
          <w:rFonts w:hint="default"/>
          <w:highlight w:val="none"/>
          <w:lang w:val="en-US"/>
        </w:rPr>
        <w:t xml:space="preserve">and some residuals) </w:t>
      </w:r>
      <w:r>
        <w:rPr>
          <w:rFonts w:hint="default"/>
          <w:highlight w:val="none"/>
          <w:lang w:val="ru-RU"/>
        </w:rPr>
        <w:t xml:space="preserve">с помощью </w:t>
      </w:r>
      <w:r>
        <w:rPr>
          <w:rFonts w:hint="default"/>
          <w:highlight w:val="none"/>
          <w:lang w:val="en-US"/>
        </w:rPr>
        <w:t xml:space="preserve">SSA. </w:t>
      </w:r>
      <w:r>
        <w:rPr>
          <w:rFonts w:hint="default"/>
          <w:highlight w:val="none"/>
          <w:lang w:val="ru-RU"/>
        </w:rPr>
        <w:t>Несомненно это дало бы более адекватную оценку многолетних изменений обилия. Однако мы отказались от этого анализа в пользу более</w:t>
      </w:r>
      <w:r>
        <w:rPr>
          <w:rFonts w:hint="default"/>
          <w:highlight w:val="none"/>
          <w:lang w:val="en-US"/>
        </w:rPr>
        <w:t xml:space="preserve"> </w:t>
      </w:r>
      <w:r>
        <w:rPr>
          <w:rFonts w:hint="default"/>
          <w:highlight w:val="none"/>
          <w:lang w:val="ru-RU"/>
        </w:rPr>
        <w:t xml:space="preserve">грубого, но более универсального анализа, когда все изучаемые временные ряды обрабатываются однотипно. Выбирая более грубый анализ, да еще и с массой поправок на множественные сравнения (см. Выше), мы старались уменьшить вероятность ложноположительных сигналов многолетних изменений фенологических показателей.   </w:t>
      </w:r>
    </w:p>
    <w:p>
      <w:pPr>
        <w:rPr>
          <w:rFonts w:hint="default"/>
          <w:highlight w:val="none"/>
          <w:lang w:val="ru-RU"/>
        </w:rPr>
      </w:pPr>
    </w:p>
    <w:p>
      <w:r>
        <w:t>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w:t>
      </w:r>
    </w:p>
    <w:p/>
    <w:p>
      <w:pPr>
        <w:spacing w:after="0"/>
        <w:rPr>
          <w:rFonts w:hint="default"/>
          <w:highlight w:val="none"/>
          <w:lang w:val="en-US"/>
        </w:rPr>
      </w:pPr>
      <w:r>
        <w:rPr>
          <w:highlight w:val="none"/>
          <w:lang w:val="ru-RU"/>
        </w:rPr>
        <w:t>Да</w:t>
      </w:r>
      <w:r>
        <w:rPr>
          <w:rFonts w:hint="default"/>
          <w:highlight w:val="none"/>
          <w:lang w:val="ru-RU"/>
        </w:rPr>
        <w:t xml:space="preserve">, такой подход возможен. Однако он потребовал бы тонкой настройки моделей, подобранных </w:t>
      </w:r>
      <w:r>
        <w:rPr>
          <w:rFonts w:hint="default"/>
          <w:highlight w:val="none"/>
          <w:lang w:val="en-US"/>
        </w:rPr>
        <w:t>GLS</w:t>
      </w:r>
      <w:r>
        <w:rPr>
          <w:rFonts w:hint="default"/>
          <w:highlight w:val="none"/>
          <w:lang w:val="ru-RU"/>
        </w:rPr>
        <w:t xml:space="preserve">. В частности потребовалось бы настраивать параметр </w:t>
      </w:r>
      <w:r>
        <w:rPr>
          <w:rFonts w:hint="default"/>
          <w:highlight w:val="none"/>
          <w:lang w:val="en-US"/>
        </w:rPr>
        <w:t xml:space="preserve">“correlation” </w:t>
      </w:r>
      <w:r>
        <w:rPr>
          <w:rFonts w:hint="default"/>
          <w:highlight w:val="none"/>
          <w:lang w:val="ru-RU"/>
        </w:rPr>
        <w:t xml:space="preserve">в функции </w:t>
      </w:r>
      <w:r>
        <w:rPr>
          <w:rFonts w:hint="default"/>
          <w:highlight w:val="none"/>
          <w:lang w:val="en-US"/>
        </w:rPr>
        <w:t xml:space="preserve">gls() </w:t>
      </w:r>
      <w:r>
        <w:rPr>
          <w:rFonts w:hint="default"/>
          <w:highlight w:val="none"/>
          <w:lang w:val="ru-RU"/>
        </w:rPr>
        <w:t xml:space="preserve">из пакета </w:t>
      </w:r>
      <w:r>
        <w:rPr>
          <w:rFonts w:hint="default"/>
          <w:highlight w:val="none"/>
          <w:lang w:val="en-US"/>
        </w:rPr>
        <w:t>“nlme”</w:t>
      </w:r>
      <w:r>
        <w:rPr>
          <w:rFonts w:hint="default"/>
          <w:highlight w:val="none"/>
          <w:lang w:val="ru-RU"/>
        </w:rPr>
        <w:t>, подбирая разные варианты моделирования автокорреляции. В этой ситуации пришлось бы подбирать для каждого вида и для каждой зависимой переменной особенную, оптимальную, форму автокорреляционной функции. Это привело бы к тому, что для каждого вида была бы подобрана своя собственная модель с большим количеством своих собственных параметров. То есть мы значительно усложнили бы анализ. Единственное на что повлиял бы такой подход - это на оценку статистической значимости оценок параметров линейных моделей.</w:t>
      </w:r>
      <w:r>
        <w:rPr>
          <w:rFonts w:hint="default"/>
          <w:highlight w:val="none"/>
          <w:lang w:val="en-US"/>
        </w:rPr>
        <w:t xml:space="preserve"> </w:t>
      </w:r>
      <w:r>
        <w:rPr>
          <w:rFonts w:hint="default"/>
          <w:highlight w:val="none"/>
          <w:lang w:val="ru-RU"/>
        </w:rPr>
        <w:t xml:space="preserve">К тому же, идя по этому пути, нам пришлось бы решать вопрос о типе статистического распределения, соответствующего тем или иным переменным. В частности, не факт, что правильно было бы моделировать поведение фенологических параметров (количества дней от начала года, то есть счетных величин, которые, скорее, подчиняются </w:t>
      </w:r>
      <w:r>
        <w:rPr>
          <w:rFonts w:hint="default"/>
          <w:highlight w:val="none"/>
          <w:lang w:val="en-US"/>
        </w:rPr>
        <w:t>poisson distribution</w:t>
      </w:r>
      <w:r>
        <w:rPr>
          <w:rFonts w:hint="default"/>
          <w:highlight w:val="none"/>
          <w:lang w:val="ru-RU"/>
        </w:rPr>
        <w:t>)</w:t>
      </w:r>
      <w:r>
        <w:rPr>
          <w:rFonts w:hint="default"/>
          <w:highlight w:val="none"/>
          <w:lang w:val="en-US"/>
        </w:rPr>
        <w:t>,</w:t>
      </w:r>
      <w:r>
        <w:rPr>
          <w:rFonts w:hint="default"/>
          <w:highlight w:val="none"/>
          <w:lang w:val="ru-RU"/>
        </w:rPr>
        <w:t xml:space="preserve"> с помощью подходов, основанных на </w:t>
      </w:r>
      <w:r>
        <w:rPr>
          <w:rFonts w:hint="default"/>
          <w:highlight w:val="none"/>
          <w:lang w:val="en-US"/>
        </w:rPr>
        <w:t xml:space="preserve">gaussian distribution. </w:t>
      </w:r>
    </w:p>
    <w:p>
      <w:pPr>
        <w:spacing w:after="0"/>
        <w:rPr>
          <w:rFonts w:hint="default"/>
          <w:highlight w:val="none"/>
          <w:lang w:val="ru-RU"/>
        </w:rPr>
      </w:pPr>
      <w:r>
        <w:rPr>
          <w:rFonts w:hint="default"/>
          <w:highlight w:val="none"/>
          <w:lang w:val="ru-RU"/>
        </w:rPr>
        <w:t>Поэтому в нашем, предельно упрощенном анализе мы специально отказались от параметрических методов оценки статистической значимости в пользу непараметрических</w:t>
      </w:r>
      <w:r>
        <w:rPr>
          <w:rFonts w:hint="default"/>
          <w:highlight w:val="none"/>
          <w:lang w:val="en-US"/>
        </w:rPr>
        <w:t xml:space="preserve"> </w:t>
      </w:r>
      <w:r>
        <w:rPr>
          <w:rFonts w:hint="default"/>
          <w:highlight w:val="none"/>
          <w:lang w:val="ru-RU"/>
        </w:rPr>
        <w:t xml:space="preserve">методов. Мы использовали пермутационную оценку значимости мантеловских корреляций между модельным линейным градиентом и наблюдаемым временным рядом (см. Ответы первому рецензенту). </w:t>
      </w:r>
    </w:p>
    <w:p>
      <w:pPr>
        <w:spacing w:after="0"/>
        <w:rPr>
          <w:rFonts w:hint="default"/>
          <w:highlight w:val="none"/>
          <w:lang w:val="ru-RU"/>
        </w:rPr>
      </w:pPr>
    </w:p>
    <w:p>
      <w:pPr>
        <w:spacing w:after="0"/>
      </w:pPr>
    </w:p>
    <w:p>
      <w:pPr>
        <w:spacing w:after="0"/>
      </w:pPr>
      <w:r>
        <w:t>Line 344: which version of the vegan package did you use?</w:t>
      </w:r>
    </w:p>
    <w:p>
      <w:pPr>
        <w:rPr>
          <w:rFonts w:hint="default"/>
          <w:highlight w:val="none"/>
          <w:lang w:val="ru-RU"/>
        </w:rPr>
      </w:pPr>
    </w:p>
    <w:p>
      <w:pPr>
        <w:spacing w:after="0"/>
        <w:rPr>
          <w:rFonts w:hint="default"/>
          <w:highlight w:val="none"/>
          <w:lang w:val="en-US"/>
        </w:rPr>
      </w:pPr>
      <w:r>
        <w:rPr>
          <w:rFonts w:hint="default"/>
          <w:highlight w:val="none"/>
          <w:lang w:val="en-US"/>
        </w:rPr>
        <w:t>We used vegan package version  2.5-6</w:t>
      </w:r>
      <w:r>
        <w:rPr>
          <w:rFonts w:hint="default"/>
          <w:highlight w:val="none"/>
          <w:lang w:val="ru-RU"/>
        </w:rPr>
        <w:t xml:space="preserve"> (</w:t>
      </w:r>
      <w:r>
        <w:rPr>
          <w:rFonts w:hint="default"/>
          <w:highlight w:val="none"/>
          <w:lang w:val="en-US"/>
        </w:rPr>
        <w:t>see Literature section)</w:t>
      </w:r>
      <w:r>
        <w:rPr>
          <w:rFonts w:hint="default"/>
          <w:highlight w:val="none"/>
          <w:lang w:val="ru-RU"/>
        </w:rPr>
        <w:t xml:space="preserve"> </w:t>
      </w:r>
      <w:r>
        <w:rPr>
          <w:rFonts w:hint="default"/>
          <w:highlight w:val="none"/>
          <w:lang w:val="en-US"/>
        </w:rPr>
        <w:t>but we inserted the explanation in the text.</w:t>
      </w:r>
    </w:p>
    <w:p>
      <w:pPr>
        <w:spacing w:after="0"/>
        <w:rPr>
          <w:rFonts w:hint="default"/>
          <w:highlight w:val="none"/>
          <w:lang w:val="en-US"/>
        </w:rPr>
      </w:pPr>
      <w:r>
        <w:rPr>
          <w:rFonts w:hint="default"/>
          <w:highlight w:val="none"/>
          <w:lang w:val="en-US"/>
        </w:rPr>
        <w:t>+++++++++++++</w:t>
      </w:r>
    </w:p>
    <w:p>
      <w:pPr>
        <w:spacing w:after="0"/>
        <w:rPr>
          <w:rFonts w:hint="default"/>
          <w:highlight w:val="none"/>
          <w:lang w:val="ru-RU"/>
        </w:rPr>
      </w:pPr>
      <w:r>
        <w:rPr>
          <w:rFonts w:hint="default"/>
          <w:highlight w:val="none"/>
          <w:lang w:val="ru-RU"/>
        </w:rPr>
        <w:t xml:space="preserve">В строке </w:t>
      </w:r>
    </w:p>
    <w:p>
      <w:pPr>
        <w:spacing w:after="0"/>
        <w:rPr>
          <w:rFonts w:hint="default" w:ascii="Times New Roman" w:hAnsi="Times New Roman" w:eastAsia="Times New Roman"/>
          <w:sz w:val="24"/>
          <w:szCs w:val="24"/>
        </w:rPr>
      </w:pPr>
      <w:r>
        <w:rPr>
          <w:rFonts w:hint="default" w:ascii="Calibri" w:hAnsi="Calibri" w:eastAsia="Calibri"/>
          <w:sz w:val="20"/>
          <w:szCs w:val="24"/>
        </w:rPr>
        <w:t xml:space="preserve">334 </w:t>
      </w:r>
      <w:r>
        <w:rPr>
          <w:rFonts w:hint="default" w:ascii="Times New Roman" w:hAnsi="Times New Roman" w:eastAsia="Times New Roman"/>
          <w:sz w:val="24"/>
          <w:szCs w:val="24"/>
        </w:rPr>
        <w:t xml:space="preserve">from the </w:t>
      </w:r>
      <w:r>
        <w:rPr>
          <w:rFonts w:hint="default" w:ascii="Times New Roman" w:hAnsi="Times New Roman" w:eastAsia="Times New Roman"/>
          <w:i/>
          <w:sz w:val="24"/>
          <w:szCs w:val="24"/>
        </w:rPr>
        <w:t xml:space="preserve">vegan </w:t>
      </w:r>
      <w:r>
        <w:rPr>
          <w:rFonts w:hint="default" w:ascii="Times New Roman" w:hAnsi="Times New Roman" w:eastAsia="Times New Roman"/>
          <w:sz w:val="24"/>
          <w:szCs w:val="24"/>
        </w:rPr>
        <w:t>package (Oksanen et al., 2019).</w:t>
      </w:r>
    </w:p>
    <w:p>
      <w:pPr>
        <w:spacing w:after="0"/>
        <w:rPr>
          <w:rFonts w:hint="default" w:ascii="Times New Roman" w:hAnsi="Times New Roman" w:eastAsia="Times New Roman"/>
          <w:sz w:val="24"/>
          <w:szCs w:val="24"/>
        </w:rPr>
      </w:pPr>
    </w:p>
    <w:p>
      <w:pPr>
        <w:spacing w:after="0"/>
        <w:rPr>
          <w:rFonts w:hint="default" w:ascii="Times New Roman" w:hAnsi="Times New Roman" w:eastAsia="Times New Roman"/>
          <w:sz w:val="24"/>
          <w:szCs w:val="24"/>
          <w:lang w:val="ru-RU"/>
        </w:rPr>
      </w:pPr>
      <w:r>
        <w:rPr>
          <w:rFonts w:hint="default" w:ascii="Times New Roman" w:hAnsi="Times New Roman" w:eastAsia="Times New Roman"/>
          <w:sz w:val="24"/>
          <w:szCs w:val="24"/>
          <w:lang w:val="ru-RU"/>
        </w:rPr>
        <w:t>Надо добавить</w:t>
      </w:r>
    </w:p>
    <w:p>
      <w:pPr>
        <w:spacing w:after="0"/>
        <w:rPr>
          <w:rFonts w:hint="default" w:ascii="Times New Roman" w:hAnsi="Times New Roman" w:eastAsia="Times New Roman"/>
          <w:sz w:val="24"/>
          <w:szCs w:val="24"/>
        </w:rPr>
      </w:pPr>
    </w:p>
    <w:p>
      <w:pPr>
        <w:spacing w:after="0"/>
        <w:rPr>
          <w:rFonts w:hint="default" w:ascii="Times New Roman" w:hAnsi="Times New Roman" w:eastAsia="Times New Roman"/>
          <w:sz w:val="24"/>
          <w:szCs w:val="24"/>
          <w:lang w:val="ru-RU"/>
        </w:rPr>
      </w:pPr>
      <w:r>
        <w:rPr>
          <w:rFonts w:hint="default" w:ascii="Times New Roman" w:hAnsi="Times New Roman" w:eastAsia="Times New Roman"/>
          <w:sz w:val="24"/>
          <w:szCs w:val="24"/>
        </w:rPr>
        <w:t xml:space="preserve">from the </w:t>
      </w:r>
      <w:r>
        <w:rPr>
          <w:rFonts w:hint="default" w:ascii="Times New Roman" w:hAnsi="Times New Roman" w:eastAsia="Times New Roman"/>
          <w:i/>
          <w:sz w:val="24"/>
          <w:szCs w:val="24"/>
        </w:rPr>
        <w:t xml:space="preserve">vegan </w:t>
      </w:r>
      <w:r>
        <w:rPr>
          <w:rFonts w:hint="default" w:ascii="Times New Roman" w:hAnsi="Times New Roman" w:eastAsia="Times New Roman"/>
          <w:sz w:val="24"/>
          <w:szCs w:val="24"/>
        </w:rPr>
        <w:t xml:space="preserve">package </w:t>
      </w:r>
      <w:r>
        <w:rPr>
          <w:rFonts w:hint="default" w:ascii="Times New Roman" w:hAnsi="Times New Roman" w:eastAsia="Times New Roman"/>
          <w:sz w:val="24"/>
          <w:szCs w:val="24"/>
          <w:highlight w:val="yellow"/>
          <w:lang w:val="ru-RU"/>
        </w:rPr>
        <w:t>2.5-6</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(Oksanen et al., 2019).</w:t>
      </w:r>
    </w:p>
    <w:p>
      <w:pPr>
        <w:spacing w:after="0"/>
        <w:rPr>
          <w:rFonts w:hint="default"/>
          <w:highlight w:val="none"/>
          <w:lang w:val="en-US"/>
        </w:rPr>
      </w:pPr>
    </w:p>
    <w:p>
      <w:pPr>
        <w:spacing w:after="0"/>
        <w:rPr>
          <w:rFonts w:hint="default"/>
          <w:highlight w:val="none"/>
          <w:lang w:val="en-US"/>
        </w:rPr>
      </w:pPr>
    </w:p>
    <w:p>
      <w:pPr>
        <w:spacing w:after="0"/>
        <w:rPr>
          <w:rFonts w:hint="default"/>
          <w:highlight w:val="none"/>
          <w:lang w:val="en-US"/>
        </w:rPr>
      </w:pPr>
      <w:r>
        <w:rPr>
          <w:rFonts w:hint="default"/>
          <w:highlight w:val="none"/>
          <w:lang w:val="en-US"/>
        </w:rPr>
        <w:t>+++++++++++++</w:t>
      </w:r>
    </w:p>
    <w:p>
      <w:pPr>
        <w:spacing w:after="0"/>
        <w:rPr>
          <w:rFonts w:hint="default"/>
          <w:highlight w:val="none"/>
          <w:lang w:val="en-US"/>
        </w:rPr>
      </w:pPr>
    </w:p>
    <w:p>
      <w:pPr>
        <w:spacing w:after="0"/>
        <w:rPr>
          <w:rFonts w:hint="default"/>
          <w:highlight w:val="none"/>
          <w:lang w:val="en-US"/>
        </w:rPr>
      </w:pP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p>
    <w:p>
      <w:pPr>
        <w:rPr>
          <w:rFonts w:hint="default"/>
          <w:highlight w:val="none"/>
          <w:lang w:val="ru-RU"/>
        </w:rPr>
      </w:pPr>
    </w:p>
    <w:p>
      <w:pPr>
        <w:rPr>
          <w:rFonts w:hint="default"/>
          <w:highlight w:val="none"/>
          <w:lang w:val="ru-RU"/>
        </w:rPr>
      </w:pPr>
      <w:r>
        <w:rPr>
          <w:rFonts w:hint="default"/>
          <w:highlight w:val="none"/>
          <w:lang w:val="ru-RU"/>
        </w:rPr>
        <w:t xml:space="preserve">Спасибо за совет! Мы создали специальное электронное приложение </w:t>
      </w:r>
      <w:r>
        <w:rPr>
          <w:rFonts w:hint="default"/>
          <w:highlight w:val="none"/>
          <w:lang w:val="en-US"/>
        </w:rPr>
        <w:t>ES</w:t>
      </w:r>
      <w:r>
        <w:rPr>
          <w:rFonts w:hint="default"/>
          <w:highlight w:val="none"/>
          <w:lang w:val="ru-RU"/>
        </w:rPr>
        <w:t xml:space="preserve">2, в котором приведены все фенологические характеристики, использованные в работе. </w:t>
      </w:r>
    </w:p>
    <w:p>
      <w:pPr>
        <w:rPr>
          <w:rFonts w:hint="default"/>
          <w:highlight w:val="none"/>
          <w:lang w:val="ru-RU"/>
        </w:rPr>
      </w:pPr>
      <w:r>
        <w:rPr>
          <w:rFonts w:hint="default"/>
          <w:highlight w:val="none"/>
          <w:lang w:val="ru-RU"/>
        </w:rPr>
        <w:t>+++++++++</w:t>
      </w:r>
    </w:p>
    <w:p>
      <w:pPr>
        <w:rPr>
          <w:rFonts w:hint="default"/>
          <w:highlight w:val="none"/>
          <w:lang w:val="ru-RU"/>
        </w:rPr>
      </w:pPr>
      <w:r>
        <w:rPr>
          <w:rFonts w:hint="default"/>
          <w:highlight w:val="none"/>
          <w:lang w:val="ru-RU"/>
        </w:rPr>
        <w:t>Надо вставить в текст отсылку к электронному приложению</w:t>
      </w:r>
      <w:r>
        <w:rPr>
          <w:rFonts w:hint="default"/>
          <w:highlight w:val="none"/>
          <w:lang w:val="en-US"/>
        </w:rPr>
        <w:t xml:space="preserve"> ES</w:t>
      </w:r>
      <w:r>
        <w:rPr>
          <w:rFonts w:hint="default"/>
          <w:highlight w:val="none"/>
          <w:lang w:val="ru-RU"/>
        </w:rPr>
        <w:t xml:space="preserve">2. </w:t>
      </w:r>
    </w:p>
    <w:p>
      <w:pPr>
        <w:rPr>
          <w:rFonts w:hint="default"/>
          <w:highlight w:val="none"/>
          <w:lang w:val="ru-RU"/>
        </w:rPr>
      </w:pPr>
      <w:r>
        <w:rPr>
          <w:rFonts w:hint="default"/>
          <w:highlight w:val="none"/>
          <w:lang w:val="ru-RU"/>
        </w:rPr>
        <w:t>+++++++++</w:t>
      </w:r>
    </w:p>
    <w:p>
      <w:pPr>
        <w:rPr>
          <w:rFonts w:hint="default"/>
          <w:highlight w:val="none"/>
          <w:lang w:val="ru-RU"/>
        </w:rPr>
      </w:pPr>
      <w:r>
        <w:rPr>
          <w:rFonts w:hint="default"/>
          <w:highlight w:val="none"/>
          <w:lang w:val="ru-RU"/>
        </w:rPr>
        <w:t>Коля!</w:t>
      </w:r>
    </w:p>
    <w:p>
      <w:pPr>
        <w:rPr>
          <w:rFonts w:hint="default"/>
          <w:highlight w:val="none"/>
          <w:lang w:val="ru-RU"/>
        </w:rPr>
      </w:pPr>
      <w:r>
        <w:rPr>
          <w:rFonts w:hint="default"/>
          <w:highlight w:val="none"/>
          <w:lang w:val="ru-RU"/>
        </w:rPr>
        <w:t>По ходу дела обнаружил, что предложение на строке 252 надо дописать</w:t>
      </w:r>
    </w:p>
    <w:p>
      <w:pPr>
        <w:spacing w:beforeLines="0" w:afterLines="0"/>
        <w:jc w:val="left"/>
        <w:rPr>
          <w:rFonts w:hint="default" w:ascii="Times New Roman" w:hAnsi="Times New Roman" w:eastAsia="Times New Roman"/>
          <w:sz w:val="24"/>
          <w:szCs w:val="24"/>
        </w:rPr>
      </w:pPr>
      <w:r>
        <w:rPr>
          <w:rFonts w:hint="default" w:ascii="Times New Roman" w:hAnsi="Times New Roman" w:eastAsia="Times New Roman"/>
          <w:sz w:val="24"/>
          <w:szCs w:val="24"/>
        </w:rPr>
        <w:t>In 1963, 1972 and 1990, the observations did not</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 xml:space="preserve">adequately describe the cumulative for </w:t>
      </w:r>
      <w:r>
        <w:rPr>
          <w:rFonts w:hint="default" w:ascii="Times New Roman" w:hAnsi="Times New Roman" w:eastAsia="Times New Roman"/>
          <w:i/>
          <w:sz w:val="24"/>
          <w:szCs w:val="24"/>
        </w:rPr>
        <w:t xml:space="preserve">C. glacialis </w:t>
      </w:r>
      <w:r>
        <w:rPr>
          <w:rFonts w:hint="default" w:ascii="Times New Roman" w:hAnsi="Times New Roman" w:eastAsia="Times New Roman"/>
          <w:sz w:val="24"/>
          <w:szCs w:val="24"/>
        </w:rPr>
        <w:t>(a very short period of the species presence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 the plankton fell on the intervals between observations).</w:t>
      </w:r>
    </w:p>
    <w:p>
      <w:pPr>
        <w:spacing w:beforeLines="0" w:afterLines="0"/>
        <w:jc w:val="left"/>
        <w:rPr>
          <w:rFonts w:hint="default" w:ascii="Times New Roman" w:hAnsi="Times New Roman" w:eastAsia="Times New Roman"/>
          <w:sz w:val="24"/>
          <w:szCs w:val="24"/>
        </w:rPr>
      </w:pPr>
    </w:p>
    <w:p>
      <w:pPr>
        <w:spacing w:beforeLines="0" w:afterLines="0"/>
        <w:jc w:val="left"/>
        <w:rPr>
          <w:rFonts w:hint="default" w:ascii="Times New Roman" w:hAnsi="Times New Roman" w:eastAsia="Times New Roman"/>
          <w:sz w:val="24"/>
          <w:szCs w:val="24"/>
          <w:lang w:val="ru-RU"/>
        </w:rPr>
      </w:pPr>
      <w:r>
        <w:rPr>
          <w:rFonts w:hint="default" w:ascii="Times New Roman" w:hAnsi="Times New Roman" w:eastAsia="Times New Roman"/>
          <w:sz w:val="24"/>
          <w:szCs w:val="24"/>
          <w:lang w:val="ru-RU"/>
        </w:rPr>
        <w:t>Надо так</w:t>
      </w:r>
    </w:p>
    <w:p>
      <w:pPr>
        <w:spacing w:beforeLines="0" w:afterLines="0"/>
        <w:jc w:val="left"/>
        <w:rPr>
          <w:rFonts w:hint="default" w:ascii="Times New Roman" w:hAnsi="Times New Roman" w:eastAsia="Times New Roman"/>
          <w:sz w:val="24"/>
          <w:szCs w:val="24"/>
          <w:highlight w:val="yellow"/>
          <w:lang w:val="en-US"/>
        </w:rPr>
      </w:pPr>
      <w:r>
        <w:rPr>
          <w:rFonts w:hint="default" w:ascii="Times New Roman" w:hAnsi="Times New Roman" w:eastAsia="Times New Roman"/>
          <w:sz w:val="24"/>
          <w:szCs w:val="24"/>
        </w:rPr>
        <w:t>In 1963, 1972 and 1990, the observations did not</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 xml:space="preserve">adequately describe the cumulative for </w:t>
      </w:r>
      <w:r>
        <w:rPr>
          <w:rFonts w:hint="default" w:ascii="Times New Roman" w:hAnsi="Times New Roman" w:eastAsia="Times New Roman"/>
          <w:i/>
          <w:sz w:val="24"/>
          <w:szCs w:val="24"/>
        </w:rPr>
        <w:t xml:space="preserve">C. glacialis </w:t>
      </w:r>
      <w:r>
        <w:rPr>
          <w:rFonts w:hint="default" w:ascii="Times New Roman" w:hAnsi="Times New Roman" w:eastAsia="Times New Roman"/>
          <w:sz w:val="24"/>
          <w:szCs w:val="24"/>
        </w:rPr>
        <w:t>(a very short period of the species presence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 the plankton fell on the intervals between observations).</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highlight w:val="yellow"/>
          <w:lang w:val="en-US"/>
        </w:rPr>
        <w:t xml:space="preserve">The same was in the case of </w:t>
      </w:r>
      <w:r>
        <w:rPr>
          <w:rFonts w:hint="default" w:ascii="Times New Roman" w:hAnsi="Times New Roman" w:eastAsia="Times New Roman"/>
          <w:i/>
          <w:iCs/>
          <w:sz w:val="24"/>
          <w:szCs w:val="24"/>
          <w:highlight w:val="yellow"/>
          <w:lang w:val="en-US"/>
        </w:rPr>
        <w:t xml:space="preserve">Pseudocalanus </w:t>
      </w:r>
      <w:r>
        <w:rPr>
          <w:rFonts w:hint="default" w:ascii="Times New Roman" w:hAnsi="Times New Roman" w:eastAsia="Times New Roman"/>
          <w:sz w:val="24"/>
          <w:szCs w:val="24"/>
          <w:highlight w:val="yellow"/>
          <w:lang w:val="en-US"/>
        </w:rPr>
        <w:t xml:space="preserve">spp. in  1961, 1962, 1994, 1998. </w:t>
      </w:r>
    </w:p>
    <w:p>
      <w:pPr>
        <w:spacing w:beforeLines="0" w:afterLines="0"/>
        <w:jc w:val="left"/>
        <w:rPr>
          <w:rFonts w:hint="default" w:ascii="Times New Roman" w:hAnsi="Times New Roman" w:eastAsia="Times New Roman"/>
          <w:sz w:val="24"/>
          <w:szCs w:val="24"/>
          <w:lang w:val="ru-RU"/>
        </w:rPr>
      </w:pPr>
    </w:p>
    <w:p>
      <w:pPr>
        <w:spacing w:beforeLines="0" w:afterLines="0"/>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w:t>
      </w:r>
    </w:p>
    <w:p>
      <w:pPr>
        <w:rPr>
          <w:rFonts w:hint="default"/>
          <w:highlight w:val="none"/>
          <w:lang w:val="ru-RU"/>
        </w:rPr>
      </w:pPr>
    </w:p>
    <w:p>
      <w:pPr>
        <w:spacing w:after="0"/>
      </w:pPr>
      <w:r>
        <w:rPr>
          <w:u w:val="single"/>
        </w:rPr>
        <w:t>Because of the pre-treatment procedure applied to fill missing values, could these values be biased?</w:t>
      </w:r>
      <w:r>
        <w:t xml:space="preserve"> </w:t>
      </w:r>
    </w:p>
    <w:p>
      <w:pPr>
        <w:rPr>
          <w:rFonts w:hint="default"/>
          <w:highlight w:val="none"/>
          <w:lang w:val="ru-RU"/>
        </w:rPr>
      </w:pPr>
    </w:p>
    <w:p>
      <w:pPr>
        <w:numPr>
          <w:ilvl w:val="0"/>
          <w:numId w:val="1"/>
        </w:numPr>
        <w:spacing w:after="0"/>
        <w:rPr>
          <w:rFonts w:hint="default"/>
          <w:highlight w:val="green"/>
          <w:lang w:val="en-US"/>
        </w:rPr>
      </w:pPr>
      <w:r>
        <w:rPr>
          <w:rFonts w:hint="default"/>
          <w:highlight w:val="green"/>
          <w:lang w:val="en-US"/>
        </w:rPr>
        <w:t>We did not find any strong evidences of biasment provided by the SSA (see ES</w:t>
      </w:r>
      <w:r>
        <w:rPr>
          <w:rFonts w:hint="default"/>
          <w:highlight w:val="green"/>
          <w:lang w:val="ru-RU"/>
        </w:rPr>
        <w:t>1</w:t>
      </w:r>
      <w:r>
        <w:rPr>
          <w:rFonts w:hint="default"/>
          <w:highlight w:val="green"/>
          <w:lang w:val="en-US"/>
        </w:rPr>
        <w:t xml:space="preserve">). </w:t>
      </w:r>
    </w:p>
    <w:p>
      <w:pPr>
        <w:numPr>
          <w:ilvl w:val="0"/>
          <w:numId w:val="1"/>
        </w:numPr>
        <w:spacing w:after="0"/>
        <w:rPr>
          <w:rFonts w:hint="default"/>
          <w:highlight w:val="green"/>
          <w:lang w:val="en-US"/>
        </w:rPr>
      </w:pPr>
      <w:r>
        <w:rPr>
          <w:rFonts w:hint="default"/>
          <w:highlight w:val="green"/>
          <w:lang w:val="en-US"/>
        </w:rPr>
        <w:t xml:space="preserve">Only few percent of missed values were reconstructed. </w:t>
      </w:r>
    </w:p>
    <w:p>
      <w:pPr>
        <w:spacing w:after="0"/>
      </w:pP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rPr>
          <w:rFonts w:hint="default"/>
          <w:lang w:val="ru-RU"/>
        </w:rPr>
      </w:pPr>
    </w:p>
    <w:p>
      <w:pPr>
        <w:spacing w:after="0"/>
        <w:rPr>
          <w:rFonts w:hint="default"/>
          <w:highlight w:val="none"/>
          <w:lang w:val="ru-RU"/>
        </w:rPr>
      </w:pPr>
      <w:r>
        <w:rPr>
          <w:rFonts w:hint="default"/>
          <w:highlight w:val="none"/>
          <w:lang w:val="ru-RU"/>
        </w:rPr>
        <w:t xml:space="preserve">У нас было два способа оценить тренды. </w:t>
      </w:r>
    </w:p>
    <w:p>
      <w:pPr>
        <w:numPr>
          <w:ilvl w:val="0"/>
          <w:numId w:val="2"/>
        </w:numPr>
        <w:spacing w:after="0"/>
        <w:rPr>
          <w:rFonts w:hint="default"/>
          <w:highlight w:val="none"/>
          <w:lang w:val="ru-RU"/>
        </w:rPr>
      </w:pPr>
      <w:r>
        <w:rPr>
          <w:rFonts w:hint="default"/>
          <w:highlight w:val="none"/>
          <w:lang w:val="ru-RU"/>
        </w:rPr>
        <w:t>Это угловой коэффициент линейной регрессии.</w:t>
      </w:r>
    </w:p>
    <w:p>
      <w:pPr>
        <w:numPr>
          <w:ilvl w:val="0"/>
          <w:numId w:val="2"/>
        </w:numPr>
        <w:spacing w:after="0"/>
        <w:rPr>
          <w:rFonts w:hint="default"/>
          <w:highlight w:val="none"/>
          <w:lang w:val="ru-RU"/>
        </w:rPr>
      </w:pPr>
      <w:r>
        <w:rPr>
          <w:rFonts w:hint="default"/>
          <w:highlight w:val="none"/>
          <w:lang w:val="ru-RU"/>
        </w:rPr>
        <w:t xml:space="preserve">Мантеловская корреяция с модельным линейным градиентом. </w:t>
      </w:r>
    </w:p>
    <w:p>
      <w:pPr>
        <w:numPr>
          <w:numId w:val="0"/>
        </w:numPr>
        <w:spacing w:after="0"/>
        <w:rPr>
          <w:rFonts w:hint="default"/>
          <w:highlight w:val="none"/>
          <w:lang w:val="ru-RU"/>
        </w:rPr>
      </w:pPr>
    </w:p>
    <w:p>
      <w:pPr>
        <w:numPr>
          <w:numId w:val="0"/>
        </w:numPr>
        <w:spacing w:after="0"/>
        <w:rPr>
          <w:rFonts w:hint="default"/>
          <w:highlight w:val="none"/>
          <w:lang w:val="ru-RU"/>
        </w:rPr>
      </w:pPr>
      <w:r>
        <w:rPr>
          <w:rFonts w:hint="default"/>
          <w:highlight w:val="none"/>
          <w:lang w:val="ru-RU"/>
        </w:rPr>
        <w:t>Мы вставили специальное объяснение в тексте (см. Выше).</w:t>
      </w:r>
    </w:p>
    <w:p>
      <w:pPr>
        <w:numPr>
          <w:numId w:val="0"/>
        </w:numPr>
        <w:spacing w:after="0"/>
        <w:rPr>
          <w:rFonts w:hint="default"/>
          <w:highlight w:val="none"/>
          <w:lang w:val="ru-RU"/>
        </w:rPr>
      </w:pPr>
    </w:p>
    <w:p>
      <w:pPr>
        <w:numPr>
          <w:numId w:val="0"/>
        </w:numPr>
        <w:spacing w:after="0"/>
        <w:rPr>
          <w:rFonts w:hint="default"/>
          <w:highlight w:val="none"/>
          <w:lang w:val="ru-RU"/>
        </w:rPr>
      </w:pPr>
    </w:p>
    <w:p>
      <w:pPr>
        <w:spacing w:after="0"/>
        <w:rPr>
          <w:u w:val="single"/>
        </w:rPr>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p>
    <w:p>
      <w:pPr>
        <w:spacing w:after="0"/>
        <w:rPr>
          <w:u w:val="single"/>
        </w:rPr>
      </w:pPr>
    </w:p>
    <w:p>
      <w:pPr>
        <w:numPr>
          <w:numId w:val="0"/>
        </w:numPr>
        <w:spacing w:after="0"/>
        <w:rPr>
          <w:rFonts w:hint="default"/>
          <w:highlight w:val="none"/>
          <w:lang w:val="ru-RU"/>
        </w:rPr>
      </w:pPr>
      <w:r>
        <w:rPr>
          <w:rFonts w:hint="default"/>
          <w:highlight w:val="none"/>
          <w:lang w:val="ru-RU"/>
        </w:rPr>
        <w:t>Мы создали специальное электронное приложение (</w:t>
      </w:r>
      <w:r>
        <w:rPr>
          <w:rFonts w:hint="default"/>
          <w:highlight w:val="none"/>
          <w:lang w:val="en-US"/>
        </w:rPr>
        <w:t>ES2)</w:t>
      </w:r>
      <w:r>
        <w:rPr>
          <w:rFonts w:hint="default"/>
          <w:highlight w:val="none"/>
          <w:lang w:val="ru-RU"/>
        </w:rPr>
        <w:t xml:space="preserve">, в котором обозначены все пропущенные значения, которые были восстановлены с помощью </w:t>
      </w:r>
      <w:r>
        <w:rPr>
          <w:rFonts w:hint="default"/>
          <w:highlight w:val="none"/>
          <w:lang w:val="en-US"/>
        </w:rPr>
        <w:t xml:space="preserve">SSA. </w:t>
      </w:r>
    </w:p>
    <w:p>
      <w:pPr>
        <w:spacing w:after="0"/>
      </w:pPr>
    </w:p>
    <w:p>
      <w:pPr>
        <w:spacing w:after="0"/>
      </w:pPr>
      <w:r>
        <w:t>Line 426: "[…] since they displayed high variance inflation factor". Please, clarify how this was assessed.</w:t>
      </w:r>
    </w:p>
    <w:p>
      <w:pPr>
        <w:spacing w:after="0"/>
      </w:pPr>
    </w:p>
    <w:p>
      <w:pPr>
        <w:rPr>
          <w:rFonts w:hint="default"/>
          <w:highlight w:val="none"/>
          <w:lang w:val="en-US"/>
        </w:rPr>
      </w:pPr>
      <w:r>
        <w:rPr>
          <w:highlight w:val="none"/>
          <w:lang w:val="ru-RU"/>
        </w:rPr>
        <w:t>Отсутствие</w:t>
      </w:r>
      <w:r>
        <w:rPr>
          <w:rFonts w:hint="default"/>
          <w:highlight w:val="none"/>
          <w:lang w:val="ru-RU"/>
        </w:rPr>
        <w:t xml:space="preserve"> колленеарности предикторов - базовое требование мнжественного регрессионного анализа, многомерной модификацией которого является </w:t>
      </w:r>
      <w:r>
        <w:rPr>
          <w:rFonts w:hint="default"/>
          <w:highlight w:val="none"/>
          <w:lang w:val="en-US"/>
        </w:rPr>
        <w:t>CCA</w:t>
      </w:r>
      <w:r>
        <w:rPr>
          <w:rFonts w:hint="default"/>
          <w:highlight w:val="none"/>
          <w:lang w:val="ru-RU"/>
        </w:rPr>
        <w:t xml:space="preserve">. Степень коллинеарности предикторов оценивается с помощью величины, называемой </w:t>
      </w:r>
      <w:r>
        <w:rPr>
          <w:rFonts w:hint="default"/>
          <w:highlight w:val="none"/>
          <w:lang w:val="en-US"/>
        </w:rPr>
        <w:t>variance infaltion factor</w:t>
      </w:r>
      <w:r>
        <w:rPr>
          <w:rFonts w:hint="default"/>
          <w:highlight w:val="none"/>
          <w:lang w:val="ru-RU"/>
        </w:rPr>
        <w:t xml:space="preserve"> (</w:t>
      </w:r>
      <w:r>
        <w:rPr>
          <w:rFonts w:hint="default"/>
          <w:highlight w:val="none"/>
          <w:lang w:val="en-US"/>
        </w:rPr>
        <w:t>Borcard et al (2018).</w:t>
      </w:r>
    </w:p>
    <w:p>
      <w:pPr>
        <w:rPr>
          <w:rFonts w:hint="default"/>
          <w:highlight w:val="none"/>
          <w:lang w:val="en-US"/>
        </w:rPr>
      </w:pPr>
    </w:p>
    <w:p>
      <w:pPr>
        <w:rPr>
          <w:rFonts w:hint="default"/>
          <w:highlight w:val="none"/>
          <w:lang w:val="ru-RU"/>
        </w:rPr>
      </w:pPr>
      <w:r>
        <w:rPr>
          <w:rFonts w:hint="default"/>
          <w:highlight w:val="none"/>
          <w:lang w:val="ru-RU"/>
        </w:rPr>
        <w:t>Мы вставили следующее пояснение в предложение</w:t>
      </w:r>
    </w:p>
    <w:p>
      <w:pPr>
        <w:rPr>
          <w:rFonts w:hint="default"/>
          <w:highlight w:val="none"/>
          <w:lang w:val="ru-RU"/>
        </w:rPr>
      </w:pPr>
      <w:r>
        <w:rPr>
          <w:rFonts w:hint="default"/>
          <w:highlight w:val="none"/>
          <w:lang w:val="ru-RU"/>
        </w:rPr>
        <w:t>++++++++++++++</w:t>
      </w:r>
    </w:p>
    <w:p>
      <w:pPr>
        <w:spacing w:beforeLines="0" w:afterLines="0"/>
        <w:jc w:val="left"/>
        <w:rPr>
          <w:rFonts w:hint="default" w:ascii="Times New Roman" w:hAnsi="Times New Roman" w:eastAsia="Times New Roman"/>
          <w:sz w:val="24"/>
          <w:szCs w:val="24"/>
          <w:highlight w:val="yellow"/>
        </w:rPr>
      </w:pPr>
      <w:r>
        <w:rPr>
          <w:rFonts w:hint="default"/>
          <w:highlight w:val="none"/>
          <w:lang w:val="en-US"/>
        </w:rPr>
        <w:t xml:space="preserve"> Some of the hydrological and climatic factors described above (SpT, AOI, SuDurPY,  NAOPY and SpTPY) were not included in CCA since they displayed high variance inflation factor (Borcard et al, 2018) </w:t>
      </w:r>
      <w:r>
        <w:rPr>
          <w:rFonts w:hint="default"/>
          <w:highlight w:val="yellow"/>
          <w:lang w:val="en-US"/>
        </w:rPr>
        <w:t>i.e. these variables were not independent from other explanatory variables, which is a violation of CCA assumptions</w:t>
      </w:r>
      <w:r>
        <w:rPr>
          <w:rFonts w:hint="default" w:ascii="Times New Roman" w:hAnsi="Times New Roman" w:eastAsia="Times New Roman"/>
          <w:sz w:val="24"/>
          <w:szCs w:val="24"/>
          <w:highlight w:val="yellow"/>
        </w:rPr>
        <w:t>.</w:t>
      </w:r>
    </w:p>
    <w:p>
      <w:pPr>
        <w:spacing w:beforeLines="0" w:afterLines="0"/>
        <w:jc w:val="left"/>
        <w:rPr>
          <w:rFonts w:hint="default" w:ascii="Times New Roman" w:hAnsi="Times New Roman" w:eastAsia="Times New Roman"/>
          <w:sz w:val="24"/>
          <w:szCs w:val="24"/>
          <w:highlight w:val="yellow"/>
        </w:rPr>
      </w:pPr>
    </w:p>
    <w:p>
      <w:pPr>
        <w:spacing w:beforeLines="0" w:afterLines="0"/>
        <w:jc w:val="left"/>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spacing w:beforeLines="0" w:afterLines="0"/>
        <w:jc w:val="left"/>
      </w:pPr>
    </w:p>
    <w:p>
      <w:pPr>
        <w:spacing w:beforeLines="0" w:afterLines="0"/>
        <w:jc w:val="left"/>
        <w:rPr>
          <w:rFonts w:hint="default"/>
          <w:lang w:val="ru-RU"/>
        </w:rPr>
      </w:pPr>
      <w:r>
        <w:rPr>
          <w:rFonts w:hint="default"/>
          <w:lang w:val="ru-RU"/>
        </w:rPr>
        <w:t>В технике ССА нет понятия «</w:t>
      </w:r>
      <w:r>
        <w:t>percentage of explained variance</w:t>
      </w:r>
      <w:r>
        <w:rPr>
          <w:rFonts w:hint="default"/>
          <w:lang w:val="ru-RU"/>
        </w:rPr>
        <w:t xml:space="preserve">». Величина </w:t>
      </w:r>
      <w:r>
        <w:rPr>
          <w:rFonts w:hint="default"/>
          <w:lang w:val="en-US"/>
        </w:rPr>
        <w:t>Inertia</w:t>
      </w:r>
      <w:r>
        <w:rPr>
          <w:rFonts w:hint="default"/>
          <w:lang w:val="ru-RU"/>
        </w:rPr>
        <w:t xml:space="preserve"> показывает степень отклонения наблюдаемых значений от предсказанных нулевой моделью. Нулевая модель предсказывает отсутствие связи между между строками (годы), и столбцами (фенологические события видов) в исходной матрице. Полная модель </w:t>
      </w:r>
      <w:r>
        <w:rPr>
          <w:rFonts w:hint="default"/>
          <w:lang w:val="en-US"/>
        </w:rPr>
        <w:t xml:space="preserve">CCA </w:t>
      </w:r>
      <w:r>
        <w:rPr>
          <w:rFonts w:hint="default"/>
          <w:lang w:val="ru-RU"/>
        </w:rPr>
        <w:t xml:space="preserve">включает все канонические корреспондентные оси, которые описывают 40.9% </w:t>
      </w:r>
      <w:r>
        <w:rPr>
          <w:rFonts w:hint="default"/>
          <w:lang w:val="en-US"/>
        </w:rPr>
        <w:t>of total inertia</w:t>
      </w:r>
      <w:r>
        <w:rPr>
          <w:rFonts w:hint="default"/>
          <w:lang w:val="ru-RU"/>
        </w:rPr>
        <w:t xml:space="preserve">. Однако статистически значимой оказывается только первая каноническая корреспондентная ось, которая описывает лишь </w:t>
      </w:r>
      <w:r>
        <w:t>14.6% of total inertia</w:t>
      </w:r>
      <w:r>
        <w:rPr>
          <w:rFonts w:hint="default"/>
          <w:lang w:val="en-US"/>
        </w:rPr>
        <w:t xml:space="preserve">. </w:t>
      </w:r>
      <w:r>
        <w:rPr>
          <w:rFonts w:hint="default"/>
          <w:lang w:val="ru-RU"/>
        </w:rPr>
        <w:t xml:space="preserve">Обилие </w:t>
      </w:r>
      <w:r>
        <w:rPr>
          <w:rFonts w:hint="default"/>
          <w:lang w:val="en-US"/>
        </w:rPr>
        <w:t xml:space="preserve">Acartia </w:t>
      </w:r>
      <w:r>
        <w:rPr>
          <w:rFonts w:hint="default"/>
          <w:lang w:val="ru-RU"/>
        </w:rPr>
        <w:t xml:space="preserve">и </w:t>
      </w:r>
      <w:r>
        <w:rPr>
          <w:rFonts w:hint="default"/>
          <w:lang w:val="en-US"/>
        </w:rPr>
        <w:t xml:space="preserve">Microsetella </w:t>
      </w:r>
      <w:r>
        <w:rPr>
          <w:rFonts w:hint="default"/>
          <w:lang w:val="ru-RU"/>
        </w:rPr>
        <w:t xml:space="preserve">были использованы в качестве предикторов в ССА, где зависимыми переменными были даты фенологических событий, поэтому высокая вариация обилия </w:t>
      </w:r>
      <w:r>
        <w:rPr>
          <w:rFonts w:hint="default"/>
          <w:lang w:val="en-US"/>
        </w:rPr>
        <w:t xml:space="preserve">Acartia </w:t>
      </w:r>
      <w:r>
        <w:rPr>
          <w:rFonts w:hint="default"/>
          <w:lang w:val="ru-RU"/>
        </w:rPr>
        <w:t xml:space="preserve">и </w:t>
      </w:r>
      <w:r>
        <w:rPr>
          <w:rFonts w:hint="default"/>
          <w:lang w:val="en-US"/>
        </w:rPr>
        <w:t xml:space="preserve">Microsetella </w:t>
      </w:r>
      <w:r>
        <w:rPr>
          <w:rFonts w:hint="default"/>
          <w:lang w:val="ru-RU"/>
        </w:rPr>
        <w:t>не могла сказаться на результатах ССА.</w:t>
      </w:r>
      <w:r>
        <w:rPr>
          <w:rFonts w:hint="default"/>
          <w:lang w:val="en-US"/>
        </w:rPr>
        <w:t xml:space="preserve"> </w:t>
      </w:r>
      <w:r>
        <w:rPr>
          <w:rFonts w:hint="default"/>
          <w:lang w:val="ru-RU"/>
        </w:rPr>
        <w:t xml:space="preserve">Главный результат ССА сводится к тому, что лишь небольшая часть изменчивости дат фенологических событий объясняется изученными </w:t>
      </w:r>
      <w:r>
        <w:rPr>
          <w:rFonts w:hint="default"/>
          <w:lang w:val="en-US"/>
        </w:rPr>
        <w:t>explanatory variables.</w:t>
      </w:r>
      <w:r>
        <w:rPr>
          <w:rFonts w:hint="default"/>
          <w:lang w:val="ru-RU"/>
        </w:rPr>
        <w:t xml:space="preserve"> </w:t>
      </w:r>
    </w:p>
    <w:p>
      <w:pPr>
        <w:spacing w:beforeLines="0" w:afterLines="0"/>
        <w:jc w:val="left"/>
        <w:rPr>
          <w:rFonts w:hint="default"/>
          <w:lang w:val="ru-RU"/>
        </w:rPr>
      </w:pPr>
    </w:p>
    <w:p>
      <w:pPr>
        <w:spacing w:beforeLines="0" w:afterLines="0"/>
        <w:jc w:val="left"/>
        <w:rPr>
          <w:rFonts w:hint="default"/>
          <w:lang w:val="ru-RU"/>
        </w:rPr>
      </w:pPr>
      <w:r>
        <w:rPr>
          <w:rFonts w:hint="default"/>
          <w:lang w:val="ru-RU"/>
        </w:rPr>
        <w:t>Мы вставили дополнение.</w:t>
      </w:r>
    </w:p>
    <w:p>
      <w:pPr>
        <w:spacing w:beforeLines="0" w:afterLines="0"/>
        <w:jc w:val="left"/>
        <w:rPr>
          <w:rFonts w:hint="default"/>
          <w:lang w:val="en-US"/>
        </w:rPr>
      </w:pPr>
      <w:r>
        <w:rPr>
          <w:rFonts w:hint="default" w:ascii="Times New Roman" w:hAnsi="Times New Roman" w:eastAsia="Times New Roman"/>
          <w:sz w:val="24"/>
          <w:szCs w:val="24"/>
        </w:rPr>
        <w:t>The whole model was statistically significant and explained 40.9% of total</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inertia taking into account all canonical axes. At the same time, only the first constrained axis</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was statistically significant. It accounted for 14.6% of total inertia. Only three</w:t>
      </w:r>
      <w:r>
        <w:rPr>
          <w:rFonts w:hint="default" w:ascii="Calibri" w:hAnsi="Calibri" w:eastAsia="Calibri"/>
          <w:sz w:val="20"/>
          <w:szCs w:val="24"/>
        </w:rPr>
        <w:t xml:space="preserve"> </w:t>
      </w:r>
      <w:r>
        <w:rPr>
          <w:rFonts w:hint="default" w:ascii="Times New Roman" w:hAnsi="Times New Roman" w:eastAsia="Times New Roman"/>
          <w:sz w:val="24"/>
          <w:szCs w:val="24"/>
        </w:rPr>
        <w:t>predictors were revealed as significant: the end of summer in the previous year (SuFDPY), the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 xml:space="preserve">abundance of </w:t>
      </w:r>
      <w:r>
        <w:rPr>
          <w:rFonts w:hint="default" w:ascii="Times New Roman" w:hAnsi="Times New Roman" w:eastAsia="Times New Roman"/>
          <w:i/>
          <w:sz w:val="24"/>
          <w:szCs w:val="24"/>
        </w:rPr>
        <w:t xml:space="preserve">Acartia </w:t>
      </w:r>
      <w:r>
        <w:rPr>
          <w:rFonts w:hint="default" w:ascii="Times New Roman" w:hAnsi="Times New Roman" w:eastAsia="Times New Roman"/>
          <w:sz w:val="24"/>
          <w:szCs w:val="24"/>
        </w:rPr>
        <w:t xml:space="preserve">and </w:t>
      </w:r>
      <w:r>
        <w:rPr>
          <w:rFonts w:hint="default" w:ascii="Times New Roman" w:hAnsi="Times New Roman" w:eastAsia="Times New Roman"/>
          <w:i/>
          <w:sz w:val="24"/>
          <w:szCs w:val="24"/>
        </w:rPr>
        <w:t>Microsetella</w:t>
      </w:r>
      <w:r>
        <w:rPr>
          <w:rFonts w:hint="default" w:ascii="Times New Roman" w:hAnsi="Times New Roman" w:eastAsia="Times New Roman"/>
          <w:sz w:val="24"/>
          <w:szCs w:val="24"/>
        </w:rPr>
        <w:t>.</w:t>
      </w:r>
      <w:r>
        <w:rPr>
          <w:rFonts w:hint="default"/>
          <w:lang w:val="ru-RU"/>
        </w:rPr>
        <w:t xml:space="preserve">  </w:t>
      </w:r>
      <w:r>
        <w:rPr>
          <w:rFonts w:hint="default"/>
          <w:highlight w:val="yellow"/>
          <w:lang w:val="en-US"/>
        </w:rPr>
        <w:t>Thus only small proportion of total variability of phenological events in species is associated with explanatory variables included in CCA.</w:t>
      </w:r>
    </w:p>
    <w:p>
      <w:pPr>
        <w:spacing w:beforeLines="0" w:afterLines="0"/>
        <w:jc w:val="left"/>
        <w:rPr>
          <w:rFonts w:hint="default"/>
          <w:lang w:val="en-US"/>
        </w:rPr>
      </w:pPr>
    </w:p>
    <w:p>
      <w:pPr>
        <w:spacing w:beforeLines="0" w:afterLines="0"/>
        <w:jc w:val="left"/>
      </w:pPr>
      <w:r>
        <w:t>"Relationship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beforeLines="0" w:afterLines="0"/>
        <w:jc w:val="left"/>
      </w:pPr>
    </w:p>
    <w:p>
      <w:pPr>
        <w:spacing w:beforeLines="0" w:afterLines="0"/>
        <w:jc w:val="left"/>
        <w:rPr>
          <w:rFonts w:hint="default"/>
          <w:highlight w:val="cyan"/>
          <w:lang w:val="ru-RU"/>
        </w:rPr>
      </w:pPr>
      <w:r>
        <w:rPr>
          <w:rFonts w:hint="default"/>
          <w:lang w:val="ru-RU"/>
        </w:rPr>
        <w:t xml:space="preserve">Выбор именно этого показателя связан с двумя причинами. Во-первых, если и существует связь фенологии и обилия, то дата начала сезона, по нашему мнению, определяет то время, которое будет затрачено популяцией на реализацию всего жизненного цикла, а стало быть на размножение и формирование обилия в данном году. </w:t>
      </w:r>
      <w:r>
        <w:rPr>
          <w:rFonts w:hint="default"/>
          <w:highlight w:val="cyan"/>
          <w:lang w:val="ru-RU"/>
        </w:rPr>
        <w:t xml:space="preserve">Во-вторых, все остальные показатели (дата пика, дата конца сезона, дата середины сезона) связаны с датой начала сезона (сдвиг в большую сторону последней обычно означает и сдвиги всех остальных событий).  </w:t>
      </w:r>
    </w:p>
    <w:p>
      <w:pPr>
        <w:spacing w:beforeLines="0" w:afterLines="0"/>
        <w:jc w:val="left"/>
        <w:rPr>
          <w:rFonts w:hint="default"/>
          <w:lang w:val="ru-RU"/>
        </w:rPr>
      </w:pPr>
      <w:r>
        <w:rPr>
          <w:rFonts w:hint="default"/>
          <w:lang w:val="ru-RU"/>
        </w:rPr>
        <w:t xml:space="preserve">Мы отказались от оценки статистической значимости этого коэффициента так как статистические тесты для такой корреляции не разработаны. </w:t>
      </w:r>
    </w:p>
    <w:p>
      <w:pPr>
        <w:spacing w:beforeLines="0" w:afterLines="0"/>
        <w:jc w:val="left"/>
        <w:rPr>
          <w:rFonts w:hint="default"/>
          <w:lang w:val="ru-RU"/>
        </w:rPr>
      </w:pPr>
    </w:p>
    <w:p>
      <w:pPr>
        <w:spacing w:beforeLines="0" w:afterLines="0"/>
        <w:jc w:val="left"/>
        <w:rPr>
          <w:rFonts w:hint="default"/>
          <w:lang w:val="ru-RU"/>
        </w:rPr>
      </w:pPr>
      <w:r>
        <w:rPr>
          <w:rFonts w:hint="default"/>
          <w:lang w:val="ru-RU"/>
        </w:rPr>
        <w:t>++++++++++++++++</w:t>
      </w:r>
    </w:p>
    <w:p>
      <w:pPr>
        <w:spacing w:beforeLines="0" w:afterLines="0"/>
        <w:jc w:val="left"/>
        <w:rPr>
          <w:rFonts w:hint="default"/>
          <w:lang w:val="ru-RU"/>
        </w:rPr>
      </w:pPr>
      <w:r>
        <w:rPr>
          <w:rFonts w:hint="default"/>
          <w:lang w:val="ru-RU"/>
        </w:rPr>
        <w:t>Коля, надо вставить какую-то фразу в этот кусок, чтобы пояснить почему выбрана именно дата начала сезона.</w:t>
      </w:r>
    </w:p>
    <w:p>
      <w:pPr>
        <w:spacing w:beforeLines="0" w:afterLines="0"/>
        <w:jc w:val="left"/>
        <w:rPr>
          <w:rFonts w:hint="default"/>
          <w:lang w:val="ru-RU"/>
        </w:rPr>
      </w:pPr>
    </w:p>
    <w:p>
      <w:pPr>
        <w:spacing w:beforeLines="0" w:afterLines="0"/>
        <w:jc w:val="left"/>
        <w:rPr>
          <w:rFonts w:hint="default" w:ascii="Times New Roman" w:hAnsi="Times New Roman" w:eastAsia="Times New Roman"/>
          <w:sz w:val="24"/>
          <w:szCs w:val="24"/>
          <w:lang w:val="ru-RU"/>
        </w:rPr>
      </w:pPr>
      <w:r>
        <w:rPr>
          <w:rFonts w:hint="default" w:ascii="Times New Roman" w:hAnsi="Times New Roman" w:eastAsia="Times New Roman"/>
          <w:sz w:val="24"/>
          <w:szCs w:val="24"/>
        </w:rPr>
        <w:t>It is well-known that the assessment of the correlation between population time series</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and external (density independent) parameters require some precautions: high correlations may</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appear even in the absence of any association between two time series (Royama, 1981, 1992).</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 this regard, more complicated approach is needed (Royama, 1992) so we used dichotomous</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nominal scale correlations between second derivatives (Royama, 1981, 1992) to identify the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correlation between two time series.</w:t>
      </w:r>
      <w:r>
        <w:rPr>
          <w:rFonts w:hint="default" w:ascii="Times New Roman" w:hAnsi="Times New Roman" w:eastAsia="Times New Roman"/>
          <w:sz w:val="24"/>
          <w:szCs w:val="24"/>
          <w:lang w:val="ru-RU"/>
        </w:rPr>
        <w:t xml:space="preserve"> </w:t>
      </w:r>
    </w:p>
    <w:p>
      <w:pPr>
        <w:spacing w:beforeLines="0" w:afterLines="0"/>
        <w:jc w:val="left"/>
        <w:rPr>
          <w:rFonts w:hint="default"/>
          <w:highlight w:val="green"/>
          <w:lang w:val="ru-RU"/>
        </w:rPr>
      </w:pPr>
      <w:r>
        <w:rPr>
          <w:rFonts w:hint="default"/>
          <w:lang w:val="ru-RU"/>
        </w:rPr>
        <w:t xml:space="preserve">We considered the relationship between the </w:t>
      </w:r>
      <w:r>
        <w:rPr>
          <w:rFonts w:hint="default"/>
          <w:lang w:val="en-US"/>
        </w:rPr>
        <w:t xml:space="preserve">time </w:t>
      </w:r>
      <w:r>
        <w:rPr>
          <w:rFonts w:hint="default"/>
          <w:lang w:val="ru-RU"/>
        </w:rPr>
        <w:t xml:space="preserve">series of </w:t>
      </w:r>
      <w:r>
        <w:rPr>
          <w:rFonts w:hint="default"/>
          <w:lang w:val="en-US"/>
        </w:rPr>
        <w:t xml:space="preserve">species </w:t>
      </w:r>
      <w:r>
        <w:rPr>
          <w:rFonts w:hint="default"/>
          <w:lang w:val="ru-RU"/>
        </w:rPr>
        <w:t xml:space="preserve">abundance and the </w:t>
      </w:r>
      <w:r>
        <w:rPr>
          <w:rFonts w:hint="default"/>
          <w:lang w:val="en-US"/>
        </w:rPr>
        <w:t xml:space="preserve">time </w:t>
      </w:r>
      <w:r>
        <w:rPr>
          <w:rFonts w:hint="default"/>
          <w:lang w:val="ru-RU"/>
        </w:rPr>
        <w:t xml:space="preserve">series of </w:t>
      </w:r>
      <w:r>
        <w:rPr>
          <w:rFonts w:hint="default"/>
          <w:lang w:val="en-US"/>
        </w:rPr>
        <w:t>Begin-of-season dates</w:t>
      </w:r>
      <w:r>
        <w:rPr>
          <w:rFonts w:hint="default"/>
          <w:lang w:val="ru-RU"/>
        </w:rPr>
        <w:t xml:space="preserve">. </w:t>
      </w:r>
      <w:r>
        <w:rPr>
          <w:rFonts w:hint="default"/>
          <w:highlight w:val="green"/>
          <w:lang w:val="ru-RU"/>
        </w:rPr>
        <w:t>The choice of this particular phenological parameter was related to the fact that ++++.</w:t>
      </w:r>
    </w:p>
    <w:p>
      <w:pPr>
        <w:spacing w:beforeLines="0" w:afterLines="0"/>
        <w:jc w:val="left"/>
        <w:rPr>
          <w:rFonts w:hint="default"/>
          <w:lang w:val="ru-RU"/>
        </w:rPr>
      </w:pPr>
      <w:r>
        <w:rPr>
          <w:rFonts w:hint="default"/>
          <w:lang w:val="ru-RU"/>
        </w:rPr>
        <w:t>+++++++++++++++</w:t>
      </w:r>
    </w:p>
    <w:p>
      <w:pPr>
        <w:spacing w:beforeLines="0" w:afterLines="0"/>
        <w:jc w:val="left"/>
        <w:rPr>
          <w:rFonts w:hint="default"/>
          <w:lang w:val="ru-RU"/>
        </w:rPr>
      </w:pPr>
      <w:r>
        <w:rPr>
          <w:rFonts w:hint="default"/>
          <w:lang w:val="ru-RU"/>
        </w:rPr>
        <w:t>Коля, надо вставить какую-то фразу и вот сюда тоже.</w:t>
      </w:r>
    </w:p>
    <w:p>
      <w:pPr>
        <w:spacing w:beforeLines="0" w:afterLines="0"/>
        <w:jc w:val="left"/>
        <w:rPr>
          <w:rFonts w:hint="default"/>
          <w:lang w:val="ru-RU"/>
        </w:rPr>
      </w:pPr>
      <w:r>
        <w:rPr>
          <w:rFonts w:hint="eastAsia" w:ascii="Times New Roman" w:hAnsi="Times New Roman" w:eastAsia="Times New Roman"/>
          <w:sz w:val="24"/>
          <w:szCs w:val="24"/>
        </w:rPr>
        <w:t>We did not evaluate statistical significance of the Royama’s correlation coefficients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highlight w:val="green"/>
          <w:lang w:val="en-US"/>
        </w:rPr>
        <w:t>(since the appropriate statistical tests are not developed yet)</w:t>
      </w:r>
      <w:r>
        <w:rPr>
          <w:rFonts w:hint="default" w:ascii="Times New Roman" w:hAnsi="Times New Roman" w:eastAsia="Times New Roman"/>
          <w:sz w:val="24"/>
          <w:szCs w:val="24"/>
          <w:lang w:val="en-US"/>
        </w:rPr>
        <w:t xml:space="preserve"> </w:t>
      </w:r>
      <w:r>
        <w:rPr>
          <w:rFonts w:hint="eastAsia" w:ascii="Times New Roman" w:hAnsi="Times New Roman" w:eastAsia="Times New Roman"/>
          <w:sz w:val="24"/>
          <w:szCs w:val="24"/>
        </w:rPr>
        <w:t xml:space="preserve"> but</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lang w:val="en-US"/>
        </w:rPr>
        <w:t>u</w:t>
      </w:r>
      <w:r>
        <w:rPr>
          <w:rFonts w:hint="eastAsia" w:ascii="Times New Roman" w:hAnsi="Times New Roman" w:eastAsia="Times New Roman"/>
          <w:sz w:val="24"/>
          <w:szCs w:val="24"/>
        </w:rPr>
        <w:t>sed these values only as indicators of the tendencies in correlations between time series.</w:t>
      </w:r>
    </w:p>
    <w:p>
      <w:pPr>
        <w:spacing w:beforeLines="0" w:afterLines="0"/>
        <w:jc w:val="left"/>
        <w:rPr>
          <w:rFonts w:hint="default"/>
          <w:lang w:val="ru-RU"/>
        </w:rPr>
      </w:pPr>
      <w:r>
        <w:rPr>
          <w:rFonts w:hint="default"/>
          <w:lang w:val="ru-RU"/>
        </w:rPr>
        <w:t>+++++++++++++++</w:t>
      </w:r>
    </w:p>
    <w:p>
      <w:pPr>
        <w:spacing w:beforeLines="0" w:afterLines="0"/>
        <w:jc w:val="left"/>
        <w:rPr>
          <w:rFonts w:hint="default"/>
          <w:lang w:val="ru-RU"/>
        </w:rPr>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beforeLines="0" w:afterLines="0"/>
        <w:jc w:val="left"/>
        <w:rPr>
          <w:rFonts w:hint="default"/>
          <w:lang w:val="ru-RU"/>
        </w:rPr>
      </w:pPr>
      <w:r>
        <w:rPr>
          <w:rFonts w:hint="default"/>
          <w:lang w:val="ru-RU"/>
        </w:rPr>
        <w:t xml:space="preserve">Мы предпочли бы оставить рисунок как есть. Центральные тенденции на этиз боксплотах представлены медианами (горизонтальные линии в пределах «ящика»). </w:t>
      </w:r>
    </w:p>
    <w:p>
      <w:pPr>
        <w:spacing w:beforeLines="0" w:afterLines="0"/>
        <w:jc w:val="left"/>
        <w:rPr>
          <w:rFonts w:hint="default"/>
          <w:lang w:val="ru-RU"/>
        </w:rPr>
      </w:pPr>
    </w:p>
    <w:p>
      <w:pPr>
        <w:spacing w:beforeLines="0" w:afterLines="0"/>
        <w:jc w:val="left"/>
      </w:pPr>
      <w:r>
        <w:t>- Fig. 4 and 5: Find a way to better highlight the significant trends (p&lt;0.01), for instance using red lines instead of blue lines?</w:t>
      </w:r>
      <w:r>
        <w:br w:type="textWrapping"/>
      </w:r>
    </w:p>
    <w:p>
      <w:pPr>
        <w:spacing w:beforeLines="0" w:afterLines="0"/>
        <w:jc w:val="left"/>
        <w:rPr>
          <w:rFonts w:hint="default"/>
          <w:highlight w:val="red"/>
          <w:lang w:val="ru-RU"/>
        </w:rPr>
      </w:pPr>
      <w:r>
        <w:rPr>
          <w:highlight w:val="red"/>
          <w:lang w:val="ru-RU"/>
        </w:rPr>
        <w:t>Внимание</w:t>
      </w:r>
      <w:r>
        <w:rPr>
          <w:rFonts w:hint="default"/>
          <w:highlight w:val="red"/>
          <w:lang w:val="ru-RU"/>
        </w:rPr>
        <w:t>! Если переделываем, то дайте знать. Это займет некоторое время!</w:t>
      </w:r>
    </w:p>
    <w:p>
      <w:pPr>
        <w:spacing w:beforeLines="0" w:afterLines="0"/>
        <w:jc w:val="left"/>
      </w:pPr>
      <w:r>
        <w:t>Fig. 6: what are the small dots? Indicate it in the figure legend. You could also number them and indicate for each number/dot to what it correspond in the legend.</w:t>
      </w:r>
      <w:r>
        <w:br w:type="textWrapping"/>
      </w:r>
    </w:p>
    <w:p>
      <w:pPr>
        <w:spacing w:beforeLines="0" w:afterLines="0"/>
        <w:jc w:val="left"/>
        <w:rPr>
          <w:rFonts w:hint="default"/>
          <w:highlight w:val="red"/>
          <w:lang w:val="ru-RU"/>
        </w:rPr>
      </w:pPr>
      <w:r>
        <w:rPr>
          <w:highlight w:val="red"/>
          <w:lang w:val="ru-RU"/>
        </w:rPr>
        <w:t>Внимание</w:t>
      </w:r>
      <w:r>
        <w:rPr>
          <w:rFonts w:hint="default"/>
          <w:highlight w:val="red"/>
          <w:lang w:val="ru-RU"/>
        </w:rPr>
        <w:t>! Если переделываем, то дайте знать. Это займет некоторое время!</w:t>
      </w:r>
    </w:p>
    <w:p>
      <w:pPr>
        <w:spacing w:beforeLines="0" w:afterLines="0"/>
        <w:jc w:val="left"/>
      </w:pPr>
      <w:r>
        <w:t xml:space="preserve"> Table 1: I am not sure that Table 1 is </w:t>
      </w:r>
      <w:commentRangeStart w:id="0"/>
      <w:r>
        <w:t>necessary</w:t>
      </w:r>
      <w:commentRangeEnd w:id="0"/>
      <w:r>
        <w:rPr>
          <w:rStyle w:val="6"/>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beforeLines="0" w:afterLines="0"/>
        <w:jc w:val="left"/>
        <w:rPr>
          <w:rFonts w:hint="default"/>
          <w:lang w:val="ru-RU"/>
        </w:rPr>
      </w:pPr>
      <w:r>
        <w:rPr>
          <w:lang w:val="ru-RU"/>
        </w:rPr>
        <w:t>Согласен</w:t>
      </w:r>
      <w:r>
        <w:rPr>
          <w:rFonts w:hint="default"/>
          <w:lang w:val="ru-RU"/>
        </w:rPr>
        <w:t xml:space="preserve">. Надо перенести все ценное в текст. </w:t>
      </w:r>
    </w:p>
    <w:p>
      <w:pPr>
        <w:spacing w:beforeLines="0" w:afterLines="0"/>
        <w:jc w:val="left"/>
        <w:rPr>
          <w:rFonts w:hint="default"/>
          <w:lang w:val="ru-RU"/>
        </w:rPr>
      </w:pPr>
    </w:p>
    <w:p>
      <w:pPr>
        <w:spacing w:after="0"/>
      </w:pPr>
      <w:r>
        <w:t>- Line 469: would it be possible to estimate a p-value here (cf. corresponding comment in the Methods section).</w:t>
      </w:r>
    </w:p>
    <w:p>
      <w:pPr>
        <w:spacing w:after="0"/>
      </w:pPr>
    </w:p>
    <w:p>
      <w:pPr>
        <w:spacing w:after="0"/>
        <w:rPr>
          <w:rFonts w:hint="default"/>
          <w:highlight w:val="green"/>
          <w:lang w:val="ru-RU"/>
        </w:rPr>
      </w:pPr>
      <w:r>
        <w:rPr>
          <w:rFonts w:hint="default"/>
          <w:highlight w:val="green"/>
          <w:lang w:val="ru-RU"/>
        </w:rPr>
        <w:t>См выше.</w:t>
      </w:r>
    </w:p>
    <w:p>
      <w:pPr>
        <w:spacing w:beforeLines="0" w:afterLines="0"/>
        <w:jc w:val="left"/>
        <w:rPr>
          <w:rFonts w:hint="default"/>
          <w:lang w:val="ru-RU"/>
        </w:rPr>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beforeLines="0" w:afterLines="0"/>
        <w:jc w:val="left"/>
        <w:rPr>
          <w:rFonts w:hint="default"/>
          <w:lang w:val="ru-RU"/>
        </w:rPr>
      </w:pPr>
    </w:p>
    <w:p>
      <w:pPr>
        <w:spacing w:after="0"/>
        <w:rPr>
          <w:rFonts w:hint="default"/>
          <w:highlight w:val="green"/>
          <w:lang w:val="ru-RU"/>
        </w:rPr>
      </w:pPr>
      <w:r>
        <w:rPr>
          <w:rFonts w:hint="default"/>
          <w:highlight w:val="green"/>
          <w:lang w:val="ru-RU"/>
        </w:rPr>
        <w:t>См выше.</w:t>
      </w:r>
    </w:p>
    <w:p>
      <w:pPr>
        <w:spacing w:beforeLines="0" w:afterLines="0"/>
        <w:jc w:val="left"/>
        <w:rPr>
          <w:rFonts w:hint="default"/>
          <w:highlight w:val="none"/>
          <w:lang w:val="ru-RU"/>
        </w:rPr>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beforeLines="0" w:afterLines="0"/>
        <w:jc w:val="left"/>
        <w:rPr>
          <w:rFonts w:hint="default"/>
          <w:highlight w:val="none"/>
          <w:lang w:val="ru-RU"/>
        </w:rPr>
      </w:pPr>
    </w:p>
    <w:p>
      <w:pPr>
        <w:spacing w:beforeLines="0" w:afterLines="0"/>
        <w:jc w:val="left"/>
        <w:rPr>
          <w:rFonts w:hint="default"/>
          <w:highlight w:val="none"/>
          <w:lang w:val="ru-RU"/>
        </w:rPr>
      </w:pPr>
      <w:r>
        <w:rPr>
          <w:rFonts w:hint="default"/>
          <w:highlight w:val="none"/>
          <w:lang w:val="ru-RU"/>
        </w:rPr>
        <w:t xml:space="preserve">Мы исключили ряд предикторов из ССА по двум причинам. </w:t>
      </w:r>
    </w:p>
    <w:p>
      <w:pPr>
        <w:numPr>
          <w:ilvl w:val="0"/>
          <w:numId w:val="3"/>
        </w:numPr>
        <w:spacing w:beforeLines="0" w:afterLines="0"/>
        <w:jc w:val="left"/>
        <w:rPr>
          <w:rFonts w:hint="default"/>
          <w:highlight w:val="none"/>
          <w:lang w:val="ru-RU"/>
        </w:rPr>
      </w:pPr>
      <w:r>
        <w:rPr>
          <w:rFonts w:hint="default"/>
          <w:highlight w:val="none"/>
          <w:lang w:val="ru-RU"/>
        </w:rPr>
        <w:t xml:space="preserve">Из-за коллинеарности (взаимосвязи) предикторов, воздействие некоторых из них может маскировать воздействие других. Поэтому базовое ограничение любой формы регрессионного анализа, и </w:t>
      </w:r>
      <w:r>
        <w:rPr>
          <w:rFonts w:hint="default"/>
          <w:highlight w:val="none"/>
          <w:lang w:val="en-US"/>
        </w:rPr>
        <w:t>CCA</w:t>
      </w:r>
      <w:r>
        <w:rPr>
          <w:rFonts w:hint="default"/>
          <w:highlight w:val="none"/>
          <w:lang w:val="ru-RU"/>
        </w:rPr>
        <w:t xml:space="preserve"> в том числе, предполагает исключение из анализа взаимосвязанных предикторов. Оценка степени их взаимосвязи производится с помощью </w:t>
      </w:r>
      <w:r>
        <w:rPr>
          <w:rFonts w:hint="default"/>
          <w:highlight w:val="none"/>
          <w:lang w:val="en-US"/>
        </w:rPr>
        <w:t>variance inflation factor (</w:t>
      </w:r>
      <w:r>
        <w:rPr>
          <w:rFonts w:hint="default"/>
          <w:highlight w:val="none"/>
          <w:lang w:val="ru-RU"/>
        </w:rPr>
        <w:t>см. Выше). Поэтому изобразить связь с теми предикторами, которые не вошли в анализ, на рисунке с биплотом нельзя.</w:t>
      </w:r>
    </w:p>
    <w:p>
      <w:pPr>
        <w:numPr>
          <w:ilvl w:val="0"/>
          <w:numId w:val="3"/>
        </w:numPr>
        <w:spacing w:beforeLines="0" w:afterLines="0"/>
        <w:jc w:val="left"/>
        <w:rPr>
          <w:rFonts w:hint="default"/>
          <w:highlight w:val="none"/>
          <w:lang w:val="ru-RU"/>
        </w:rPr>
      </w:pPr>
      <w:r>
        <w:rPr>
          <w:rFonts w:hint="default"/>
          <w:highlight w:val="none"/>
          <w:lang w:val="ru-RU"/>
        </w:rPr>
        <w:t xml:space="preserve">Мы использовали алгоритм подбора оптимальной модели, которую и иллюстрирует </w:t>
      </w:r>
      <w:r>
        <w:rPr>
          <w:rFonts w:hint="default"/>
          <w:highlight w:val="none"/>
          <w:lang w:val="en-US"/>
        </w:rPr>
        <w:t xml:space="preserve">Fig.6. </w:t>
      </w:r>
      <w:r>
        <w:rPr>
          <w:rFonts w:hint="default"/>
          <w:highlight w:val="none"/>
          <w:lang w:val="ru-RU"/>
        </w:rPr>
        <w:t xml:space="preserve">Здесь приведены лишь те предикторы, которые остались в финальной модели. Отобразить связь с другими предикторами можно только, введя дополнительный рисунок, иллюстрирующий результаты полной модели. Этот рисунок был бы избыточным. </w:t>
      </w:r>
      <w:bookmarkStart w:id="0" w:name="_GoBack"/>
      <w:bookmarkEnd w:id="0"/>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72AE2CD6">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AE2C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46E22"/>
    <w:multiLevelType w:val="singleLevel"/>
    <w:tmpl w:val="D6046E22"/>
    <w:lvl w:ilvl="0" w:tentative="0">
      <w:start w:val="1"/>
      <w:numFmt w:val="decimal"/>
      <w:suff w:val="space"/>
      <w:lvlText w:val="%1."/>
      <w:lvlJc w:val="left"/>
    </w:lvl>
  </w:abstractNum>
  <w:abstractNum w:abstractNumId="1">
    <w:nsid w:val="32112C37"/>
    <w:multiLevelType w:val="singleLevel"/>
    <w:tmpl w:val="32112C37"/>
    <w:lvl w:ilvl="0" w:tentative="0">
      <w:start w:val="1"/>
      <w:numFmt w:val="decimal"/>
      <w:suff w:val="space"/>
      <w:lvlText w:val="%1."/>
      <w:lvlJc w:val="left"/>
    </w:lvl>
  </w:abstractNum>
  <w:abstractNum w:abstractNumId="2">
    <w:nsid w:val="54265217"/>
    <w:multiLevelType w:val="singleLevel"/>
    <w:tmpl w:val="54265217"/>
    <w:lvl w:ilvl="0" w:tentative="0">
      <w:start w:val="1"/>
      <w:numFmt w:val="decimal"/>
      <w:suff w:val="space"/>
      <w:lvlText w:val="%1."/>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D8659C"/>
    <w:rsid w:val="09850318"/>
    <w:rsid w:val="11A0202C"/>
    <w:rsid w:val="29870BBA"/>
    <w:rsid w:val="33D031AC"/>
    <w:rsid w:val="3D2E204C"/>
    <w:rsid w:val="46DE762C"/>
    <w:rsid w:val="4A6F351F"/>
    <w:rsid w:val="57610B92"/>
    <w:rsid w:val="599C54FD"/>
    <w:rsid w:val="5B726521"/>
    <w:rsid w:val="60B54A6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8"/>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annotation text"/>
    <w:basedOn w:val="1"/>
    <w:semiHidden/>
    <w:unhideWhenUsed/>
    <w:qFormat/>
    <w:uiPriority w:val="99"/>
    <w:pPr>
      <w:spacing w:line="240" w:lineRule="auto"/>
    </w:pPr>
    <w:rPr>
      <w:sz w:val="20"/>
      <w:szCs w:val="20"/>
    </w:rPr>
  </w:style>
  <w:style w:type="character" w:customStyle="1" w:styleId="8">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2021-01-16T07:16:00Z</dcterms:created>
  <dc:creator>Vadim Khaitov</dc:creator>
  <cp:lastModifiedBy>Vadim Khaitov</cp:lastModifiedBy>
  <dcterms:modified xsi:type="dcterms:W3CDTF">2021-01-18T09:55:18Z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