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r>
        <w:rPr>
          <w:b/>
          <w:sz w:val="24"/>
        </w:rPr>
        <w:t>Materials and methods</w:t>
      </w:r>
    </w:p>
    <w:p>
      <w:pPr>
        <w:spacing w:after="0"/>
      </w:pPr>
    </w:p>
    <w:p>
      <w:pPr>
        <w:spacing w:after="0"/>
      </w:pPr>
      <w:r>
        <w:t>&lt;</w:t>
      </w:r>
      <w:r>
        <w:rPr>
          <w:u w:val="single"/>
        </w:rPr>
        <w:t>Reviewer 1</w:t>
      </w:r>
      <w:r>
        <w:t>&gt;</w:t>
      </w:r>
    </w:p>
    <w:p>
      <w:pPr>
        <w:spacing w:after="0"/>
      </w:pPr>
      <w:r>
        <w:t xml:space="preserve">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w:t>
      </w:r>
    </w:p>
    <w:p>
      <w:pPr>
        <w:spacing w:after="0"/>
      </w:pPr>
    </w:p>
    <w:p>
      <w:pPr>
        <w:spacing w:after="0"/>
        <w:rPr>
          <w:rFonts w:hint="default"/>
          <w:lang w:val="ru-RU"/>
        </w:rPr>
      </w:pPr>
    </w:p>
    <w:p>
      <w:pPr>
        <w:spacing w:after="0"/>
        <w:rPr>
          <w:rFonts w:hint="default"/>
          <w:lang w:val="en-US"/>
        </w:rPr>
      </w:pPr>
    </w:p>
    <w:p>
      <w:pPr>
        <w:spacing w:after="0"/>
        <w:rPr>
          <w:rFonts w:hint="default"/>
          <w:lang w:val="ru-RU"/>
        </w:rPr>
      </w:pPr>
      <w:r>
        <w:drawing>
          <wp:inline distT="0" distB="0" distL="114300" distR="114300">
            <wp:extent cx="5934710" cy="3668395"/>
            <wp:effectExtent l="0" t="0" r="889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934710" cy="3668395"/>
                    </a:xfrm>
                    <a:prstGeom prst="rect">
                      <a:avLst/>
                    </a:prstGeom>
                    <a:noFill/>
                    <a:ln>
                      <a:noFill/>
                    </a:ln>
                  </pic:spPr>
                </pic:pic>
              </a:graphicData>
            </a:graphic>
          </wp:inline>
        </w:drawing>
      </w:r>
    </w:p>
    <w:p>
      <w:pPr>
        <w:spacing w:after="0"/>
      </w:pPr>
    </w:p>
    <w:p>
      <w:pPr>
        <w:spacing w:after="0"/>
      </w:pPr>
    </w:p>
    <w:p>
      <w:pPr>
        <w:spacing w:after="0"/>
        <w:rPr>
          <w:rFonts w:hint="default"/>
          <w:highlight w:val="green"/>
          <w:lang w:val="ru-RU"/>
        </w:rPr>
      </w:pPr>
      <w:r>
        <w:rPr>
          <w:highlight w:val="green"/>
          <w:lang w:val="ru-RU"/>
        </w:rPr>
        <w:t>Для</w:t>
      </w:r>
      <w:r>
        <w:rPr>
          <w:rFonts w:hint="default"/>
          <w:highlight w:val="green"/>
          <w:lang w:val="ru-RU"/>
        </w:rPr>
        <w:t xml:space="preserve"> ответа на первую часть замечания мы, действительно, можем дать вот такой график (часть А). Здесь будут показаны </w:t>
      </w:r>
      <w:r>
        <w:rPr>
          <w:rFonts w:hint="default"/>
          <w:highlight w:val="green"/>
          <w:lang w:val="en-US"/>
        </w:rPr>
        <w:t xml:space="preserve">“Begin”, “Middle” </w:t>
      </w:r>
      <w:r>
        <w:rPr>
          <w:rFonts w:hint="default"/>
          <w:highlight w:val="green"/>
          <w:lang w:val="ru-RU"/>
        </w:rPr>
        <w:t xml:space="preserve"> и </w:t>
      </w:r>
      <w:r>
        <w:rPr>
          <w:rFonts w:hint="default"/>
          <w:highlight w:val="green"/>
          <w:lang w:val="en-US"/>
        </w:rPr>
        <w:t xml:space="preserve">“End”, </w:t>
      </w:r>
      <w:r>
        <w:rPr>
          <w:rFonts w:hint="default"/>
          <w:highlight w:val="green"/>
          <w:lang w:val="ru-RU"/>
        </w:rPr>
        <w:t>реконструированные из аппроксимации кумуляты логистической кривой. На этом рисунке приведены три примера логистических кривых, аппроксимирующих кумуляты при максимальном отклонении наблюдаемых значений от предсказанных (</w:t>
      </w:r>
      <w:r>
        <w:rPr>
          <w:rFonts w:hint="default"/>
          <w:highlight w:val="green"/>
          <w:lang w:val="en-US"/>
        </w:rPr>
        <w:t xml:space="preserve">max RSE), </w:t>
      </w:r>
      <w:r>
        <w:rPr>
          <w:rFonts w:hint="default"/>
          <w:highlight w:val="green"/>
          <w:lang w:val="ru-RU"/>
        </w:rPr>
        <w:t xml:space="preserve">для среднего уровня </w:t>
      </w:r>
      <w:r>
        <w:rPr>
          <w:rFonts w:hint="default"/>
          <w:highlight w:val="green"/>
          <w:lang w:val="en-US"/>
        </w:rPr>
        <w:t>RSE</w:t>
      </w:r>
      <w:r>
        <w:rPr>
          <w:rFonts w:hint="default"/>
          <w:highlight w:val="green"/>
          <w:lang w:val="ru-RU"/>
        </w:rPr>
        <w:t xml:space="preserve">, и для минимального уровня </w:t>
      </w:r>
      <w:r>
        <w:rPr>
          <w:rFonts w:hint="default"/>
          <w:highlight w:val="green"/>
          <w:lang w:val="en-US"/>
        </w:rPr>
        <w:t xml:space="preserve">RSE. </w:t>
      </w:r>
      <w:r>
        <w:rPr>
          <w:rFonts w:hint="default"/>
          <w:highlight w:val="green"/>
          <w:lang w:val="ru-RU"/>
        </w:rPr>
        <w:t xml:space="preserve">Верхняя картинка - это когда кумулята наименее всего похожа на логистическую кривую, нижняя - это когда кумулята максимально похожа на логистическую кривую. </w:t>
      </w:r>
    </w:p>
    <w:p>
      <w:pPr>
        <w:spacing w:after="0"/>
      </w:pPr>
    </w:p>
    <w:p>
      <w:pPr>
        <w:spacing w:after="0"/>
      </w:pPr>
    </w:p>
    <w:p>
      <w:pPr>
        <w:spacing w:after="0"/>
      </w:pPr>
      <w:r>
        <w:t xml:space="preserve">I would appreciate more information about how was assessed the quality of the logistic models. </w:t>
      </w:r>
    </w:p>
    <w:p>
      <w:pPr>
        <w:spacing w:after="0"/>
        <w:rPr>
          <w:lang w:val="ru-RU"/>
        </w:rPr>
      </w:pPr>
    </w:p>
    <w:p>
      <w:pPr>
        <w:spacing w:after="0"/>
        <w:rPr>
          <w:rFonts w:hint="default"/>
          <w:lang w:val="ru-RU"/>
        </w:rPr>
      </w:pPr>
      <w:r>
        <w:rPr>
          <w:highlight w:val="green"/>
          <w:lang w:val="ru-RU"/>
        </w:rPr>
        <w:t>На</w:t>
      </w:r>
      <w:r>
        <w:rPr>
          <w:rFonts w:hint="default"/>
          <w:highlight w:val="green"/>
          <w:lang w:val="ru-RU"/>
        </w:rPr>
        <w:t xml:space="preserve"> эту часть замечания ответить сложнее. Обычные методы оценки качества модели (типа</w:t>
      </w:r>
      <w:r>
        <w:rPr>
          <w:rFonts w:hint="default"/>
          <w:highlight w:val="green"/>
          <w:lang w:val="en-US"/>
        </w:rPr>
        <w:t xml:space="preserve"> </w:t>
      </w:r>
      <w:r>
        <w:rPr>
          <w:rFonts w:hint="default"/>
          <w:highlight w:val="green"/>
          <w:lang w:val="ru-RU"/>
        </w:rPr>
        <w:t xml:space="preserve">коэффициента  детерминации, </w:t>
      </w:r>
      <w:r>
        <w:rPr>
          <w:rFonts w:hint="default"/>
          <w:highlight w:val="green"/>
          <w:lang w:val="en-US"/>
        </w:rPr>
        <w:t>R2</w:t>
      </w:r>
      <w:r>
        <w:rPr>
          <w:rFonts w:hint="default"/>
          <w:highlight w:val="green"/>
          <w:lang w:val="ru-RU"/>
        </w:rPr>
        <w:t xml:space="preserve">) в случае с нелинейными моделями не работают (+++). Поэтому  </w:t>
      </w:r>
      <w:r>
        <w:rPr>
          <w:highlight w:val="green"/>
        </w:rPr>
        <w:t>the quality of the logistic models</w:t>
      </w:r>
      <w:r>
        <w:rPr>
          <w:rFonts w:hint="default"/>
          <w:highlight w:val="green"/>
          <w:lang w:val="ru-RU"/>
        </w:rPr>
        <w:t xml:space="preserve"> оценивали косвенными методами. (1 способ) Визуальная инспекция соответствия кумуляты и логистической кривой. Собственно это и приведено на рисунке А.</w:t>
      </w:r>
      <w:r>
        <w:rPr>
          <w:rFonts w:hint="default"/>
          <w:highlight w:val="green"/>
          <w:lang w:val="en-US"/>
        </w:rPr>
        <w:t xml:space="preserve"> </w:t>
      </w:r>
      <w:r>
        <w:rPr>
          <w:rFonts w:hint="default"/>
          <w:highlight w:val="green"/>
          <w:lang w:val="ru-RU"/>
        </w:rPr>
        <w:t>В тех редких случаях, когда логистическая кривая предсказывала нереалистичные значения +++++</w:t>
      </w:r>
      <w:bookmarkStart w:id="0" w:name="_GoBack"/>
      <w:bookmarkEnd w:id="0"/>
      <w:r>
        <w:rPr>
          <w:rFonts w:hint="default"/>
          <w:highlight w:val="green"/>
          <w:lang w:val="ru-RU"/>
        </w:rPr>
        <w:t xml:space="preserve">  (2 способ) У нас есть референс, который можно напрямую прочитать из данных - это дата пика (дата, когда наблюдалось максимальное значение обилия). Если модель хорошая, то дата точки перегиба в логистической кривой должна быть  близка дате пика. Мы оценили распределение разниц между этими величинами (часть В, на рисунке). Видно, что медианы этих распределений очень близки к нулю. Это свидетельствует о том, что величина, формально не использованная для  построения модели, хорошо предсказывается логистической моделью. </w:t>
      </w:r>
      <w:r>
        <w:rPr>
          <w:rFonts w:hint="default"/>
          <w:lang w:val="ru-RU"/>
        </w:rPr>
        <w:t xml:space="preserve">  </w:t>
      </w:r>
    </w:p>
    <w:p>
      <w:pPr>
        <w:spacing w:after="0"/>
      </w:pPr>
    </w:p>
    <w:p>
      <w:pPr>
        <w:spacing w:after="0"/>
      </w:pP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after="0"/>
      </w:pPr>
    </w:p>
    <w:p>
      <w:pPr>
        <w:spacing w:after="0"/>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r>
        <w:br w:type="textWrapping"/>
      </w:r>
      <w:r>
        <w:br w:type="textWrapping"/>
      </w:r>
      <w:r>
        <w:t>Line 322: "Factors, influencing phenology". I would suggest to present how the CCA works and the different steps of this analysis before explanations about the 'phenological' and 'predictor' matrices.</w:t>
      </w:r>
      <w:r>
        <w:br w:type="textWrapping"/>
      </w: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pPr>
      <w: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spacing w:after="0"/>
      </w:pPr>
    </w:p>
    <w:p>
      <w:pPr>
        <w:spacing w:after="0"/>
      </w:pPr>
      <w:r>
        <w:t>- Line 344: which version of the vegan package did you use?</w:t>
      </w:r>
    </w:p>
    <w:p>
      <w:pPr>
        <w:spacing w:after="0"/>
      </w:pPr>
    </w:p>
    <w:p>
      <w:pPr>
        <w:spacing w:after="0"/>
      </w:pPr>
      <w:r>
        <w:t>- Line 367: "We did not evaluate statistical significance of the Royama's correlation coefficients": why?</w:t>
      </w:r>
    </w:p>
    <w:p>
      <w:pPr>
        <w:spacing w:after="0"/>
      </w:pPr>
      <w:r>
        <w:t>Cited references:</w:t>
      </w:r>
      <w:r>
        <w:br w:type="textWrapping"/>
      </w:r>
      <w:r>
        <w:t>Cleveland, R.B., Cleveland, W.S., McRae, J.E. and Terpenning, I., 1990. STL: A seasonal-trend decomposition. Journal of official statistics, 6(1), pp.3-73.</w:t>
      </w:r>
      <w:r>
        <w:br w:type="textWrapping"/>
      </w:r>
      <w:r>
        <w:t xml:space="preserve">Hafen, R. (2016) stlplus: Enhanced Seasonal Decomposition of Time Series by Loess. R package version 0.1.5. </w:t>
      </w:r>
      <w:r>
        <w:fldChar w:fldCharType="begin"/>
      </w:r>
      <w:r>
        <w:instrText xml:space="preserve"> HYPERLINK "https://CRAN.R-project.org/package=stlplus" \t "_blank" </w:instrText>
      </w:r>
      <w:r>
        <w:fldChar w:fldCharType="separate"/>
      </w:r>
      <w:r>
        <w:rPr>
          <w:rStyle w:val="5"/>
        </w:rPr>
        <w:t>https://CRAN.R-project.org/package=stlplus</w:t>
      </w:r>
      <w:r>
        <w:rPr>
          <w:rStyle w:val="5"/>
        </w:rPr>
        <w:fldChar w:fldCharType="end"/>
      </w:r>
      <w:r>
        <w:t>.</w:t>
      </w:r>
      <w:r>
        <w:br w:type="textWrapping"/>
      </w:r>
      <w:r>
        <w:t xml:space="preserve">Pinheiro, J., Bates, D., DebRoy, S., Sarkar, D. &amp; R Core Team (2018) nlme: Linear and Nonlinear Mixed Effects Models. R package version 3.1-131.1. </w:t>
      </w:r>
      <w:r>
        <w:fldChar w:fldCharType="begin"/>
      </w:r>
      <w:r>
        <w:instrText xml:space="preserve"> HYPERLINK "https://CRAN.R-" \t "_blank" </w:instrText>
      </w:r>
      <w:r>
        <w:fldChar w:fldCharType="separate"/>
      </w:r>
      <w:r>
        <w:rPr>
          <w:rStyle w:val="5"/>
        </w:rPr>
        <w:t>https://CRAN.R-</w:t>
      </w:r>
      <w:r>
        <w:rPr>
          <w:rStyle w:val="5"/>
        </w:rPr>
        <w:fldChar w:fldCharType="end"/>
      </w:r>
      <w:r>
        <w:t xml:space="preserve"> </w:t>
      </w:r>
      <w:r>
        <w:fldChar w:fldCharType="begin"/>
      </w:r>
      <w:r>
        <w:instrText xml:space="preserve"> HYPERLINK "http://project.org/package=nlme" \t "_blank" </w:instrText>
      </w:r>
      <w:r>
        <w:fldChar w:fldCharType="separate"/>
      </w:r>
      <w:r>
        <w:rPr>
          <w:rStyle w:val="5"/>
        </w:rPr>
        <w:t>project.org/package=nlme</w:t>
      </w:r>
      <w:r>
        <w:rPr>
          <w:rStyle w:val="5"/>
        </w:rPr>
        <w:fldChar w:fldCharType="end"/>
      </w:r>
      <w:r>
        <w:t>.</w:t>
      </w: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r>
        <w:rPr>
          <w:u w:val="single"/>
        </w:rPr>
        <w:t>Because of the pre-treatment procedure applied to fill missing values, could these values be biased?</w:t>
      </w:r>
      <w:r>
        <w:t xml:space="preserve"> </w:t>
      </w: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pPr>
    </w:p>
    <w:p>
      <w:pPr>
        <w:spacing w:after="0"/>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r>
        <w:br w:type="textWrapping"/>
      </w:r>
      <w:r>
        <w:t>Line 426: "[…] since they displayed high variance inflation factor". Please, clarify how this was assessed.</w:t>
      </w:r>
    </w:p>
    <w:p>
      <w:pPr>
        <w:spacing w:after="0"/>
      </w:pPr>
    </w:p>
    <w:p>
      <w:pPr>
        <w:spacing w:after="0"/>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r>
        <w:br w:type="textWrapping"/>
      </w:r>
      <w:r>
        <w:br w:type="textWrapping"/>
      </w:r>
      <w: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after="0"/>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after="0"/>
      </w:pPr>
      <w:r>
        <w:t>- Fig. 4 and 5: Find a way to better highlight the significant trends (p&lt;0.01), for instance using red lines instead of blue lines?</w:t>
      </w:r>
      <w:r>
        <w:br w:type="textWrapping"/>
      </w:r>
    </w:p>
    <w:p>
      <w:pPr>
        <w:spacing w:after="0"/>
      </w:pPr>
      <w:r>
        <w:t>- Fig. 6: what are the small dots? Indicate it in the figure legend. You could also number them and indicate for each number/dot to what it correspond in the legend.</w:t>
      </w:r>
      <w:r>
        <w:br w:type="textWrapping"/>
      </w:r>
      <w:r>
        <w:br w:type="textWrapping"/>
      </w:r>
      <w:r>
        <w:t xml:space="preserve">- Table 1: I am not sure that Table 1 is </w:t>
      </w:r>
      <w:commentRangeStart w:id="0"/>
      <w:r>
        <w:t>necessary</w:t>
      </w:r>
      <w:commentRangeEnd w:id="0"/>
      <w:r>
        <w:rPr>
          <w:rStyle w:val="4"/>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after="0"/>
      </w:pPr>
      <w:r>
        <w:t>- Line 469: would it be possible to estimate a p-value here (cf. corresponding comment in the Methods section).</w:t>
      </w:r>
    </w:p>
    <w:p>
      <w:pPr>
        <w:spacing w:after="0"/>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after="0"/>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after="0"/>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0CD47EFF">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D47E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4F"/>
    <w:rsid w:val="000321A4"/>
    <w:rsid w:val="001551F8"/>
    <w:rsid w:val="0028104F"/>
    <w:rsid w:val="00337C5A"/>
    <w:rsid w:val="00561371"/>
    <w:rsid w:val="007E5305"/>
    <w:rsid w:val="00932234"/>
    <w:rsid w:val="00986A09"/>
    <w:rsid w:val="009C2AA5"/>
    <w:rsid w:val="00A24B63"/>
    <w:rsid w:val="00C06422"/>
    <w:rsid w:val="00D93A34"/>
    <w:rsid w:val="00DE0F5F"/>
    <w:rsid w:val="151461EC"/>
    <w:rsid w:val="3A7D2E97"/>
    <w:rsid w:val="453D2F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semiHidden/>
    <w:unhideWhenUsed/>
    <w:qFormat/>
    <w:uiPriority w:val="99"/>
    <w:rPr>
      <w:color w:val="0000FF"/>
      <w:u w:val="single"/>
    </w:rPr>
  </w:style>
  <w:style w:type="paragraph" w:styleId="6">
    <w:name w:val="Balloon Text"/>
    <w:basedOn w:val="1"/>
    <w:link w:val="9"/>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8"/>
    <w:semiHidden/>
    <w:unhideWhenUsed/>
    <w:qFormat/>
    <w:uiPriority w:val="99"/>
    <w:pPr>
      <w:spacing w:line="240" w:lineRule="auto"/>
    </w:pPr>
    <w:rPr>
      <w:sz w:val="20"/>
      <w:szCs w:val="20"/>
    </w:rPr>
  </w:style>
  <w:style w:type="character" w:customStyle="1" w:styleId="8">
    <w:name w:val="Текст примечания Знак"/>
    <w:basedOn w:val="2"/>
    <w:link w:val="7"/>
    <w:semiHidden/>
    <w:qFormat/>
    <w:uiPriority w:val="99"/>
    <w:rPr>
      <w:sz w:val="20"/>
      <w:szCs w:val="20"/>
      <w:lang w:val="en-GB"/>
    </w:rPr>
  </w:style>
  <w:style w:type="character" w:customStyle="1" w:styleId="9">
    <w:name w:val="Текст выноски Знак"/>
    <w:basedOn w:val="2"/>
    <w:link w:val="6"/>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6518</Characters>
  <Lines>54</Lines>
  <Paragraphs>15</Paragraphs>
  <TotalTime>227</TotalTime>
  <ScaleCrop>false</ScaleCrop>
  <LinksUpToDate>false</LinksUpToDate>
  <CharactersWithSpaces>7646</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2020-12-25T06:12:00Z</dcterms:created>
  <dc:creator>Usov Nikolay</dc:creator>
  <cp:lastModifiedBy>Vadim Khaitov</cp:lastModifiedBy>
  <dcterms:modified xsi:type="dcterms:W3CDTF">2021-01-09T06:25:56Z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