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4057D6">
      <w:pPr>
        <w:rPr>
          <w:lang w:val="ru-RU"/>
        </w:rPr>
      </w:pPr>
    </w:p>
    <w:p w14:paraId="6EC36D2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14:textFill>
            <w14:solidFill>
              <w14:schemeClr w14:val="accent6"/>
            </w14:solidFill>
          </w14:textFill>
        </w:rPr>
      </w:pPr>
      <w:r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14:textFill>
            <w14:solidFill>
              <w14:schemeClr w14:val="accent6"/>
            </w14:solidFill>
          </w14:textFill>
        </w:rPr>
        <w:t xml:space="preserve">.1. Дополнены данные по географии DN и MtrBTN в морях России. На солидном материале (не менее 500 мидий) решен вопрос о зараженности раком мидий в Белом море и Татарском проливе. Проведен теоретический анализ собственных и литературных данных по географии DN и MtrBTN, в том числе, по методологии, разработанной для моделирования экологических ниш «обычных» организмов. </w:t>
      </w:r>
    </w:p>
    <w:p w14:paraId="739E1F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shd w:val="clear" w:color="auto" w:fill="FFFFFF"/>
          <w14:textFill>
            <w14:solidFill>
              <w14:schemeClr w14:val="accent1"/>
            </w14:solidFill>
          </w14:textFill>
        </w:rPr>
        <w:t>1.1. Изучено распространение двух линий трансмиссивного рака мидий (MtrBTN1, MtrBTN2) в морях России, на этих и литературных данных по другим морям выявлены макрогеографические паттерны в их распространении и специфичность к видам-хозяевам. Анализ географических данных в том числе проведен по методологии, разработанной для моделирования экологических ниш «обычных» организмов (Species distribution modelling, SDM).</w:t>
      </w:r>
    </w:p>
    <w:p w14:paraId="0BD61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EA478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default" w:ascii="Times New Roman" w:hAnsi="Times New Roman" w:cs="Times New Roman"/>
          <w:b/>
          <w:sz w:val="24"/>
          <w:szCs w:val="24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А) Иллюстрация на страницу: четыре единообразно оформленные карты распределения 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DN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BTN</w:t>
      </w: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мидий в океане по чужим данным (1), в океане по нашим данным (2), в Тауйской губе (3) и в Кольском заливе по данным до 2022 (3) и после 2022 (4). (Хайтов)</w:t>
      </w:r>
    </w:p>
    <w:p w14:paraId="540167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</w:p>
    <w:p w14:paraId="2392C7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Б) На страницу иллюстрации с результатами моделирования макрогеографии + Текст (Хайтов)</w:t>
      </w:r>
    </w:p>
    <w:p w14:paraId="70DCDBE8">
      <w:pPr>
        <w:rPr>
          <w:lang w:val="ru-RU"/>
        </w:rPr>
      </w:pPr>
    </w:p>
    <w:p w14:paraId="2AEC6467">
      <w:pPr>
        <w:rPr>
          <w:lang w:val="ru-RU"/>
        </w:rPr>
      </w:pPr>
      <w:r>
        <w:rPr>
          <w:lang w:val="ru-RU"/>
        </w:rPr>
        <w:br w:type="page"/>
      </w:r>
    </w:p>
    <w:p w14:paraId="72CAD32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5370830"/>
            <wp:effectExtent l="0" t="0" r="2540" b="8890"/>
            <wp:docPr id="2" name="Изображение 2" descr="BTN_S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BTN_SD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7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F0B6">
      <w:pPr>
        <w:rPr>
          <w:lang w:val="ru-RU"/>
        </w:rPr>
      </w:pPr>
    </w:p>
    <w:p w14:paraId="75D527E1">
      <w:pPr>
        <w:rPr>
          <w:lang w:val="ru-RU"/>
        </w:rPr>
      </w:pPr>
    </w:p>
    <w:p w14:paraId="7E557C03">
      <w:pPr>
        <w:rPr>
          <w:rFonts w:hint="default"/>
          <w:lang w:val="ru-RU"/>
        </w:rPr>
      </w:pPr>
      <w:r>
        <w:rPr>
          <w:rFonts w:hint="default"/>
          <w:lang w:val="ru-RU"/>
        </w:rPr>
        <w:t>Рисунок ++. Моделирование макрогеографического распределения двух линий трансмиссивного рака на Дальнем востоке</w:t>
      </w:r>
      <w:r>
        <w:rPr>
          <w:rFonts w:hint="default"/>
          <w:lang w:val="en-US"/>
        </w:rPr>
        <w:t>.</w:t>
      </w:r>
      <w:r>
        <w:rPr>
          <w:rFonts w:hint="default"/>
          <w:lang w:val="ru-RU"/>
        </w:rPr>
        <w:t xml:space="preserve"> А. Важность средовых предикторов, согласно построенной модели. Б. Предсказанная моделью вероятность встречи </w:t>
      </w:r>
      <w:r>
        <w:rPr>
          <w:rFonts w:hint="default"/>
          <w:lang w:val="en-US"/>
        </w:rPr>
        <w:t>BTN1 (</w:t>
      </w:r>
      <w:r>
        <w:rPr>
          <w:rFonts w:hint="default"/>
          <w:lang w:val="ru-RU"/>
        </w:rPr>
        <w:t xml:space="preserve">красная линия) и </w:t>
      </w:r>
      <w:r>
        <w:rPr>
          <w:rFonts w:hint="default"/>
          <w:lang w:val="en-US"/>
        </w:rPr>
        <w:t>BTN2</w:t>
      </w:r>
      <w:r>
        <w:rPr>
          <w:rFonts w:hint="default"/>
          <w:lang w:val="ru-RU"/>
        </w:rPr>
        <w:t xml:space="preserve"> (синяя линия) при разных значениях температуры. В. Предсказанная моделью вероятность встречи </w:t>
      </w:r>
      <w:r>
        <w:rPr>
          <w:rFonts w:hint="default"/>
          <w:lang w:val="en-US"/>
        </w:rPr>
        <w:t>BTN1</w:t>
      </w:r>
      <w:r>
        <w:rPr>
          <w:rFonts w:hint="default"/>
          <w:lang w:val="ru-RU"/>
        </w:rPr>
        <w:t xml:space="preserve"> и и </w:t>
      </w:r>
      <w:r>
        <w:rPr>
          <w:rFonts w:hint="default"/>
          <w:lang w:val="en-US"/>
        </w:rPr>
        <w:t>BTN2</w:t>
      </w:r>
      <w:r>
        <w:rPr>
          <w:rFonts w:hint="default"/>
          <w:lang w:val="ru-RU"/>
        </w:rPr>
        <w:t xml:space="preserve"> при разных значениях солености. Г, Д. Предсказанная моделью вероятность встречи </w:t>
      </w:r>
      <w:r>
        <w:rPr>
          <w:rFonts w:hint="default"/>
          <w:lang w:val="en-US"/>
        </w:rPr>
        <w:t xml:space="preserve">BTN1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BTN2 </w:t>
      </w:r>
      <w:r>
        <w:rPr>
          <w:rFonts w:hint="default"/>
          <w:lang w:val="ru-RU"/>
        </w:rPr>
        <w:t>для разных участков побережья. На панелях Г-Д белыми точками показаны участки, где рак не был обнаружен. Окружности указывают на участки, где рак был отмечен.</w:t>
      </w:r>
    </w:p>
    <w:p w14:paraId="27AD0F2F">
      <w:pPr>
        <w:rPr>
          <w:lang w:val="ru-RU"/>
        </w:rPr>
      </w:pPr>
    </w:p>
    <w:p w14:paraId="5EBBD137">
      <w:pPr>
        <w:rPr>
          <w:lang w:val="ru-RU"/>
        </w:rPr>
      </w:pPr>
    </w:p>
    <w:p w14:paraId="7941C88D">
      <w:pPr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анализа макрогеографического распределения двух линий трансмиссивного рака (</w:t>
      </w:r>
      <w:r>
        <w:rPr>
          <w:rFonts w:hint="default"/>
          <w:lang w:val="en-US"/>
        </w:rPr>
        <w:t xml:space="preserve">BTN1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BTN2)</w:t>
      </w:r>
      <w:r>
        <w:rPr>
          <w:rFonts w:hint="default"/>
          <w:lang w:val="ru-RU"/>
        </w:rPr>
        <w:t xml:space="preserve"> была применена методология моделирования распределения видов (Species distribution modelling, SDM). Модель была подобрана на основе данных, собранных на побережье Дальнего востока. </w:t>
      </w:r>
      <w:bookmarkStart w:id="0" w:name="_GoBack"/>
      <w:bookmarkEnd w:id="0"/>
      <w:r>
        <w:rPr>
          <w:rFonts w:hint="default"/>
          <w:lang w:val="ru-RU"/>
        </w:rPr>
        <w:t xml:space="preserve"> Для построения модели был сформирован обучающий набор данных,  в который вошли все выборки из публикации </w:t>
      </w:r>
      <w:r>
        <w:rPr>
          <w:rFonts w:hint="default"/>
          <w:lang w:val="en-US"/>
        </w:rPr>
        <w:t xml:space="preserve">Hammel et al., +++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Hammel et al., +++</w:t>
      </w:r>
      <w:r>
        <w:rPr>
          <w:rFonts w:hint="default"/>
          <w:lang w:val="ru-RU"/>
        </w:rPr>
        <w:t xml:space="preserve">, а также наши собственные данные, мобранные на побережье Японского и Охотского моря (рис. ++ А). В качестве средовых предикторов для построения </w:t>
      </w:r>
      <w:r>
        <w:rPr>
          <w:rFonts w:hint="default"/>
          <w:lang w:val="en-US"/>
        </w:rPr>
        <w:t>SDM</w:t>
      </w:r>
      <w:r>
        <w:rPr>
          <w:rFonts w:hint="default"/>
          <w:lang w:val="ru-RU"/>
        </w:rPr>
        <w:t xml:space="preserve"> были использованы минимально коллинеарные показатели: концентрация хлорофилла, скорость течения, концентрация нитратов, соленость и температура. Все предикторы оценивались для поверхности морских вод. Для определения значений предикторов в точках, где оценивали наличие </w:t>
      </w:r>
      <w:r>
        <w:rPr>
          <w:rFonts w:hint="default"/>
          <w:lang w:val="en-US"/>
        </w:rPr>
        <w:t>BTN</w:t>
      </w:r>
      <w:r>
        <w:rPr>
          <w:rFonts w:hint="default"/>
          <w:lang w:val="ru-RU"/>
        </w:rPr>
        <w:t xml:space="preserve">, была использована база данных </w:t>
      </w:r>
      <w:r>
        <w:rPr>
          <w:rFonts w:hint="default"/>
          <w:lang w:val="en-US"/>
        </w:rPr>
        <w:t>GBIF (+++).</w:t>
      </w:r>
      <w:r>
        <w:rPr>
          <w:rFonts w:hint="default"/>
          <w:lang w:val="ru-RU"/>
        </w:rPr>
        <w:t xml:space="preserve"> Для построения </w:t>
      </w:r>
      <w:r>
        <w:rPr>
          <w:rFonts w:hint="default"/>
          <w:lang w:val="en-US"/>
        </w:rPr>
        <w:t xml:space="preserve">SDM </w:t>
      </w:r>
      <w:r>
        <w:rPr>
          <w:rFonts w:hint="default"/>
          <w:lang w:val="ru-RU"/>
        </w:rPr>
        <w:t>использовали четыре техники моделирования: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обобщенные аддитивные модели (</w:t>
      </w:r>
      <w:r>
        <w:rPr>
          <w:rFonts w:hint="default"/>
          <w:lang w:val="en-US"/>
        </w:rPr>
        <w:t>GAM)</w:t>
      </w:r>
      <w:r>
        <w:rPr>
          <w:rFonts w:hint="default"/>
          <w:lang w:val="ru-RU"/>
        </w:rPr>
        <w:t>, метод максимальной энтропии (</w:t>
      </w:r>
      <w:r>
        <w:rPr>
          <w:rFonts w:hint="default"/>
          <w:lang w:val="en-US"/>
        </w:rPr>
        <w:t xml:space="preserve">MAXENT), </w:t>
      </w:r>
      <w:r>
        <w:rPr>
          <w:rFonts w:hint="default"/>
          <w:lang w:val="ru-RU"/>
        </w:rPr>
        <w:t>бустинговые регрессионные деревья (</w:t>
      </w:r>
      <w:r>
        <w:rPr>
          <w:rFonts w:hint="default"/>
          <w:lang w:val="en-US"/>
        </w:rPr>
        <w:t xml:space="preserve">BRT) </w:t>
      </w:r>
      <w:r>
        <w:rPr>
          <w:rFonts w:hint="default"/>
          <w:lang w:val="ru-RU"/>
        </w:rPr>
        <w:t>и метод случайных деревьев (</w:t>
      </w:r>
      <w:r>
        <w:rPr>
          <w:rFonts w:hint="default"/>
          <w:lang w:val="en-US"/>
        </w:rPr>
        <w:t xml:space="preserve">RF). </w:t>
      </w:r>
    </w:p>
    <w:p w14:paraId="473F45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Оценка важности предикторов (рис. ++ Б) выявила разные профили для двух линий </w:t>
      </w:r>
      <w:r>
        <w:rPr>
          <w:rFonts w:hint="default"/>
          <w:lang w:val="en-US"/>
        </w:rPr>
        <w:t>BTN</w:t>
      </w:r>
      <w:r>
        <w:rPr>
          <w:rFonts w:hint="default"/>
          <w:lang w:val="ru-RU"/>
        </w:rPr>
        <w:t xml:space="preserve">, что говорит о расхождении экологических ниш двух линий. Зависимость от наиболее важного для обеих линий фактора,  температуры воды, имела черты сходства (рис. ++, В): обе линии имеют большую вероятность встречи при более низких температурах. Однако, согласно модели, линия </w:t>
      </w:r>
      <w:r>
        <w:rPr>
          <w:rFonts w:hint="default"/>
          <w:lang w:val="en-US"/>
        </w:rPr>
        <w:t xml:space="preserve">BTN1 </w:t>
      </w:r>
      <w:r>
        <w:rPr>
          <w:rFonts w:hint="default"/>
          <w:lang w:val="ru-RU"/>
        </w:rPr>
        <w:t xml:space="preserve">практически не встречается при более высоких температурах, в то время как для линии </w:t>
      </w:r>
      <w:r>
        <w:rPr>
          <w:rFonts w:hint="default"/>
          <w:lang w:val="en-US"/>
        </w:rPr>
        <w:t xml:space="preserve">BTN2 </w:t>
      </w:r>
      <w:r>
        <w:rPr>
          <w:rFonts w:hint="default"/>
          <w:lang w:val="ru-RU"/>
        </w:rPr>
        <w:t xml:space="preserve">вероятность встречи в теплых водах остается достаточно высокой.  </w:t>
      </w:r>
    </w:p>
    <w:p w14:paraId="0B5A6C6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прогнозов, основанных на </w:t>
      </w:r>
      <w:r>
        <w:rPr>
          <w:rFonts w:hint="default"/>
          <w:lang w:val="en-US"/>
        </w:rPr>
        <w:t xml:space="preserve">SDM, </w:t>
      </w:r>
      <w:r>
        <w:rPr>
          <w:rFonts w:hint="default"/>
          <w:lang w:val="ru-RU"/>
        </w:rPr>
        <w:t>использовался метод интегрированного предсказания на основе многомодельного ансамбля. С помощью этого метода были построены карты, предсказывающие  распеределение обеих линий в прибрежных водах Дальнего Востока и Европы. Согласно полученному прогнозу, наиболее вероятные области распространения обеих линий находятся в северных регионах Европы, а также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 Охотском море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 в районе Курильской гряды и на восточном побережье Камчатки и Чукотки (рис. ++ Г-Ж). </w:t>
      </w:r>
    </w:p>
    <w:p w14:paraId="41D1DC7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Часть, имеющегося в нашем распоряжении материала не была использована в обучении модели, а рассматривалась, как тестовая выборка. По нашим данным частота встречи участков, на которых может быть встречена линия </w:t>
      </w:r>
      <w:r>
        <w:rPr>
          <w:rFonts w:hint="default"/>
          <w:lang w:val="en-US"/>
        </w:rPr>
        <w:t>BTN1</w:t>
      </w:r>
      <w:r>
        <w:rPr>
          <w:rFonts w:hint="default"/>
          <w:lang w:val="ru-RU"/>
        </w:rPr>
        <w:t xml:space="preserve"> в тестовом наборе данных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составляет </w:t>
      </w:r>
      <w:r>
        <w:rPr>
          <w:rFonts w:hint="default"/>
          <w:lang w:val="en-US"/>
        </w:rPr>
        <w:t>14.8%</w:t>
      </w:r>
      <w:r>
        <w:rPr>
          <w:rFonts w:hint="default"/>
          <w:lang w:val="ru-RU"/>
        </w:rPr>
        <w:t xml:space="preserve">, а </w:t>
      </w:r>
      <w:r>
        <w:rPr>
          <w:rFonts w:hint="default"/>
          <w:lang w:val="en-US"/>
        </w:rPr>
        <w:t xml:space="preserve">BTN2 - 16.7%. </w:t>
      </w:r>
      <w:r>
        <w:rPr>
          <w:rFonts w:hint="default"/>
          <w:lang w:val="ru-RU"/>
        </w:rPr>
        <w:t xml:space="preserve"> Согласно прогнозу модели, ожидаемая средняя частота двух линий в прибрежных водах Евразии составляет </w:t>
      </w:r>
      <w:r>
        <w:rPr>
          <w:rFonts w:hint="default"/>
          <w:lang w:val="ru-RU"/>
        </w:rPr>
        <w:tab/>
      </w:r>
      <w:r>
        <w:rPr>
          <w:rFonts w:hint="default"/>
          <w:lang w:val="en-US"/>
        </w:rPr>
        <w:t xml:space="preserve">19.8% </w:t>
      </w:r>
      <w:r>
        <w:rPr>
          <w:rFonts w:hint="default"/>
          <w:lang w:val="ru-RU"/>
        </w:rPr>
        <w:t xml:space="preserve">и 26.6%, соответственно. Нанесенные на карту тестовые выборки, в которых не было отмечено ни </w:t>
      </w:r>
      <w:r>
        <w:rPr>
          <w:rFonts w:hint="default"/>
          <w:lang w:val="en-US"/>
        </w:rPr>
        <w:t>BTN1</w:t>
      </w:r>
      <w:r>
        <w:rPr>
          <w:rFonts w:hint="default"/>
          <w:lang w:val="ru-RU"/>
        </w:rPr>
        <w:t xml:space="preserve"> ни </w:t>
      </w:r>
      <w:r>
        <w:rPr>
          <w:rFonts w:hint="default"/>
          <w:lang w:val="en-US"/>
        </w:rPr>
        <w:t>BTN2,</w:t>
      </w:r>
      <w:r>
        <w:rPr>
          <w:rFonts w:hint="default"/>
          <w:lang w:val="ru-RU"/>
        </w:rPr>
        <w:t xml:space="preserve"> в большинстве случаев располагались в областях с низкой предсказанной  вероятностью встречи </w:t>
      </w:r>
      <w:r>
        <w:rPr>
          <w:rFonts w:hint="default"/>
          <w:lang w:val="en-US"/>
        </w:rPr>
        <w:t>BTN</w:t>
      </w:r>
      <w:r>
        <w:rPr>
          <w:rFonts w:hint="default"/>
          <w:lang w:val="ru-RU"/>
        </w:rPr>
        <w:t xml:space="preserve"> (рис. ++ Г-Ж)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В значительном количестве случаев районы обнаружения </w:t>
      </w:r>
      <w:r>
        <w:rPr>
          <w:rFonts w:hint="default"/>
          <w:lang w:val="en-US"/>
        </w:rPr>
        <w:t>BTN</w:t>
      </w:r>
      <w:r>
        <w:rPr>
          <w:rFonts w:hint="default"/>
          <w:lang w:val="ru-RU"/>
        </w:rPr>
        <w:t>2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совпадали с областями, в которых прогнозировалась высокая вероятность встречи. Для более редкой линии </w:t>
      </w:r>
      <w:r>
        <w:rPr>
          <w:rFonts w:hint="default"/>
          <w:lang w:val="en-US"/>
        </w:rPr>
        <w:t xml:space="preserve">BTN1 </w:t>
      </w:r>
      <w:r>
        <w:rPr>
          <w:rFonts w:hint="default"/>
          <w:lang w:val="ru-RU"/>
        </w:rPr>
        <w:t xml:space="preserve">частота таких совпадений была ниже.   </w:t>
      </w:r>
    </w:p>
    <w:p w14:paraId="79C183AC">
      <w:pPr>
        <w:rPr>
          <w:lang w:val="en-US"/>
        </w:rPr>
      </w:pPr>
    </w:p>
    <w:p w14:paraId="052F569E">
      <w:pPr>
        <w:rPr>
          <w:lang w:val="en-US"/>
        </w:rPr>
      </w:pPr>
    </w:p>
    <w:p w14:paraId="7C93BDED">
      <w:pPr>
        <w:rPr>
          <w:lang w:val="en-US"/>
        </w:rPr>
      </w:pPr>
    </w:p>
    <w:p w14:paraId="27A6AC63">
      <w:pPr>
        <w:rPr>
          <w:lang w:val="en-US"/>
        </w:rPr>
      </w:pPr>
    </w:p>
    <w:p w14:paraId="29D139CF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712A6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5B4A05"/>
    <w:rsid w:val="3D2E204C"/>
    <w:rsid w:val="40AA5901"/>
    <w:rsid w:val="48E530A0"/>
    <w:rsid w:val="4B32292F"/>
    <w:rsid w:val="4DC82D45"/>
    <w:rsid w:val="50225E22"/>
    <w:rsid w:val="552E3A44"/>
    <w:rsid w:val="571A361F"/>
    <w:rsid w:val="620712A6"/>
    <w:rsid w:val="6A8F5933"/>
    <w:rsid w:val="71511E5F"/>
    <w:rsid w:val="719F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180" w:after="180"/>
      <w:jc w:val="both"/>
    </w:pPr>
    <w:rPr>
      <w:rFonts w:asciiTheme="minorAscii" w:hAnsiTheme="minorAscii" w:eastAsiaTheme="minorEastAsia"/>
      <w:szCs w:val="24"/>
      <w:lang w:eastAsia="en-US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asciiTheme="minorAscii" w:hAnsiTheme="minorAscii" w:eastAsiaTheme="minorEastAsia"/>
      <w:szCs w:val="24"/>
      <w:lang w:eastAsia="en-US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2025-11-18T13:48:00Z</dcterms:created>
  <dc:creator>google1599737165</dc:creator>
  <cp:lastModifiedBy>google1599737165</cp:lastModifiedBy>
  <dcterms:modified xsi:type="dcterms:W3CDTF">2025-11-21T12:43:37Z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3F21A4ECD3E74249B716D479EDAA53EA_11</vt:lpwstr>
  </property>
</Properties>
</file>