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70190E" w14:textId="77777777" w:rsidR="006C5BBB" w:rsidRDefault="005D09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1.3. Продолжен анализ всего объема данных по экологии MtrBTN1 и MtrBTN2 в </w:t>
      </w:r>
      <w:proofErr w:type="spellStart"/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Тауйской</w:t>
      </w:r>
      <w:proofErr w:type="spellEnd"/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губе Охотского моря, включая данные по экологическим паттернам распространения линий и приспособленности (репродуктивное состояние, скорость роста) здоровых моллюсков и инфи</w:t>
      </w:r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цированных разными линиями </w:t>
      </w:r>
      <w:proofErr w:type="spellStart"/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MtrBTN</w:t>
      </w:r>
      <w:proofErr w:type="spellEnd"/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. </w:t>
      </w:r>
    </w:p>
    <w:p w14:paraId="257E218D" w14:textId="77777777" w:rsidR="006C5BBB" w:rsidRDefault="005D09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</w:rPr>
        <w:t xml:space="preserve">1.3. Выявлены факторы среды, определяющие заболеваемость мидий </w:t>
      </w:r>
      <w:proofErr w:type="spellStart"/>
      <w:r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</w:rPr>
        <w:t>MtrBTN</w:t>
      </w:r>
      <w:proofErr w:type="spellEnd"/>
      <w:r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</w:rPr>
        <w:t xml:space="preserve"> в анцестральном для MtrBTN1 и MtrBTN2 ареале в Охотском море, где обе линии встречаются с «уловимой» частотой. Построена множественная регрессионная м</w:t>
      </w:r>
      <w:r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</w:rPr>
        <w:t>одель, в которой зависимой переменной выступает частота больных мидий в популяциях, а в качестве предикторов разнообразные характеристики популяций мидий и их местообитаний.</w:t>
      </w:r>
    </w:p>
    <w:p w14:paraId="72D9F48A" w14:textId="77777777" w:rsidR="006C5BBB" w:rsidRDefault="006C5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E873590" w14:textId="77777777" w:rsidR="006C5BBB" w:rsidRDefault="005D09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Два блока иллюстраций. Один – про межпопуляционные паттерны включая ВСЕ изученные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предикторы (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OGP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!). Второй - про меж-индивидуальные включая стерильность (решить за пол - по гистологии или под микроскопом) и приросты как функции от генотипа рака и – интенсивности инвазии (доля раковых клеток по 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FC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) + текст (Хайтов)</w:t>
      </w:r>
    </w:p>
    <w:p w14:paraId="141EB0A7" w14:textId="77777777" w:rsidR="006C5BBB" w:rsidRDefault="006C5BBB"/>
    <w:p w14:paraId="786BBA40" w14:textId="77777777" w:rsidR="006C5BBB" w:rsidRDefault="005D09DD">
      <w:r>
        <w:br w:type="page"/>
      </w:r>
    </w:p>
    <w:p w14:paraId="57D5234F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Факторы, </w:t>
      </w:r>
      <w:r>
        <w:rPr>
          <w:sz w:val="24"/>
          <w:szCs w:val="24"/>
        </w:rPr>
        <w:t xml:space="preserve">регулирующие распространение линий трансмиссивного рака в </w:t>
      </w:r>
      <w:proofErr w:type="spellStart"/>
      <w:r>
        <w:rPr>
          <w:sz w:val="24"/>
          <w:szCs w:val="24"/>
        </w:rPr>
        <w:t>Тауйской</w:t>
      </w:r>
      <w:proofErr w:type="spellEnd"/>
      <w:r>
        <w:rPr>
          <w:sz w:val="24"/>
          <w:szCs w:val="24"/>
        </w:rPr>
        <w:t xml:space="preserve"> губе</w:t>
      </w:r>
    </w:p>
    <w:p w14:paraId="26B8637E" w14:textId="77777777" w:rsidR="006C5BBB" w:rsidRDefault="006C5BBB">
      <w:pPr>
        <w:rPr>
          <w:sz w:val="24"/>
          <w:szCs w:val="24"/>
        </w:rPr>
      </w:pPr>
    </w:p>
    <w:p w14:paraId="0ACDB1CB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>В данном анализе мы тестировали несколько гипотез. В качестве исходной гипотезы мы рассматривали предположение, что линии BTN1 и BTN2, будучи по происхождению клетками одного «родител</w:t>
      </w:r>
      <w:r>
        <w:rPr>
          <w:sz w:val="24"/>
          <w:szCs w:val="24"/>
        </w:rPr>
        <w:t>ьского» вида (</w:t>
      </w:r>
      <w:proofErr w:type="spellStart"/>
      <w:proofErr w:type="gramStart"/>
      <w:r>
        <w:rPr>
          <w:sz w:val="24"/>
          <w:szCs w:val="24"/>
        </w:rPr>
        <w:t>M.trossulus</w:t>
      </w:r>
      <w:proofErr w:type="spellEnd"/>
      <w:proofErr w:type="gramEnd"/>
      <w:r>
        <w:rPr>
          <w:sz w:val="24"/>
          <w:szCs w:val="24"/>
        </w:rPr>
        <w:t>) и близкого эволюционного возраста должны иметь сходные связи с факторами среды. Вторая гипотеза: повышенная частота BTN, как онкологического заболевания, должна коррелировать с уровнем стресса, понижающего иммунитет мидий. Наибол</w:t>
      </w:r>
      <w:r>
        <w:rPr>
          <w:sz w:val="24"/>
          <w:szCs w:val="24"/>
        </w:rPr>
        <w:t>ее сильное заражение ожидается в местах с угнетенными поселениями мидий, находящихся в стрессовых условиях.</w:t>
      </w:r>
    </w:p>
    <w:p w14:paraId="102A6422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 xml:space="preserve">При выборе предикторов, потенциально влияющих на частоту встречаемости двух линий </w:t>
      </w:r>
      <w:proofErr w:type="gramStart"/>
      <w:r>
        <w:rPr>
          <w:sz w:val="24"/>
          <w:szCs w:val="24"/>
          <w:lang w:val="en-US"/>
        </w:rPr>
        <w:t>BTN</w:t>
      </w:r>
      <w:proofErr w:type="gramEnd"/>
      <w:r w:rsidRPr="002901B6">
        <w:rPr>
          <w:sz w:val="24"/>
          <w:szCs w:val="24"/>
        </w:rPr>
        <w:t xml:space="preserve"> </w:t>
      </w:r>
      <w:r>
        <w:rPr>
          <w:sz w:val="24"/>
          <w:szCs w:val="24"/>
        </w:rPr>
        <w:t>мы исходили из следующих предпосылок. Ожидаемым источником стр</w:t>
      </w:r>
      <w:r>
        <w:rPr>
          <w:sz w:val="24"/>
          <w:szCs w:val="24"/>
        </w:rPr>
        <w:t>есса мы полагали антропогенный пресс со стороны Магадана, как крупного города. При этом в качестве основного предприятия, непосредственно расположенного на побережье, мы рассматривали морской порт. В качестве предиктора, характеризующего это воздействие, м</w:t>
      </w:r>
      <w:r>
        <w:rPr>
          <w:sz w:val="24"/>
          <w:szCs w:val="24"/>
        </w:rPr>
        <w:t>ы измеряли расстояние от поселения мидий до порта (вдоль береговой линии). Поскольку для мидий ключевым фактором, обеспечивающим стабильное снабжение пищей и регулярное пополнение молодью является уровень гидродинамической напряженности (течения, прибой) в</w:t>
      </w:r>
      <w:r>
        <w:rPr>
          <w:sz w:val="24"/>
          <w:szCs w:val="24"/>
        </w:rPr>
        <w:t xml:space="preserve"> качестве величины, косвенно оценивающей этот параметр, мы использовали величину открытости побережья для прибоя (</w:t>
      </w:r>
      <w:r>
        <w:rPr>
          <w:sz w:val="24"/>
          <w:szCs w:val="24"/>
          <w:lang w:val="en-US"/>
        </w:rPr>
        <w:t>Fetch</w:t>
      </w:r>
      <w:r>
        <w:rPr>
          <w:sz w:val="24"/>
          <w:szCs w:val="24"/>
        </w:rPr>
        <w:t>). Мы предполагаем, что в условиях повышенного прибоя мидии встречают более выгодные условия, по сравнению с изолированными акваториями с</w:t>
      </w:r>
      <w:r>
        <w:rPr>
          <w:sz w:val="24"/>
          <w:szCs w:val="24"/>
        </w:rPr>
        <w:t xml:space="preserve"> низкой гидродинамической напряженностью. Для непосредственной оценки уровня благополучия мидий мы анализировали рост моллюсков из тех поселений, где анализировали частоту </w:t>
      </w:r>
      <w:r>
        <w:rPr>
          <w:sz w:val="24"/>
          <w:szCs w:val="24"/>
          <w:lang w:val="en-US"/>
        </w:rPr>
        <w:t>BTN</w:t>
      </w:r>
      <w:r>
        <w:rPr>
          <w:sz w:val="24"/>
          <w:szCs w:val="24"/>
        </w:rPr>
        <w:t xml:space="preserve">. Для всего поселения мы оценивали величину </w:t>
      </w:r>
      <w:r>
        <w:rPr>
          <w:sz w:val="24"/>
          <w:szCs w:val="24"/>
          <w:lang w:val="en-US"/>
        </w:rPr>
        <w:t>OGP</w:t>
      </w:r>
      <w:r>
        <w:rPr>
          <w:sz w:val="24"/>
          <w:szCs w:val="24"/>
        </w:rPr>
        <w:t>, которая характеризует средний ур</w:t>
      </w:r>
      <w:r>
        <w:rPr>
          <w:sz w:val="24"/>
          <w:szCs w:val="24"/>
        </w:rPr>
        <w:t xml:space="preserve">овень ростовых процессов в поселении. Предполагается, что чем выше </w:t>
      </w:r>
      <w:r>
        <w:rPr>
          <w:sz w:val="24"/>
          <w:szCs w:val="24"/>
          <w:lang w:val="en-US"/>
        </w:rPr>
        <w:t>OGP</w:t>
      </w:r>
      <w:r>
        <w:rPr>
          <w:sz w:val="24"/>
          <w:szCs w:val="24"/>
        </w:rPr>
        <w:t xml:space="preserve"> тем более активно идет рост и тем более благоприятны условия существования моллюсков. Дополнительно мы оценили структуру популяции хозяина (размерная структура, выраженная в терминах гл</w:t>
      </w:r>
      <w:r>
        <w:rPr>
          <w:sz w:val="24"/>
          <w:szCs w:val="24"/>
        </w:rPr>
        <w:t xml:space="preserve">авных компонент, которые характеризуют относительное обилие молоди и старых моллюсков в поселении). </w:t>
      </w:r>
    </w:p>
    <w:p w14:paraId="45502659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 xml:space="preserve">Подобранная нами модель (см. Рис. +++) демонстрировала статистически значимые связи со всеми изученными предикторами только в отношении линии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>1 (</w:t>
      </w:r>
      <w:r>
        <w:rPr>
          <w:sz w:val="24"/>
          <w:szCs w:val="24"/>
        </w:rPr>
        <w:t>Табл. +</w:t>
      </w:r>
      <w:r>
        <w:rPr>
          <w:sz w:val="24"/>
          <w:szCs w:val="24"/>
        </w:rPr>
        <w:t xml:space="preserve">++), ни одной значимой связи для линии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выявлено не было. Таким образом, наша первая гипотеза была опровергнута. Две линии трансмиссивного рака демонстрируют разные связи с параметрами среды.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 xml:space="preserve">2 </w:t>
      </w:r>
      <w:r>
        <w:rPr>
          <w:sz w:val="24"/>
          <w:szCs w:val="24"/>
        </w:rPr>
        <w:t>менее чувствителен к варьированию как абиотических, так</w:t>
      </w:r>
      <w:r>
        <w:rPr>
          <w:sz w:val="24"/>
          <w:szCs w:val="24"/>
        </w:rPr>
        <w:t xml:space="preserve"> и биотических факторов.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имеет более высокую частоту на значительном удалении от источников антропогенного влияния. Что позволяет считать, что и вторая наша </w:t>
      </w:r>
      <w:r>
        <w:rPr>
          <w:sz w:val="24"/>
          <w:szCs w:val="24"/>
        </w:rPr>
        <w:lastRenderedPageBreak/>
        <w:t xml:space="preserve">гипотеза не подтвердилась. При этом линия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>1</w:t>
      </w:r>
      <w:r>
        <w:rPr>
          <w:sz w:val="24"/>
          <w:szCs w:val="24"/>
        </w:rPr>
        <w:t xml:space="preserve"> имеет более высокую частоту в тех поселениях, к</w:t>
      </w:r>
      <w:r>
        <w:rPr>
          <w:sz w:val="24"/>
          <w:szCs w:val="24"/>
        </w:rPr>
        <w:t xml:space="preserve">оторые формируются на более открытых побережьях, при более активном росте (более высокие значения </w:t>
      </w:r>
      <w:r>
        <w:rPr>
          <w:sz w:val="24"/>
          <w:szCs w:val="24"/>
          <w:lang w:val="en-US"/>
        </w:rPr>
        <w:t>OGP</w:t>
      </w:r>
      <w:r w:rsidRPr="002901B6">
        <w:rPr>
          <w:sz w:val="24"/>
          <w:szCs w:val="24"/>
        </w:rPr>
        <w:t>)</w:t>
      </w:r>
      <w:r>
        <w:rPr>
          <w:sz w:val="24"/>
          <w:szCs w:val="24"/>
        </w:rPr>
        <w:t xml:space="preserve"> и в тех поселениях, где преобладает молодь мидий, то есть происходит более активное пополнение. Все эти </w:t>
      </w:r>
      <w:proofErr w:type="spellStart"/>
      <w:r>
        <w:rPr>
          <w:sz w:val="24"/>
          <w:szCs w:val="24"/>
        </w:rPr>
        <w:t>осбенности</w:t>
      </w:r>
      <w:proofErr w:type="spellEnd"/>
      <w:r>
        <w:rPr>
          <w:sz w:val="24"/>
          <w:szCs w:val="24"/>
        </w:rPr>
        <w:t xml:space="preserve"> указывают на то, что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 xml:space="preserve">1 </w:t>
      </w:r>
      <w:r>
        <w:rPr>
          <w:sz w:val="24"/>
          <w:szCs w:val="24"/>
        </w:rPr>
        <w:t>процветает в</w:t>
      </w:r>
      <w:r>
        <w:rPr>
          <w:sz w:val="24"/>
          <w:szCs w:val="24"/>
        </w:rPr>
        <w:t xml:space="preserve"> условиях максимально благоприятных для его хозяина. </w:t>
      </w:r>
    </w:p>
    <w:p w14:paraId="2EDBEE70" w14:textId="77777777" w:rsidR="006C5BBB" w:rsidRDefault="006C5BBB">
      <w:pPr>
        <w:rPr>
          <w:sz w:val="24"/>
          <w:szCs w:val="24"/>
        </w:rPr>
      </w:pPr>
    </w:p>
    <w:p w14:paraId="46570AD1" w14:textId="77777777" w:rsidR="006C5BBB" w:rsidRDefault="006C5BBB">
      <w:pPr>
        <w:rPr>
          <w:sz w:val="24"/>
          <w:szCs w:val="24"/>
        </w:rPr>
      </w:pPr>
    </w:p>
    <w:p w14:paraId="1446BC62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 xml:space="preserve">Таблица ++. Параметры аддитивной модели, описывающей связь частоты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предикторами </w:t>
      </w:r>
    </w:p>
    <w:tbl>
      <w:tblPr>
        <w:tblW w:w="10412" w:type="dxa"/>
        <w:tblInd w:w="-477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400"/>
        <w:gridCol w:w="1423"/>
        <w:gridCol w:w="2106"/>
        <w:gridCol w:w="1435"/>
      </w:tblGrid>
      <w:tr w:rsidR="006C5BBB" w14:paraId="2B84F6A6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5C7E0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Элемент модели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D92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edf</w:t>
            </w:r>
            <w:proofErr w:type="spellEnd"/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B17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R</w:t>
            </w:r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ef.edf</w:t>
            </w:r>
            <w:proofErr w:type="spellEnd"/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BDA0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Chi.sq</w:t>
            </w:r>
            <w:proofErr w:type="spellEnd"/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0AE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p-value</w:t>
            </w:r>
          </w:p>
        </w:tc>
      </w:tr>
      <w:tr w:rsidR="006C5BBB" w14:paraId="1565F3AF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6FBE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Dist_Port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A65D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E225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A7FE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9.2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8BDCC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6C5BBB" w14:paraId="0088FB94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3960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Dist_Port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FBF37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625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3BD4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3.4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3BF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6C5BBB" w14:paraId="0C587180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FA8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fetch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251B3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52AC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5E45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9.3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B585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6C5BBB" w14:paraId="74F96FA0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ECF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fetch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D21FB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D961D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C12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07A7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0.979</w:t>
            </w:r>
          </w:p>
        </w:tc>
      </w:tr>
      <w:tr w:rsidR="006C5BBB" w14:paraId="2A2847CF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C44CA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s(PC1</w:t>
            </w:r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B00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002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B110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A46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6C5BBB" w14:paraId="2E70E23D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86D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s(PC1</w:t>
            </w:r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C101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2081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E1E7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BF6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0.072</w:t>
            </w:r>
          </w:p>
        </w:tc>
      </w:tr>
      <w:tr w:rsidR="006C5BBB" w14:paraId="094FB9C2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3FAA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s(OGP</w:t>
            </w:r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2BC5F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3FBC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E41D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6.0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1E0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0.048</w:t>
            </w:r>
          </w:p>
        </w:tc>
      </w:tr>
      <w:tr w:rsidR="006C5BBB" w14:paraId="024B6703" w14:textId="77777777">
        <w:tc>
          <w:tcPr>
            <w:tcW w:w="4048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6039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s(OGP</w:t>
            </w:r>
            <w:proofErr w:type="gramStart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C570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4BE0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C9AF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F1B6A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0.105</w:t>
            </w:r>
          </w:p>
        </w:tc>
      </w:tr>
    </w:tbl>
    <w:p w14:paraId="21BB85BB" w14:textId="77777777" w:rsidR="006C5BBB" w:rsidRDefault="006C5BBB">
      <w:pPr>
        <w:rPr>
          <w:sz w:val="24"/>
          <w:szCs w:val="24"/>
        </w:rPr>
      </w:pPr>
    </w:p>
    <w:p w14:paraId="32060DC9" w14:textId="0863AF2F" w:rsidR="006C5BBB" w:rsidRDefault="006C5BBB">
      <w:pPr>
        <w:rPr>
          <w:noProof/>
          <w:sz w:val="24"/>
          <w:szCs w:val="24"/>
          <w:lang w:val="en-US"/>
        </w:rPr>
      </w:pPr>
    </w:p>
    <w:p w14:paraId="73444E53" w14:textId="3BA16282" w:rsidR="002901B6" w:rsidRDefault="002901B6">
      <w:pPr>
        <w:rPr>
          <w:noProof/>
          <w:sz w:val="24"/>
          <w:szCs w:val="24"/>
          <w:lang w:val="en-US"/>
        </w:rPr>
      </w:pPr>
    </w:p>
    <w:p w14:paraId="394CDAD6" w14:textId="547413C4" w:rsidR="002901B6" w:rsidRDefault="002901B6">
      <w:pPr>
        <w:rPr>
          <w:noProof/>
          <w:sz w:val="24"/>
          <w:szCs w:val="24"/>
          <w:lang w:val="en-US"/>
        </w:rPr>
      </w:pPr>
    </w:p>
    <w:p w14:paraId="04271FBF" w14:textId="6BF9982F" w:rsidR="002901B6" w:rsidRDefault="002901B6">
      <w:pPr>
        <w:rPr>
          <w:noProof/>
          <w:sz w:val="24"/>
          <w:szCs w:val="24"/>
          <w:lang w:val="en-US"/>
        </w:rPr>
      </w:pPr>
    </w:p>
    <w:p w14:paraId="61502CF2" w14:textId="22D0E247" w:rsidR="002901B6" w:rsidRDefault="002901B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E5E68E7" wp14:editId="19EFE27F">
            <wp:extent cx="5271770" cy="354647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53B1" w14:textId="21FDE12E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 xml:space="preserve">Рисунок ++. Зависимость частоты встречаемости двух линий </w:t>
      </w:r>
      <w:r>
        <w:rPr>
          <w:sz w:val="24"/>
          <w:szCs w:val="24"/>
          <w:lang w:val="en-US"/>
        </w:rPr>
        <w:t>BTN</w:t>
      </w:r>
      <w:r>
        <w:rPr>
          <w:sz w:val="24"/>
          <w:szCs w:val="24"/>
        </w:rPr>
        <w:t xml:space="preserve"> от изученных предикторов. </w:t>
      </w:r>
      <w:r w:rsidR="002901B6" w:rsidRPr="002901B6">
        <w:rPr>
          <w:sz w:val="24"/>
          <w:szCs w:val="24"/>
          <w:highlight w:val="green"/>
        </w:rPr>
        <w:t>Формула над графиками отражает структуру подобранной модели.</w:t>
      </w:r>
      <w:r w:rsidR="002901B6">
        <w:rPr>
          <w:sz w:val="24"/>
          <w:szCs w:val="24"/>
        </w:rPr>
        <w:t xml:space="preserve"> </w:t>
      </w:r>
      <w:r w:rsidR="002901B6" w:rsidRPr="002901B6">
        <w:rPr>
          <w:sz w:val="24"/>
          <w:szCs w:val="24"/>
          <w:highlight w:val="green"/>
        </w:rPr>
        <w:t xml:space="preserve">Пунктирная линия демонстрирует средний уровень зараженности. Точки </w:t>
      </w:r>
      <w:r w:rsidR="002901B6">
        <w:rPr>
          <w:sz w:val="24"/>
          <w:szCs w:val="24"/>
          <w:highlight w:val="green"/>
        </w:rPr>
        <w:t>-</w:t>
      </w:r>
      <w:r w:rsidR="002901B6" w:rsidRPr="002901B6">
        <w:rPr>
          <w:sz w:val="24"/>
          <w:szCs w:val="24"/>
          <w:highlight w:val="green"/>
        </w:rPr>
        <w:t xml:space="preserve"> частные остатки (отклонение первичных данных от предсказания модели).</w:t>
      </w:r>
      <w:r w:rsidR="002901B6">
        <w:rPr>
          <w:sz w:val="24"/>
          <w:szCs w:val="24"/>
        </w:rPr>
        <w:t xml:space="preserve"> </w:t>
      </w:r>
    </w:p>
    <w:p w14:paraId="5BD38D35" w14:textId="77777777" w:rsidR="006C5BBB" w:rsidRDefault="006C5BBB">
      <w:pPr>
        <w:rPr>
          <w:sz w:val="24"/>
          <w:szCs w:val="24"/>
        </w:rPr>
      </w:pPr>
    </w:p>
    <w:p w14:paraId="5DDD1746" w14:textId="77777777" w:rsidR="006C5BBB" w:rsidRDefault="006C5BBB">
      <w:pPr>
        <w:rPr>
          <w:sz w:val="24"/>
          <w:szCs w:val="24"/>
        </w:rPr>
      </w:pPr>
    </w:p>
    <w:p w14:paraId="05D2BD49" w14:textId="77777777" w:rsidR="006C5BBB" w:rsidRDefault="005D09DD">
      <w:pPr>
        <w:rPr>
          <w:sz w:val="24"/>
          <w:szCs w:val="24"/>
        </w:rPr>
      </w:pPr>
      <w:r>
        <w:rPr>
          <w:sz w:val="24"/>
          <w:szCs w:val="24"/>
        </w:rPr>
        <w:t xml:space="preserve">Третьей нашей гипотезой было предположение о том, что клетки </w:t>
      </w:r>
      <w:r>
        <w:rPr>
          <w:sz w:val="24"/>
          <w:szCs w:val="24"/>
          <w:lang w:val="en-US"/>
        </w:rPr>
        <w:t>BTN</w:t>
      </w:r>
      <w:r>
        <w:rPr>
          <w:sz w:val="24"/>
          <w:szCs w:val="24"/>
        </w:rPr>
        <w:t xml:space="preserve">, как паразитические формы, должны манипулировать хозяином, увеличивая приток ресурсов. Самый распространенный среди паразитов прием манипуляции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снижение репродуктивной активности хозяина, которая приводит к снижению энергозатрат на размножение и выс</w:t>
      </w:r>
      <w:r>
        <w:rPr>
          <w:sz w:val="24"/>
          <w:szCs w:val="24"/>
        </w:rPr>
        <w:t xml:space="preserve">вобождению ресурсов, необходимых для паразита. Мы изучили как зависит частота </w:t>
      </w:r>
      <w:proofErr w:type="spellStart"/>
      <w:r>
        <w:rPr>
          <w:sz w:val="24"/>
          <w:szCs w:val="24"/>
        </w:rPr>
        <w:t>нарушенй</w:t>
      </w:r>
      <w:proofErr w:type="spellEnd"/>
      <w:r>
        <w:rPr>
          <w:sz w:val="24"/>
          <w:szCs w:val="24"/>
        </w:rPr>
        <w:t xml:space="preserve"> в продукции гамет (отсутствие заметных яйцеклеток или сперматозоидов на мазках раздавленных гонад) от доли анеуплоидных клеток в гемолимфе хозяина, зараженного </w:t>
      </w:r>
      <w:r>
        <w:rPr>
          <w:sz w:val="24"/>
          <w:szCs w:val="24"/>
          <w:lang w:val="en-US"/>
        </w:rPr>
        <w:t>BTN</w:t>
      </w:r>
      <w:r>
        <w:rPr>
          <w:sz w:val="24"/>
          <w:szCs w:val="24"/>
        </w:rPr>
        <w:t>. Стат</w:t>
      </w:r>
      <w:r>
        <w:rPr>
          <w:sz w:val="24"/>
          <w:szCs w:val="24"/>
        </w:rPr>
        <w:t xml:space="preserve">истически значимое увеличение частоты нарушений по мере роста числа </w:t>
      </w:r>
      <w:proofErr w:type="spellStart"/>
      <w:r>
        <w:rPr>
          <w:sz w:val="24"/>
          <w:szCs w:val="24"/>
        </w:rPr>
        <w:t>аннеуплоидных</w:t>
      </w:r>
      <w:proofErr w:type="spellEnd"/>
      <w:r>
        <w:rPr>
          <w:sz w:val="24"/>
          <w:szCs w:val="24"/>
        </w:rPr>
        <w:t xml:space="preserve"> клеток (развития заболевания) была выявлена только в отношении моллюсков, зараженных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>1</w:t>
      </w:r>
      <w:r>
        <w:rPr>
          <w:sz w:val="24"/>
          <w:szCs w:val="24"/>
        </w:rPr>
        <w:t xml:space="preserve"> (Табл. ++)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Высокая частота (выше среднего уровня) была отмечена только на поздних стадиях заболевания (Рис. ++), когда доля анеуплоидных клеток превышала 70%. У моллюсков, зараженных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>2</w:t>
      </w:r>
      <w:r>
        <w:rPr>
          <w:sz w:val="24"/>
          <w:szCs w:val="24"/>
        </w:rPr>
        <w:t>, частота нарушений была на среднем для популяции уровне на всех этапах развити</w:t>
      </w:r>
      <w:r>
        <w:rPr>
          <w:sz w:val="24"/>
          <w:szCs w:val="24"/>
        </w:rPr>
        <w:t>я заболевания.</w:t>
      </w:r>
    </w:p>
    <w:p w14:paraId="00B45FBB" w14:textId="77777777" w:rsidR="006C5BBB" w:rsidRDefault="006C5BBB">
      <w:pPr>
        <w:rPr>
          <w:sz w:val="24"/>
          <w:szCs w:val="24"/>
        </w:rPr>
      </w:pPr>
    </w:p>
    <w:p w14:paraId="22C943FB" w14:textId="77777777" w:rsidR="006C5BBB" w:rsidRPr="002901B6" w:rsidRDefault="005D09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Таблица ++. Параметры аддитивной модели, описывающей связь частоты нарушения продукции гамет долей анеуплоидных клеток в гемолимфе мидий, зараженных разными линиями </w:t>
      </w:r>
      <w:r>
        <w:rPr>
          <w:sz w:val="24"/>
          <w:szCs w:val="24"/>
          <w:lang w:val="en-US"/>
        </w:rPr>
        <w:t>BTN</w:t>
      </w:r>
      <w:r w:rsidRPr="002901B6">
        <w:rPr>
          <w:sz w:val="24"/>
          <w:szCs w:val="24"/>
        </w:rPr>
        <w:t>.</w:t>
      </w:r>
    </w:p>
    <w:p w14:paraId="1E41ACC2" w14:textId="77777777" w:rsidR="006C5BBB" w:rsidRDefault="006C5BBB">
      <w:pPr>
        <w:rPr>
          <w:sz w:val="24"/>
          <w:szCs w:val="24"/>
        </w:rPr>
      </w:pPr>
    </w:p>
    <w:tbl>
      <w:tblPr>
        <w:tblW w:w="838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742"/>
        <w:gridCol w:w="1121"/>
        <w:gridCol w:w="1216"/>
        <w:gridCol w:w="1215"/>
      </w:tblGrid>
      <w:tr w:rsidR="006C5BBB" w14:paraId="1BBD087F" w14:textId="77777777"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D52C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</w:rPr>
              <w:t>Элемент модели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D5247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edf</w:t>
            </w:r>
            <w:proofErr w:type="spellEnd"/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A55F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R</w:t>
            </w:r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ef.edf</w:t>
            </w:r>
            <w:proofErr w:type="spellEnd"/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EAD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Chi.sq</w:t>
            </w:r>
            <w:proofErr w:type="spellEnd"/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662F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eastAsia="Helvetica" w:hAnsi="Arial" w:cs="Arial"/>
                <w:color w:val="000000"/>
                <w:sz w:val="22"/>
                <w:szCs w:val="22"/>
                <w:lang w:val="en-US"/>
              </w:rPr>
              <w:t>p-value</w:t>
            </w:r>
          </w:p>
        </w:tc>
      </w:tr>
      <w:tr w:rsidR="006C5BBB" w14:paraId="098F0D96" w14:textId="77777777"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A76F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Aneuploid_Proportion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291C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049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51003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F4B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0.001</w:t>
            </w:r>
          </w:p>
        </w:tc>
      </w:tr>
      <w:tr w:rsidR="006C5BBB" w14:paraId="0F26F7CD" w14:textId="77777777">
        <w:tc>
          <w:tcPr>
            <w:tcW w:w="4095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F175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s(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Aneuploid_Proportion</w:t>
            </w:r>
            <w:proofErr w:type="spellEnd"/>
            <w:proofErr w:type="gram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):LineageBTN</w:t>
            </w:r>
            <w:proofErr w:type="gram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F7AA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E64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5AD6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C85D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0.153</w:t>
            </w:r>
          </w:p>
        </w:tc>
      </w:tr>
    </w:tbl>
    <w:p w14:paraId="64FD2885" w14:textId="77777777" w:rsidR="006C5BBB" w:rsidRDefault="006C5BBB">
      <w:pPr>
        <w:rPr>
          <w:sz w:val="24"/>
          <w:szCs w:val="24"/>
        </w:rPr>
      </w:pPr>
    </w:p>
    <w:p w14:paraId="5F08673B" w14:textId="6FDCF898" w:rsidR="006C5BBB" w:rsidRDefault="005D09DD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="00A8747F">
        <w:rPr>
          <w:noProof/>
          <w:sz w:val="24"/>
          <w:szCs w:val="24"/>
          <w:lang w:val="en-US"/>
        </w:rPr>
        <w:drawing>
          <wp:inline distT="0" distB="0" distL="0" distR="0" wp14:anchorId="0F6FA18D" wp14:editId="716FFA29">
            <wp:extent cx="5271770" cy="339534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385E" w14:textId="56F6386B" w:rsidR="006C5BBB" w:rsidRPr="00A8747F" w:rsidRDefault="005D09DD">
      <w:pPr>
        <w:rPr>
          <w:sz w:val="24"/>
          <w:szCs w:val="24"/>
        </w:rPr>
      </w:pPr>
      <w:r w:rsidRPr="00A8747F">
        <w:rPr>
          <w:sz w:val="24"/>
          <w:szCs w:val="24"/>
          <w:highlight w:val="green"/>
        </w:rPr>
        <w:t xml:space="preserve">Рисунок ++. </w:t>
      </w:r>
      <w:r w:rsidR="00A8747F" w:rsidRPr="00A8747F">
        <w:rPr>
          <w:sz w:val="24"/>
          <w:szCs w:val="24"/>
          <w:highlight w:val="green"/>
        </w:rPr>
        <w:t xml:space="preserve">Предсказания модели, описывающей связь частоты нарушений продукции гамет с долей </w:t>
      </w:r>
      <w:proofErr w:type="spellStart"/>
      <w:r w:rsidRPr="00A8747F">
        <w:rPr>
          <w:sz w:val="24"/>
          <w:szCs w:val="24"/>
          <w:highlight w:val="green"/>
        </w:rPr>
        <w:t>дол</w:t>
      </w:r>
      <w:r w:rsidR="00A8747F" w:rsidRPr="00A8747F">
        <w:rPr>
          <w:sz w:val="24"/>
          <w:szCs w:val="24"/>
          <w:highlight w:val="green"/>
        </w:rPr>
        <w:t>ей</w:t>
      </w:r>
      <w:proofErr w:type="spellEnd"/>
      <w:r w:rsidRPr="00A8747F">
        <w:rPr>
          <w:sz w:val="24"/>
          <w:szCs w:val="24"/>
          <w:highlight w:val="green"/>
        </w:rPr>
        <w:t xml:space="preserve"> анеуплоидных клеток в гемолимфе мидии.</w:t>
      </w:r>
      <w:r w:rsidR="00A8747F" w:rsidRPr="00A8747F">
        <w:rPr>
          <w:sz w:val="24"/>
          <w:szCs w:val="24"/>
          <w:highlight w:val="green"/>
        </w:rPr>
        <w:t xml:space="preserve"> Формула над графиками отражает структуру подобранной модели. Пунктирная горизонтальная линия демонстрирует среднее значение частоты нарушений среди больных мидий.</w:t>
      </w:r>
      <w:r w:rsidR="00A8747F">
        <w:rPr>
          <w:sz w:val="24"/>
          <w:szCs w:val="24"/>
        </w:rPr>
        <w:t xml:space="preserve"> </w:t>
      </w:r>
    </w:p>
    <w:p w14:paraId="59186A9A" w14:textId="77777777" w:rsidR="006C5BBB" w:rsidRDefault="006C5BBB"/>
    <w:p w14:paraId="18BE8AD6" w14:textId="77777777" w:rsidR="006C5BBB" w:rsidRDefault="005D09DD">
      <w:r>
        <w:t>Четвертая гипотеза</w:t>
      </w:r>
      <w:r w:rsidRPr="002901B6">
        <w:t xml:space="preserve">: </w:t>
      </w:r>
      <w:r>
        <w:t xml:space="preserve">если </w:t>
      </w:r>
      <w:r>
        <w:rPr>
          <w:lang w:val="en-US"/>
        </w:rPr>
        <w:t>BTN</w:t>
      </w:r>
      <w:r w:rsidRPr="002901B6">
        <w:t xml:space="preserve"> </w:t>
      </w:r>
      <w:r>
        <w:t xml:space="preserve">эффективно снижает репродуктивные способности хозяина, то высвободившаяся энергия должна приводить к более интенсивному росту хозяина. Мы изучили как зависит относительный прирост раковины мидий за текущий год (объединенные данные 2021 и 2023 </w:t>
      </w:r>
      <w:proofErr w:type="spellStart"/>
      <w:r>
        <w:t>гг</w:t>
      </w:r>
      <w:proofErr w:type="spellEnd"/>
      <w:r>
        <w:t xml:space="preserve">, </w:t>
      </w:r>
      <w:r w:rsidRPr="002901B6">
        <w:t>3000</w:t>
      </w:r>
      <w:r>
        <w:t xml:space="preserve"> изуч</w:t>
      </w:r>
      <w:r>
        <w:t xml:space="preserve">енных моллюсков) у трех категорий мидий: здоровые, зараженные </w:t>
      </w:r>
      <w:r>
        <w:rPr>
          <w:lang w:val="en-US"/>
        </w:rPr>
        <w:t>BTN</w:t>
      </w:r>
      <w:r w:rsidRPr="002901B6">
        <w:t xml:space="preserve">1 </w:t>
      </w:r>
      <w:r>
        <w:t xml:space="preserve">и зараженные </w:t>
      </w:r>
      <w:r>
        <w:rPr>
          <w:lang w:val="en-US"/>
        </w:rPr>
        <w:t>BTN</w:t>
      </w:r>
      <w:r w:rsidRPr="002901B6">
        <w:t xml:space="preserve">2. </w:t>
      </w:r>
      <w:r>
        <w:t xml:space="preserve">Относительный прирост был вычислен, как отношение расстояния от края раковины до последнего кольца остановки роста. Для корректировки в модель, в качестве </w:t>
      </w:r>
      <w:proofErr w:type="spellStart"/>
      <w:r>
        <w:t>ковариаты</w:t>
      </w:r>
      <w:proofErr w:type="spellEnd"/>
      <w:r>
        <w:t xml:space="preserve">, был </w:t>
      </w:r>
      <w:r>
        <w:t xml:space="preserve">внесен размер мидии, </w:t>
      </w:r>
      <w:proofErr w:type="spellStart"/>
      <w:r>
        <w:t>оцененый</w:t>
      </w:r>
      <w:proofErr w:type="spellEnd"/>
      <w:r>
        <w:t xml:space="preserve"> как расстояние от вершины раковины до последнего </w:t>
      </w:r>
      <w:r>
        <w:lastRenderedPageBreak/>
        <w:t xml:space="preserve">кольца остановки роста. </w:t>
      </w:r>
      <w:r w:rsidRPr="002901B6">
        <w:t xml:space="preserve"> </w:t>
      </w:r>
      <w:r>
        <w:t xml:space="preserve">Подобранная модель показала, что относительный прирост последнего года у моллюсков, зараженных </w:t>
      </w:r>
      <w:r>
        <w:rPr>
          <w:lang w:val="en-US"/>
        </w:rPr>
        <w:t>BTN</w:t>
      </w:r>
      <w:r w:rsidRPr="002901B6">
        <w:t>2</w:t>
      </w:r>
      <w:r>
        <w:t>,</w:t>
      </w:r>
      <w:r w:rsidRPr="002901B6">
        <w:t xml:space="preserve"> </w:t>
      </w:r>
      <w:r>
        <w:t xml:space="preserve">был статистически значимо выше, чем у моллюсков, зараженных </w:t>
      </w:r>
      <w:r>
        <w:rPr>
          <w:lang w:val="en-US"/>
        </w:rPr>
        <w:t>BTN</w:t>
      </w:r>
      <w:r w:rsidRPr="002901B6">
        <w:t xml:space="preserve">1 </w:t>
      </w:r>
      <w:r>
        <w:t>и у здоровых особей (табл. ++, рис. +++ А). Прирост у двух последних категорий значимо не отличался. При этом описанные различия прослеживаются и на сырых данных, рассмотренных без учета влия</w:t>
      </w:r>
      <w:r>
        <w:t xml:space="preserve">ния размера, как </w:t>
      </w:r>
      <w:proofErr w:type="spellStart"/>
      <w:r>
        <w:t>ковариаты</w:t>
      </w:r>
      <w:proofErr w:type="spellEnd"/>
      <w:r>
        <w:t xml:space="preserve"> (рис. ++). Таким образом, наша четвертая гипотеза подтвердилась только в отношении линии </w:t>
      </w:r>
      <w:r>
        <w:rPr>
          <w:lang w:val="en-US"/>
        </w:rPr>
        <w:t>BTN</w:t>
      </w:r>
      <w:r w:rsidRPr="002901B6">
        <w:t>2.</w:t>
      </w:r>
      <w:r>
        <w:t xml:space="preserve"> Заражение </w:t>
      </w:r>
      <w:proofErr w:type="spellStart"/>
      <w:r>
        <w:t>моллсков</w:t>
      </w:r>
      <w:proofErr w:type="spellEnd"/>
      <w:r>
        <w:t xml:space="preserve"> этой </w:t>
      </w:r>
      <w:proofErr w:type="spellStart"/>
      <w:r>
        <w:t>линеией</w:t>
      </w:r>
      <w:proofErr w:type="spellEnd"/>
      <w:r>
        <w:t xml:space="preserve"> трансмиссивного рака демонстрирует эффект аналогичный ускоренному росту хозяина при паразитарной кастр</w:t>
      </w:r>
      <w:r>
        <w:t xml:space="preserve">ации.    </w:t>
      </w:r>
    </w:p>
    <w:p w14:paraId="60E0F501" w14:textId="77777777" w:rsidR="006C5BBB" w:rsidRDefault="006C5BBB"/>
    <w:p w14:paraId="31240939" w14:textId="77777777" w:rsidR="006C5BBB" w:rsidRDefault="005D09DD">
      <w:r>
        <w:t>Таблица ++. Параметры модели, описывающей связь (приводится только параметрическая часть аддитивной модели)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707"/>
        <w:gridCol w:w="1464"/>
      </w:tblGrid>
      <w:tr w:rsidR="006C5BBB" w14:paraId="3CB98310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8BB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Элемент модели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250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36750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  <w:t>SE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3AA3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  <w:t>F</w:t>
            </w:r>
          </w:p>
        </w:tc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449A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  <w:lang w:val="en-US"/>
              </w:rPr>
              <w:t>p-value</w:t>
            </w:r>
          </w:p>
        </w:tc>
      </w:tr>
      <w:tr w:rsidR="006C5BBB" w14:paraId="0798658D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5E2B7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Intercept</w:t>
            </w:r>
            <w:proofErr w:type="spell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76185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25.08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4F965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1.22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0558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20.51</w:t>
            </w:r>
          </w:p>
        </w:tc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3071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0.0000</w:t>
            </w:r>
          </w:p>
        </w:tc>
      </w:tr>
      <w:tr w:rsidR="006C5BBB" w14:paraId="31AC15F5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877E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BTN_</w:t>
            </w:r>
            <w:proofErr w:type="gram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BTN2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F298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9AF2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F4B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2.55</w:t>
            </w:r>
          </w:p>
        </w:tc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97F7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0.0109</w:t>
            </w:r>
          </w:p>
        </w:tc>
      </w:tr>
      <w:tr w:rsidR="006C5BBB" w14:paraId="331337F1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190B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rPr>
                <w:sz w:val="20"/>
                <w:szCs w:val="20"/>
              </w:rPr>
            </w:pPr>
            <w:proofErr w:type="spell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BTN_</w:t>
            </w:r>
            <w:proofErr w:type="gramStart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Здоровые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487F3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03DA9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A41B4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464" w:type="dxa"/>
            <w:tcBorders>
              <w:top w:val="single" w:sz="2" w:space="0" w:color="000000"/>
              <w:left w:val="single" w:sz="2" w:space="0" w:color="000000"/>
              <w:bottom w:val="single" w:sz="8" w:space="0" w:color="666666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770E8" w14:textId="77777777" w:rsidR="006C5BBB" w:rsidRDefault="005D09DD">
            <w:pPr>
              <w:pStyle w:val="aff9"/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12" w:lineRule="atLeast"/>
              <w:jc w:val="center"/>
              <w:rPr>
                <w:sz w:val="20"/>
                <w:szCs w:val="20"/>
              </w:rPr>
            </w:pPr>
            <w:r>
              <w:rPr>
                <w:rFonts w:ascii="Arial" w:eastAsia="Helvetica" w:hAnsi="Arial" w:cs="Arial"/>
                <w:color w:val="000000"/>
                <w:sz w:val="20"/>
                <w:szCs w:val="20"/>
              </w:rPr>
              <w:t>0.5307</w:t>
            </w:r>
          </w:p>
        </w:tc>
      </w:tr>
    </w:tbl>
    <w:p w14:paraId="0355F338" w14:textId="77777777" w:rsidR="006C5BBB" w:rsidRDefault="006C5BBB">
      <w:pPr>
        <w:rPr>
          <w:lang w:val="en-US"/>
        </w:rPr>
      </w:pPr>
    </w:p>
    <w:p w14:paraId="71E63E2F" w14:textId="30AFC78B" w:rsidR="006C5BBB" w:rsidRDefault="006C5BBB">
      <w:pPr>
        <w:rPr>
          <w:noProof/>
          <w:lang w:val="en-US"/>
        </w:rPr>
      </w:pPr>
    </w:p>
    <w:p w14:paraId="6286ECAC" w14:textId="121C5804" w:rsidR="00A8747F" w:rsidRDefault="00A8747F">
      <w:pPr>
        <w:rPr>
          <w:noProof/>
          <w:lang w:val="en-US"/>
        </w:rPr>
      </w:pPr>
    </w:p>
    <w:p w14:paraId="64694A8C" w14:textId="365DC66F" w:rsidR="00A8747F" w:rsidRDefault="00A8747F">
      <w:pPr>
        <w:rPr>
          <w:noProof/>
          <w:lang w:val="en-US"/>
        </w:rPr>
      </w:pPr>
    </w:p>
    <w:p w14:paraId="4692678A" w14:textId="799B0374" w:rsidR="00A8747F" w:rsidRDefault="00A8747F">
      <w:pPr>
        <w:rPr>
          <w:noProof/>
          <w:lang w:val="en-US"/>
        </w:rPr>
      </w:pPr>
    </w:p>
    <w:p w14:paraId="4AE06FAD" w14:textId="0B7D1E69" w:rsidR="00A8747F" w:rsidRDefault="00A8747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8CFA02" wp14:editId="054D8F3F">
            <wp:extent cx="5271770" cy="5462270"/>
            <wp:effectExtent l="0" t="0" r="508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89C9" w14:textId="77777777" w:rsidR="006C5BBB" w:rsidRDefault="006C5BBB">
      <w:pPr>
        <w:rPr>
          <w:lang w:val="en-US"/>
        </w:rPr>
      </w:pPr>
    </w:p>
    <w:p w14:paraId="156EAF7A" w14:textId="4DDD1949" w:rsidR="006C5BBB" w:rsidRDefault="005D09DD">
      <w:r w:rsidRPr="00926E31">
        <w:rPr>
          <w:highlight w:val="green"/>
        </w:rPr>
        <w:t xml:space="preserve">Рисунок ++. Относительный прирост длины раковины за последний год у мидий, зараженных двумя линиями </w:t>
      </w:r>
      <w:r w:rsidRPr="00926E31">
        <w:rPr>
          <w:highlight w:val="green"/>
          <w:lang w:val="en-US"/>
        </w:rPr>
        <w:t>BTN</w:t>
      </w:r>
      <w:r w:rsidRPr="00926E31">
        <w:rPr>
          <w:highlight w:val="green"/>
        </w:rPr>
        <w:t xml:space="preserve">, и здоровых особей. </w:t>
      </w:r>
      <w:r w:rsidRPr="00926E31">
        <w:rPr>
          <w:b/>
          <w:bCs/>
          <w:highlight w:val="green"/>
        </w:rPr>
        <w:t>А</w:t>
      </w:r>
      <w:r w:rsidRPr="00926E31">
        <w:rPr>
          <w:highlight w:val="green"/>
        </w:rPr>
        <w:t>.</w:t>
      </w:r>
      <w:r w:rsidR="00A8747F" w:rsidRPr="00926E31">
        <w:rPr>
          <w:highlight w:val="green"/>
        </w:rPr>
        <w:t xml:space="preserve"> Схема изм</w:t>
      </w:r>
      <w:r w:rsidR="00926E31" w:rsidRPr="00926E31">
        <w:rPr>
          <w:highlight w:val="green"/>
        </w:rPr>
        <w:t>е</w:t>
      </w:r>
      <w:r w:rsidR="00A8747F" w:rsidRPr="00926E31">
        <w:rPr>
          <w:highlight w:val="green"/>
        </w:rPr>
        <w:t>рения относительного прироста</w:t>
      </w:r>
      <w:r w:rsidR="00926E31" w:rsidRPr="00926E31">
        <w:rPr>
          <w:highlight w:val="green"/>
        </w:rPr>
        <w:t xml:space="preserve"> (</w:t>
      </w:r>
      <w:r w:rsidR="00926E31" w:rsidRPr="00926E31">
        <w:rPr>
          <w:highlight w:val="green"/>
          <w:lang w:val="en-US"/>
        </w:rPr>
        <w:t>RL</w:t>
      </w:r>
      <w:r w:rsidR="00926E31" w:rsidRPr="00926E31">
        <w:rPr>
          <w:highlight w:val="green"/>
        </w:rPr>
        <w:t xml:space="preserve">). Формула демонстрирует </w:t>
      </w:r>
      <w:r w:rsidR="00926E31" w:rsidRPr="00926E31">
        <w:rPr>
          <w:rStyle w:val="af"/>
          <w:rFonts w:ascii="Segoe UI" w:hAnsi="Segoe UI" w:cs="Segoe UI"/>
          <w:b w:val="0"/>
          <w:bCs w:val="0"/>
          <w:i/>
          <w:iCs/>
          <w:color w:val="0F1115"/>
          <w:highlight w:val="green"/>
          <w:shd w:val="clear" w:color="auto" w:fill="FFFFFF"/>
        </w:rPr>
        <w:t>φ-</w:t>
      </w:r>
      <w:r w:rsidR="00926E31" w:rsidRPr="00926E31">
        <w:rPr>
          <w:rStyle w:val="af"/>
          <w:rFonts w:ascii="Segoe UI" w:hAnsi="Segoe UI" w:cs="Segoe UI"/>
          <w:b w:val="0"/>
          <w:bCs w:val="0"/>
          <w:color w:val="0F1115"/>
          <w:highlight w:val="green"/>
          <w:shd w:val="clear" w:color="auto" w:fill="FFFFFF"/>
        </w:rPr>
        <w:t xml:space="preserve">преобразование Фишера, использованное для нормализации распределения зависимой переменной. </w:t>
      </w:r>
      <w:r w:rsidR="00926E31" w:rsidRPr="00926E31">
        <w:rPr>
          <w:rStyle w:val="af"/>
          <w:rFonts w:ascii="Segoe UI" w:hAnsi="Segoe UI" w:cs="Segoe UI"/>
          <w:color w:val="0F1115"/>
          <w:highlight w:val="green"/>
          <w:shd w:val="clear" w:color="auto" w:fill="FFFFFF"/>
        </w:rPr>
        <w:t>Б.</w:t>
      </w:r>
      <w:r w:rsidR="00926E31" w:rsidRPr="00926E31">
        <w:rPr>
          <w:rStyle w:val="af"/>
          <w:rFonts w:ascii="Segoe UI" w:hAnsi="Segoe UI" w:cs="Segoe UI"/>
          <w:b w:val="0"/>
          <w:bCs w:val="0"/>
          <w:color w:val="0F1115"/>
          <w:highlight w:val="green"/>
          <w:shd w:val="clear" w:color="auto" w:fill="FFFFFF"/>
        </w:rPr>
        <w:t xml:space="preserve"> </w:t>
      </w:r>
      <w:r w:rsidR="00926E31" w:rsidRPr="00926E31">
        <w:rPr>
          <w:highlight w:val="green"/>
        </w:rPr>
        <w:t>Распределение первичных значений относительного прироста, без учета р</w:t>
      </w:r>
      <w:r w:rsidR="00926E31" w:rsidRPr="00926E31">
        <w:rPr>
          <w:highlight w:val="green"/>
        </w:rPr>
        <w:t>асстояния до последнего кольца</w:t>
      </w:r>
      <w:r w:rsidR="00926E31" w:rsidRPr="00926E31">
        <w:rPr>
          <w:highlight w:val="green"/>
        </w:rPr>
        <w:t xml:space="preserve">, как </w:t>
      </w:r>
      <w:proofErr w:type="spellStart"/>
      <w:r w:rsidR="00926E31" w:rsidRPr="00926E31">
        <w:rPr>
          <w:highlight w:val="green"/>
        </w:rPr>
        <w:t>ковариаты</w:t>
      </w:r>
      <w:proofErr w:type="spellEnd"/>
      <w:r w:rsidR="00926E31" w:rsidRPr="00926E31">
        <w:rPr>
          <w:highlight w:val="green"/>
        </w:rPr>
        <w:t>.</w:t>
      </w:r>
      <w:r w:rsidR="00926E31" w:rsidRPr="00926E31">
        <w:rPr>
          <w:highlight w:val="green"/>
        </w:rPr>
        <w:t xml:space="preserve"> </w:t>
      </w:r>
      <w:r w:rsidR="00926E31" w:rsidRPr="00926E31">
        <w:rPr>
          <w:b/>
          <w:bCs/>
          <w:highlight w:val="green"/>
        </w:rPr>
        <w:t>В.</w:t>
      </w:r>
      <w:r w:rsidR="00926E31" w:rsidRPr="00926E31">
        <w:rPr>
          <w:highlight w:val="green"/>
        </w:rPr>
        <w:t xml:space="preserve"> </w:t>
      </w:r>
      <w:r w:rsidRPr="00926E31">
        <w:rPr>
          <w:highlight w:val="green"/>
        </w:rPr>
        <w:t xml:space="preserve">Скорректированные средние значения, с учетом размера, как </w:t>
      </w:r>
      <w:proofErr w:type="spellStart"/>
      <w:r w:rsidRPr="00926E31">
        <w:rPr>
          <w:highlight w:val="green"/>
        </w:rPr>
        <w:t>ковариаты</w:t>
      </w:r>
      <w:proofErr w:type="spellEnd"/>
      <w:r w:rsidRPr="00926E31">
        <w:rPr>
          <w:highlight w:val="green"/>
        </w:rPr>
        <w:t xml:space="preserve">, предсказание моделью. Усы </w:t>
      </w:r>
      <w:r w:rsidRPr="00926E31">
        <w:rPr>
          <w:highlight w:val="green"/>
        </w:rPr>
        <w:t>отражают 95% доверительный интервал (при среднем значении размера). Над диаграммой приведены результаты пост-</w:t>
      </w:r>
      <w:proofErr w:type="spellStart"/>
      <w:r w:rsidRPr="00926E31">
        <w:rPr>
          <w:highlight w:val="green"/>
        </w:rPr>
        <w:t>хок</w:t>
      </w:r>
      <w:proofErr w:type="spellEnd"/>
      <w:r w:rsidRPr="00926E31">
        <w:rPr>
          <w:highlight w:val="green"/>
        </w:rPr>
        <w:t xml:space="preserve"> сравнений с помощью критерия Вальда.  </w:t>
      </w:r>
      <w:r w:rsidR="00926E31" w:rsidRPr="00926E31">
        <w:rPr>
          <w:highlight w:val="green"/>
        </w:rPr>
        <w:t>Формула над рисунками отражает структуру подобранной модели.</w:t>
      </w:r>
      <w:r>
        <w:t xml:space="preserve"> </w:t>
      </w:r>
    </w:p>
    <w:p w14:paraId="524E8B6C" w14:textId="77777777" w:rsidR="006C5BBB" w:rsidRPr="002901B6" w:rsidRDefault="006C5BBB"/>
    <w:sectPr w:rsidR="006C5BBB" w:rsidRPr="002901B6">
      <w:pgSz w:w="11906" w:h="16838"/>
      <w:pgMar w:top="1440" w:right="1800" w:bottom="1440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33E26" w14:textId="77777777" w:rsidR="005D09DD" w:rsidRDefault="005D09DD">
      <w:pPr>
        <w:spacing w:line="240" w:lineRule="auto"/>
      </w:pPr>
      <w:r>
        <w:separator/>
      </w:r>
    </w:p>
  </w:endnote>
  <w:endnote w:type="continuationSeparator" w:id="0">
    <w:p w14:paraId="6F674EDB" w14:textId="77777777" w:rsidR="005D09DD" w:rsidRDefault="005D09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ECD93" w14:textId="77777777" w:rsidR="005D09DD" w:rsidRDefault="005D09DD">
      <w:pPr>
        <w:spacing w:after="0"/>
      </w:pPr>
      <w:r>
        <w:separator/>
      </w:r>
    </w:p>
  </w:footnote>
  <w:footnote w:type="continuationSeparator" w:id="0">
    <w:p w14:paraId="167DED3D" w14:textId="77777777" w:rsidR="005D09DD" w:rsidRDefault="005D09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E45C18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901B6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D09DD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6C5BBB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6E31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8747F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5B4A05"/>
    <w:rsid w:val="3D2E204C"/>
    <w:rsid w:val="45403A0B"/>
    <w:rsid w:val="4B32292F"/>
    <w:rsid w:val="4DC82D45"/>
    <w:rsid w:val="50225E22"/>
    <w:rsid w:val="552E3A44"/>
    <w:rsid w:val="571A361F"/>
    <w:rsid w:val="64463DC8"/>
    <w:rsid w:val="6A8F5933"/>
    <w:rsid w:val="71511E5F"/>
    <w:rsid w:val="719F7B15"/>
    <w:rsid w:val="72E45C18"/>
    <w:rsid w:val="7DC0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8E4348"/>
  <w15:docId w15:val="{1EAA80AC-251F-48DE-9D9B-BD676838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2"/>
    <w:qFormat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21">
    <w:name w:val="heading 2"/>
    <w:basedOn w:val="a1"/>
    <w:next w:val="a2"/>
    <w:link w:val="22"/>
    <w:semiHidden/>
    <w:unhideWhenUsed/>
    <w:qFormat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i/>
      <w:color w:val="000000" w:themeColor="text1"/>
      <w:szCs w:val="24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2"/>
    <w:semiHidden/>
    <w:unhideWhenUsed/>
    <w:qFormat/>
    <w:pPr>
      <w:keepNext/>
      <w:keepLines/>
      <w:spacing w:before="200" w:after="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pacing w:before="180" w:after="180"/>
      <w:jc w:val="both"/>
    </w:pPr>
    <w:rPr>
      <w:rFonts w:eastAsiaTheme="minorEastAsia"/>
      <w:szCs w:val="24"/>
    </w:rPr>
  </w:style>
  <w:style w:type="character" w:styleId="HTML">
    <w:name w:val="HTML Sample"/>
    <w:basedOn w:val="a3"/>
    <w:autoRedefine/>
    <w:qFormat/>
    <w:rPr>
      <w:rFonts w:ascii="Courier New" w:hAnsi="Courier New" w:cs="Courier New"/>
    </w:rPr>
  </w:style>
  <w:style w:type="character" w:styleId="a7">
    <w:name w:val="FollowedHyperlink"/>
    <w:basedOn w:val="a3"/>
    <w:autoRedefine/>
    <w:qFormat/>
    <w:rPr>
      <w:color w:val="800080"/>
      <w:u w:val="single"/>
    </w:rPr>
  </w:style>
  <w:style w:type="character" w:styleId="a8">
    <w:name w:val="footnote reference"/>
    <w:basedOn w:val="a3"/>
    <w:autoRedefine/>
    <w:qFormat/>
    <w:rPr>
      <w:vertAlign w:val="superscript"/>
    </w:rPr>
  </w:style>
  <w:style w:type="character" w:styleId="a9">
    <w:name w:val="annotation reference"/>
    <w:basedOn w:val="a3"/>
    <w:autoRedefine/>
    <w:qFormat/>
    <w:rPr>
      <w:sz w:val="21"/>
      <w:szCs w:val="21"/>
    </w:rPr>
  </w:style>
  <w:style w:type="character" w:styleId="aa">
    <w:name w:val="endnote reference"/>
    <w:basedOn w:val="a3"/>
    <w:autoRedefine/>
    <w:qFormat/>
    <w:rPr>
      <w:vertAlign w:val="superscript"/>
    </w:rPr>
  </w:style>
  <w:style w:type="character" w:styleId="HTML0">
    <w:name w:val="HTML Acronym"/>
    <w:basedOn w:val="a3"/>
    <w:autoRedefine/>
    <w:qFormat/>
  </w:style>
  <w:style w:type="character" w:styleId="ab">
    <w:name w:val="Emphasis"/>
    <w:basedOn w:val="a3"/>
    <w:autoRedefine/>
    <w:qFormat/>
    <w:rPr>
      <w:i/>
      <w:iCs/>
    </w:rPr>
  </w:style>
  <w:style w:type="character" w:styleId="ac">
    <w:name w:val="Hyperlink"/>
    <w:basedOn w:val="a3"/>
    <w:autoRedefine/>
    <w:qFormat/>
    <w:rPr>
      <w:color w:val="0000FF"/>
      <w:u w:val="single"/>
    </w:rPr>
  </w:style>
  <w:style w:type="character" w:styleId="HTML1">
    <w:name w:val="HTML Keyboard"/>
    <w:basedOn w:val="a3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3"/>
    <w:autoRedefine/>
    <w:qFormat/>
    <w:rPr>
      <w:rFonts w:ascii="Courier New" w:hAnsi="Courier New" w:cs="Courier New"/>
      <w:sz w:val="20"/>
      <w:szCs w:val="20"/>
    </w:rPr>
  </w:style>
  <w:style w:type="character" w:styleId="ad">
    <w:name w:val="page number"/>
    <w:basedOn w:val="a3"/>
    <w:autoRedefine/>
    <w:qFormat/>
  </w:style>
  <w:style w:type="character" w:styleId="ae">
    <w:name w:val="line number"/>
    <w:basedOn w:val="a3"/>
    <w:qFormat/>
  </w:style>
  <w:style w:type="character" w:styleId="HTML3">
    <w:name w:val="HTML Definition"/>
    <w:basedOn w:val="a3"/>
    <w:autoRedefine/>
    <w:qFormat/>
    <w:rPr>
      <w:i/>
      <w:iCs/>
    </w:rPr>
  </w:style>
  <w:style w:type="character" w:styleId="HTML4">
    <w:name w:val="HTML Variable"/>
    <w:basedOn w:val="a3"/>
    <w:qFormat/>
    <w:rPr>
      <w:i/>
      <w:iCs/>
    </w:rPr>
  </w:style>
  <w:style w:type="character" w:styleId="HTML5">
    <w:name w:val="HTML Typewriter"/>
    <w:basedOn w:val="a3"/>
    <w:autoRedefine/>
    <w:qFormat/>
    <w:rPr>
      <w:rFonts w:ascii="Courier New" w:hAnsi="Courier New" w:cs="Courier New"/>
      <w:sz w:val="20"/>
      <w:szCs w:val="20"/>
    </w:rPr>
  </w:style>
  <w:style w:type="character" w:styleId="af">
    <w:name w:val="Strong"/>
    <w:basedOn w:val="a3"/>
    <w:uiPriority w:val="22"/>
    <w:qFormat/>
    <w:rPr>
      <w:b/>
      <w:bCs/>
    </w:rPr>
  </w:style>
  <w:style w:type="character" w:styleId="HTML6">
    <w:name w:val="HTML Cite"/>
    <w:basedOn w:val="a3"/>
    <w:autoRedefine/>
    <w:qFormat/>
    <w:rPr>
      <w:i/>
      <w:iCs/>
    </w:rPr>
  </w:style>
  <w:style w:type="paragraph" w:styleId="af0">
    <w:name w:val="Balloon Text"/>
    <w:basedOn w:val="a1"/>
    <w:autoRedefine/>
    <w:qFormat/>
    <w:rPr>
      <w:sz w:val="16"/>
      <w:szCs w:val="16"/>
    </w:rPr>
  </w:style>
  <w:style w:type="paragraph" w:styleId="52">
    <w:name w:val="List 5"/>
    <w:basedOn w:val="a1"/>
    <w:autoRedefine/>
    <w:qFormat/>
    <w:pPr>
      <w:ind w:left="1800" w:hanging="360"/>
    </w:pPr>
  </w:style>
  <w:style w:type="paragraph" w:styleId="af1">
    <w:name w:val="List Continue"/>
    <w:basedOn w:val="a1"/>
    <w:autoRedefine/>
    <w:qFormat/>
    <w:pPr>
      <w:spacing w:after="120"/>
      <w:ind w:left="360"/>
    </w:pPr>
  </w:style>
  <w:style w:type="paragraph" w:styleId="23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2">
    <w:name w:val="Closing"/>
    <w:basedOn w:val="a1"/>
    <w:autoRedefine/>
    <w:qFormat/>
    <w:pPr>
      <w:ind w:left="4320"/>
    </w:pPr>
  </w:style>
  <w:style w:type="paragraph" w:styleId="af3">
    <w:name w:val="Normal Indent"/>
    <w:basedOn w:val="a1"/>
    <w:autoRedefine/>
    <w:qFormat/>
    <w:pPr>
      <w:ind w:left="708"/>
    </w:pPr>
  </w:style>
  <w:style w:type="paragraph" w:styleId="24">
    <w:name w:val="envelope return"/>
    <w:basedOn w:val="a1"/>
    <w:qFormat/>
    <w:rPr>
      <w:rFonts w:ascii="Arial" w:hAnsi="Arial" w:cs="Arial"/>
      <w:sz w:val="20"/>
    </w:rPr>
  </w:style>
  <w:style w:type="paragraph" w:styleId="af4">
    <w:name w:val="Plain Text"/>
    <w:basedOn w:val="a1"/>
    <w:qFormat/>
    <w:rPr>
      <w:rFonts w:ascii="Courier New" w:hAnsi="Courier New" w:cs="Courier New"/>
      <w:sz w:val="20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5">
    <w:name w:val="endnote text"/>
    <w:basedOn w:val="a1"/>
    <w:qFormat/>
    <w:pPr>
      <w:snapToGrid w:val="0"/>
    </w:pPr>
  </w:style>
  <w:style w:type="paragraph" w:styleId="af6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7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8">
    <w:name w:val="annotation subject"/>
    <w:basedOn w:val="af7"/>
    <w:next w:val="af7"/>
    <w:qFormat/>
    <w:rPr>
      <w:b/>
      <w:bCs/>
    </w:rPr>
  </w:style>
  <w:style w:type="paragraph" w:styleId="af9">
    <w:name w:val="Document Map"/>
    <w:basedOn w:val="a1"/>
    <w:qFormat/>
    <w:pPr>
      <w:shd w:val="clear" w:color="auto" w:fill="000080"/>
    </w:pPr>
  </w:style>
  <w:style w:type="paragraph" w:styleId="afa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5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b">
    <w:name w:val="header"/>
    <w:basedOn w:val="a1"/>
    <w:qFormat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afc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91">
    <w:name w:val="index 9"/>
    <w:basedOn w:val="a1"/>
    <w:next w:val="a1"/>
    <w:qFormat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d">
    <w:name w:val="toa heading"/>
    <w:basedOn w:val="a1"/>
    <w:next w:val="a1"/>
    <w:qFormat/>
    <w:pPr>
      <w:spacing w:before="120"/>
    </w:pPr>
    <w:rPr>
      <w:rFonts w:ascii="Arial" w:hAnsi="Arial" w:cs="Arial"/>
      <w:sz w:val="24"/>
      <w:szCs w:val="24"/>
    </w:rPr>
  </w:style>
  <w:style w:type="paragraph" w:styleId="afe">
    <w:name w:val="index heading"/>
    <w:basedOn w:val="a1"/>
    <w:next w:val="10"/>
    <w:qFormat/>
    <w:rPr>
      <w:rFonts w:ascii="Arial" w:hAnsi="Arial" w:cs="Arial"/>
      <w:b/>
      <w:bCs/>
    </w:rPr>
  </w:style>
  <w:style w:type="paragraph" w:styleId="11">
    <w:name w:val="toc 1"/>
    <w:basedOn w:val="a1"/>
    <w:next w:val="a1"/>
    <w:qFormat/>
  </w:style>
  <w:style w:type="paragraph" w:styleId="aff">
    <w:name w:val="table of authorities"/>
    <w:basedOn w:val="a1"/>
    <w:next w:val="a1"/>
    <w:qFormat/>
    <w:pPr>
      <w:ind w:leftChars="200" w:left="420"/>
    </w:pPr>
  </w:style>
  <w:style w:type="paragraph" w:styleId="aff0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1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6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2">
    <w:name w:val="Note Heading"/>
    <w:basedOn w:val="a1"/>
    <w:next w:val="a1"/>
    <w:qFormat/>
  </w:style>
  <w:style w:type="paragraph" w:styleId="aff3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4">
    <w:name w:val="Body Text First Indent"/>
    <w:basedOn w:val="a2"/>
    <w:qFormat/>
    <w:pPr>
      <w:ind w:firstLine="210"/>
    </w:pPr>
  </w:style>
  <w:style w:type="paragraph" w:styleId="27">
    <w:name w:val="Body Text First Indent 2"/>
    <w:basedOn w:val="aff5"/>
    <w:qFormat/>
    <w:pPr>
      <w:ind w:firstLine="210"/>
    </w:pPr>
  </w:style>
  <w:style w:type="paragraph" w:styleId="aff5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0">
    <w:name w:val="List Bullet 2"/>
    <w:basedOn w:val="a1"/>
    <w:qFormat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6">
    <w:name w:val="Title"/>
    <w:basedOn w:val="a1"/>
    <w:next w:val="a2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ff7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8">
    <w:name w:val="List"/>
    <w:basedOn w:val="a1"/>
    <w:qFormat/>
    <w:pPr>
      <w:ind w:left="360" w:hanging="360"/>
    </w:pPr>
  </w:style>
  <w:style w:type="paragraph" w:styleId="aff9">
    <w:name w:val="Normal (Web)"/>
    <w:basedOn w:val="a1"/>
    <w:qFormat/>
    <w:rPr>
      <w:sz w:val="24"/>
      <w:szCs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8">
    <w:name w:val="Body Text Indent 2"/>
    <w:basedOn w:val="a1"/>
    <w:qFormat/>
    <w:pPr>
      <w:spacing w:after="120" w:line="480" w:lineRule="auto"/>
      <w:ind w:left="360"/>
    </w:pPr>
  </w:style>
  <w:style w:type="paragraph" w:styleId="affa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b">
    <w:name w:val="Signature"/>
    <w:basedOn w:val="a1"/>
    <w:qFormat/>
    <w:pPr>
      <w:ind w:left="4320"/>
    </w:pPr>
  </w:style>
  <w:style w:type="paragraph" w:styleId="affc">
    <w:name w:val="Salutation"/>
    <w:basedOn w:val="a1"/>
    <w:next w:val="a1"/>
    <w:qFormat/>
  </w:style>
  <w:style w:type="paragraph" w:styleId="29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qFormat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a">
    <w:name w:val="List 2"/>
    <w:basedOn w:val="a1"/>
    <w:qFormat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  <w:sz w:val="20"/>
    </w:rPr>
  </w:style>
  <w:style w:type="paragraph" w:styleId="affd">
    <w:name w:val="Block Text"/>
    <w:basedOn w:val="a1"/>
    <w:qFormat/>
    <w:pPr>
      <w:spacing w:after="120"/>
      <w:ind w:left="1440" w:right="1440"/>
    </w:pPr>
  </w:style>
  <w:style w:type="paragraph" w:styleId="affe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f">
    <w:name w:val="E-mail Signature"/>
    <w:basedOn w:val="a1"/>
    <w:qFormat/>
  </w:style>
  <w:style w:type="table" w:styleId="2b">
    <w:name w:val="Table Colorful 2"/>
    <w:basedOn w:val="a4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Grid 2"/>
    <w:basedOn w:val="a4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4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Theme"/>
    <w:basedOn w:val="a4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4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4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4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4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3D effects 2"/>
    <w:basedOn w:val="a4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4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4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Grid"/>
    <w:basedOn w:val="a4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4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4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4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4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4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4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2">
    <w:name w:val="Table Professional"/>
    <w:basedOn w:val="a4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3">
    <w:name w:val="Table Elegant"/>
    <w:basedOn w:val="a4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4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4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4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4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4">
    <w:name w:val="Table Contemporary"/>
    <w:basedOn w:val="a4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4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4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4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4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4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4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4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4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4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4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4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f">
    <w:name w:val="Table Classic 2"/>
    <w:basedOn w:val="a4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4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4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4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Simple 2"/>
    <w:basedOn w:val="a4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4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4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4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2">
    <w:name w:val="Заголовок 2 Знак"/>
    <w:basedOn w:val="a3"/>
    <w:link w:val="21"/>
    <w:uiPriority w:val="9"/>
    <w:qFormat/>
    <w:rPr>
      <w:rFonts w:asciiTheme="majorHAnsi" w:eastAsiaTheme="majorEastAsia" w:hAnsiTheme="majorHAnsi" w:cstheme="majorBidi"/>
      <w:b/>
      <w:color w:val="5B9BD5" w:themeColor="accent1"/>
      <w:sz w:val="28"/>
      <w:szCs w:val="28"/>
      <w:lang w:val="ru-RU" w:eastAsia="en-US"/>
    </w:rPr>
  </w:style>
  <w:style w:type="character" w:customStyle="1" w:styleId="a6">
    <w:name w:val="Основной текст Знак"/>
    <w:basedOn w:val="a3"/>
    <w:link w:val="a2"/>
    <w:qFormat/>
    <w:rPr>
      <w:rFonts w:asciiTheme="minorHAnsi" w:eastAsiaTheme="minorEastAsia" w:hAnsiTheme="minorHAnsi"/>
      <w:szCs w:val="24"/>
      <w:lang w:eastAsia="en-US"/>
    </w:rPr>
  </w:style>
  <w:style w:type="paragraph" w:customStyle="1" w:styleId="ImageCaption">
    <w:name w:val="Image Caption"/>
    <w:basedOn w:val="af6"/>
    <w:qFormat/>
    <w:pPr>
      <w:jc w:val="both"/>
    </w:pPr>
    <w:rPr>
      <w:rFonts w:asciiTheme="minorHAnsi" w:eastAsiaTheme="minorEastAsia" w:hAnsiTheme="minorHAnsi" w:cstheme="minorBidi"/>
      <w:i/>
      <w:szCs w:val="24"/>
    </w:rPr>
  </w:style>
  <w:style w:type="paragraph" w:customStyle="1" w:styleId="Table">
    <w:name w:val="Table"/>
    <w:basedOn w:val="a1"/>
    <w:next w:val="a1"/>
    <w:qFormat/>
    <w:pPr>
      <w:spacing w:before="36" w:after="36"/>
    </w:pPr>
    <w:rPr>
      <w:rFonts w:ascii="Times New Roman" w:eastAsiaTheme="minorEastAsia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google1599737165</dc:creator>
  <cp:lastModifiedBy>Vadim Khaitov</cp:lastModifiedBy>
  <cp:revision>2</cp:revision>
  <dcterms:created xsi:type="dcterms:W3CDTF">2025-11-25T13:49:00Z</dcterms:created>
  <dcterms:modified xsi:type="dcterms:W3CDTF">2025-11-29T21:38:00Z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223962485F574EE58E78BC49ED4409CC_11</vt:lpwstr>
  </property>
</Properties>
</file>