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размерная-структура"/>
    <w:p>
      <w:pPr>
        <w:pStyle w:val="Heading2"/>
      </w:pPr>
      <w:r>
        <w:t xml:space="preserve">Размерная структура</w:t>
      </w:r>
    </w:p>
    <w:p>
      <w:pPr>
        <w:pStyle w:val="FirstParagraph"/>
      </w:pPr>
      <w:r>
        <w:t xml:space="preserve">Вот средине и размах варьирования по каждому году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</w:t>
            </w:r>
          </w:p>
        </w:tc>
      </w:tr>
    </w:tbl>
    <w:p>
      <w:pPr>
        <w:pStyle w:val="BodyText"/>
      </w:pPr>
      <w:r>
        <w:t xml:space="preserve">По всему материалу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Mean_L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</w:t>
            </w:r>
          </w:p>
        </w:tc>
      </w:tr>
    </w:tbl>
    <w:p>
      <w:pPr>
        <w:pStyle w:val="BodyText"/>
      </w:pPr>
      <w:r>
        <w:t xml:space="preserve">Модель для описания многолетней и сезонной динамики размеров</w:t>
      </w:r>
    </w:p>
    <w:p>
      <w:pPr>
        <w:pStyle w:val="SourceCode"/>
      </w:pPr>
      <w:r>
        <w:rPr>
          <w:rStyle w:val="NormalTok"/>
        </w:rPr>
        <w:t xml:space="preserve">Model_L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(DOY,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gadus)</w:t>
      </w:r>
    </w:p>
    <w:p>
      <w:pPr>
        <w:pStyle w:val="FirstParagraph"/>
      </w:pPr>
      <w:r>
        <w:t xml:space="preserve">Вот результаты подбора этой модели.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adus_long_term_dynamics_10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43" w:name="общее-описание-рациона"/>
    <w:p>
      <w:pPr>
        <w:pStyle w:val="Heading1"/>
      </w:pPr>
      <w:r>
        <w:t xml:space="preserve">Общее описание рациона</w:t>
      </w:r>
    </w:p>
    <w:bookmarkStart w:id="24" w:name="таблица-с-характеристиками-питания"/>
    <w:p>
      <w:pPr>
        <w:pStyle w:val="Heading2"/>
      </w:pPr>
      <w:r>
        <w:t xml:space="preserve">Таблица с характеристиками питания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86"/>
        <w:gridCol w:w="1450"/>
        <w:gridCol w:w="214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proportion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Nereidinae (Nereis pelagica + Alitta virens)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Anonyx nugax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Crustacea remains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Eualus gaimardii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Hyas araneus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Mysidacea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Pandalus montagui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Paroediceros propinguus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Pagurus pubescens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Rhachotropis 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Sclerocrangon boreas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Sabinea septemcarinata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Ophiopholis 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Ophiura robusta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Ekmania barthii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Agonus cataphractus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Ammodytes 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Cyclopterus lumpus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Clupea pallasii 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15.28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Gasterosteus aculeatus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32.84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Gadus morhuamarisalbi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5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Limanda limanda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Lumpenus sp.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</w:t>
            </w:r>
          </w:p>
        </w:tc>
      </w:tr>
      <w:tr>
        <w:trPr>
          <w:trHeight w:val="61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Myoxocephalus scorpuis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Mallotus villosus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Pholis gunnelus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572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 remains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</w:tbl>
    <w:p>
      <w:pPr>
        <w:pStyle w:val="FirstParagraph"/>
      </w:pPr>
      <w:r>
        <w:t xml:space="preserve">Таблица с описанием долей для отдельных групп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1"/>
        <w:gridCol w:w="1450"/>
        <w:gridCol w:w="214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proportion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Polychaeta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11.63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Crustacea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Ophiuroidea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Holothuroidea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Pisces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82.54</w:t>
            </w:r>
          </w:p>
        </w:tc>
      </w:tr>
    </w:tbl>
    <w:bookmarkEnd w:id="24"/>
    <w:bookmarkStart w:id="28" w:name="динамика-пустых-желудков"/>
    <w:p>
      <w:pPr>
        <w:pStyle w:val="Heading2"/>
      </w:pPr>
      <w:r>
        <w:t xml:space="preserve">Динамика пустых желудков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Chi.sq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Gadus_long_term_dynamics_10_files/figure-docx/unnamed-chunk-2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X8b172372db1449ccca8e4af9cf632c34c24aec1"/>
    <w:p>
      <w:pPr>
        <w:pStyle w:val="Heading2"/>
      </w:pPr>
      <w:r>
        <w:t xml:space="preserve">Динамика веса пищевого комка в заполненных желудках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adus_long_term_dynamics_10_files/figure-docx/unnamed-chunk-31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42" w:name="динамика-встречаемости-пищевых-объектов"/>
    <w:p>
      <w:pPr>
        <w:pStyle w:val="Heading2"/>
      </w:pPr>
      <w:r>
        <w:t xml:space="preserve">Динамика встречаемости пищевых объектов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Smoother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Chi.sq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s(Year):SpeciesG.aculeatus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s(Year):SpeciesC.pallasii_marisalbi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s(Year):SpeciesFish_eggs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s(Year):SpeciesO.aculeata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s(Year):SpeciesNereis_spp.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s(DOY):SpeciesG.aculeatus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s(DOY):SpeciesC.pallasii_marisalbi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s(DOY):SpeciesFish_eggs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s(DOY):SpeciesO.aculeata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s(DOY):SpeciesNereis_spp.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s(L):SpeciesG.aculeatus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s(L):SpeciesC.pallasii_marisalbi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s(L):SpeciesFish_eggs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s(L):SpeciesO.aculeata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s(L):SpeciesNereis_spp.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Gadus_long_term_dynamics_10_files/figure-docx/unnamed-chunk-43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Gadus_long_term_dynamics_10_files/figure-docx/unnamed-chunk-4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Gadus_long_term_dynamics_10_files/figure-docx/unnamed-chunk-45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2025-12-15T18:10:22Z</dcterms:created>
  <dcterms:modified xsi:type="dcterms:W3CDTF">2025-12-15T18:10:22Z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