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F6C86">
      <w:pPr>
        <w:pStyle w:val="17"/>
      </w:pPr>
      <w:r>
        <w:t>Многолетняя динамика таксономического состава поселения мидий на фукоидах и на мидиевых банках летом 2025 года</w:t>
      </w:r>
    </w:p>
    <w:p w14:paraId="42182303">
      <w:pPr>
        <w:pStyle w:val="24"/>
      </w:pPr>
      <w:r>
        <w:t>В. М. Хайтов</w:t>
      </w:r>
    </w:p>
    <w:p w14:paraId="35FAA096">
      <w:pPr>
        <w:pStyle w:val="25"/>
      </w:pPr>
      <w:r>
        <w:rPr>
          <w:b/>
          <w:bCs/>
        </w:rPr>
        <w:t>Хайтов В. М. Многолетняя динамика таксономического состава поселения мидий на фукоидах и на мидиевых банках летом 2025 года</w:t>
      </w:r>
      <w:r>
        <w:t xml:space="preserve"> // Толмачева Е. Л. (ред.) Летопись природы Кандалакшского заповедника за 2025 год (ежегодный отчет). Кандалакша. Т.1 (Летопись природы Кандалакшского заповедника, кн. ++)</w:t>
      </w:r>
    </w:p>
    <w:p w14:paraId="166E71C6">
      <w:pPr>
        <w:pStyle w:val="25"/>
      </w:pPr>
      <w:r>
        <w:t xml:space="preserve">Рассматриваются данные по соотношению численностей мидий двух морфотипов, соответствующих </w:t>
      </w:r>
      <w:r>
        <w:rPr>
          <w:i/>
          <w:iCs/>
        </w:rPr>
        <w:t>M.edulis</w:t>
      </w:r>
      <w:r>
        <w:t xml:space="preserve"> и </w:t>
      </w:r>
      <w:r>
        <w:rPr>
          <w:i/>
          <w:iCs/>
        </w:rPr>
        <w:t>M.trossulus</w:t>
      </w:r>
      <w:r>
        <w:t>, в поселениях на фукоидах и на мидиевых банках.</w:t>
      </w:r>
    </w:p>
    <w:p w14:paraId="63AA96F0">
      <w:pPr>
        <w:pStyle w:val="25"/>
      </w:pPr>
      <w:r>
        <w:rPr>
          <w:b/>
          <w:bCs/>
        </w:rPr>
        <w:t>Khaitov V.M., Long-term dynamics of the taxonomic composition of mussel settlements on fucoids and on mussel beds in the summer of 2025</w:t>
      </w:r>
      <w:r>
        <w:t xml:space="preserve"> // Tolmacheva E. L. (ed.) The Chronicle of Nature by the Kandalaksha Reserve for 2025 (Annual report). Kandalaksha. V.1. (The Chronicle of Nature by the Kandalaksha Reserve, Book N ++)</w:t>
      </w:r>
    </w:p>
    <w:p w14:paraId="0A142567">
      <w:pPr>
        <w:pStyle w:val="25"/>
      </w:pPr>
      <w:r>
        <w:t xml:space="preserve">Data on the abundance ratio of two mussel morphotypes, corresponding to </w:t>
      </w:r>
      <w:r>
        <w:rPr>
          <w:i/>
          <w:iCs/>
        </w:rPr>
        <w:t>M. edulis</w:t>
      </w:r>
      <w:r>
        <w:t xml:space="preserve"> and </w:t>
      </w:r>
      <w:r>
        <w:rPr>
          <w:i/>
          <w:iCs/>
        </w:rPr>
        <w:t>M. trossulus</w:t>
      </w:r>
      <w:r>
        <w:t>, in settlements on fucoids and on mussel beds are considered.</w:t>
      </w:r>
    </w:p>
    <w:p w14:paraId="3C0B7C46">
      <w:pPr>
        <w:pStyle w:val="3"/>
      </w:pPr>
      <w:r>
        <w:t>Мониторинг таксономического состава поселений мидий ведется с целью описания криптической инвазии тихоокеанской мидии (</w:t>
      </w:r>
      <w:r>
        <w:rPr>
          <w:i/>
          <w:iCs/>
        </w:rPr>
        <w:t>Mytilus trossulus</w:t>
      </w:r>
      <w:r>
        <w:t>) в акваторию вершины Кандалакшского залива Белого моря. Ежегодно, начиная с 2002 г., проводятся сборы мидий на литорали четырех островов, расположенных в вершине Кандалакшского залива Белого моря в том числе и на территории Кандалакшского Государственного Заповедника (</w:t>
      </w:r>
      <w:r>
        <w:fldChar w:fldCharType="begin"/>
      </w:r>
      <w:r>
        <w:instrText xml:space="preserve"> HYPERLINK \l "fig-Sites" \h </w:instrText>
      </w:r>
      <w:r>
        <w:fldChar w:fldCharType="separate"/>
      </w:r>
      <w:r>
        <w:rPr>
          <w:rStyle w:val="14"/>
        </w:rPr>
        <w:t>Рис. 1</w:t>
      </w:r>
      <w:r>
        <w:rPr>
          <w:rStyle w:val="14"/>
        </w:rPr>
        <w:fldChar w:fldCharType="end"/>
      </w:r>
      <w:r>
        <w:t xml:space="preserve">): О.Б.Лубчостров (N67.145842, E32.350530); О.Малый (N67.118464, E32.406149); О.Овечий (N67.090252, E32.460394); О.Ряжков (N67.019912, E32.571287). В каждой из этих точек ежегодно берется по 3-5 проб фукоидов, на которых представлены поселения мидий. У моллюсков, снятых с фукоидов, проводится анализ внутренней поверхности раковины, направленный на определение морфотипов, которые коррелируют с видами мидий. Выделяется два морфотипа: T-морфотип, характерен для </w:t>
      </w:r>
      <w:r>
        <w:rPr>
          <w:i/>
          <w:iCs/>
        </w:rPr>
        <w:t>M.trossulus</w:t>
      </w:r>
      <w:r>
        <w:t xml:space="preserve">, и E-морфотип, характерен для </w:t>
      </w:r>
      <w:r>
        <w:rPr>
          <w:i/>
          <w:iCs/>
        </w:rPr>
        <w:t>M.edulis</w:t>
      </w:r>
      <w:r>
        <w:t>. Подробно методика определения морфотипов описана в Летописи за 2020 год. Помимо этого в анализ включены пять мидиевых банок (</w:t>
      </w:r>
      <w:r>
        <w:fldChar w:fldCharType="begin"/>
      </w:r>
      <w:r>
        <w:instrText xml:space="preserve"> HYPERLINK \l "fig-Sites" \h </w:instrText>
      </w:r>
      <w:r>
        <w:fldChar w:fldCharType="separate"/>
      </w:r>
      <w:r>
        <w:rPr>
          <w:rStyle w:val="14"/>
        </w:rPr>
        <w:t>Рис. 1</w:t>
      </w:r>
      <w:r>
        <w:rPr>
          <w:rStyle w:val="14"/>
        </w:rPr>
        <w:fldChar w:fldCharType="end"/>
      </w:r>
      <w:r>
        <w:t>), на которых отслеживается размерно-возрастная структура (см. соответствующу главу данного тома Летописи). В количественных пробах, взтыз на этих банках, начиная с 2010 г., также производится оценка соотношения численностей двух морфотипов.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76ADC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CCAEA">
            <w:pPr>
              <w:pStyle w:val="23"/>
              <w:jc w:val="center"/>
            </w:pPr>
            <w:bookmarkStart w:id="0" w:name="fig-Sites"/>
            <w:r>
              <w:drawing>
                <wp:inline distT="0" distB="0" distL="114300" distR="114300">
                  <wp:extent cx="4587240" cy="3669665"/>
                  <wp:effectExtent l="0" t="0" r="0" b="0"/>
                  <wp:docPr id="2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FA5FB4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1: Точки мониторинга поселений мидий. Желтые круги - поселения мидий на фукоидах: 1 - о.Б.Лупчостров, 2 - о. Малый, 3 - о. Овечий, 4 - о. Ряжков. Синие квадраты - мидиевые банки, расположенные в Лувеньгском архипелаге и в Вороньей губе. Monitoring sites of mussel settlements. Yellow circles - mussel settlements on fucoids: 1 - Bolshoy Lupchostrov Island, 2 - Maly Island, 3 - Ovechy Island, 4 - Ryazhkov Island. Blue squares - mussel beds located in the Luvenga Archipelago and in Voronya Bay.</w:t>
            </w:r>
          </w:p>
          <w:bookmarkEnd w:id="0"/>
        </w:tc>
      </w:tr>
    </w:tbl>
    <w:p w14:paraId="2BD9732A">
      <w:pPr>
        <w:pStyle w:val="3"/>
      </w:pPr>
      <w:r>
        <w:t xml:space="preserve">Количество моллюсков двух морфотипов, собранных в пробах 2025 г. на фукоидах, приведено в </w:t>
      </w:r>
      <w:r>
        <w:fldChar w:fldCharType="begin"/>
      </w:r>
      <w:r>
        <w:instrText xml:space="preserve"> HYPERLINK \l "tbl-Fucales" \h </w:instrText>
      </w:r>
      <w:r>
        <w:fldChar w:fldCharType="separate"/>
      </w:r>
      <w:r>
        <w:rPr>
          <w:rStyle w:val="14"/>
        </w:rPr>
        <w:t>Табл. 1</w:t>
      </w:r>
      <w:r>
        <w:rPr>
          <w:rStyle w:val="14"/>
        </w:rPr>
        <w:fldChar w:fldCharType="end"/>
      </w:r>
      <w:r>
        <w:t xml:space="preserve">. Аналогичные данные для проб на мидиевых банках, приводятся в </w:t>
      </w:r>
      <w:r>
        <w:fldChar w:fldCharType="begin"/>
      </w:r>
      <w:r>
        <w:instrText xml:space="preserve"> HYPERLINK \l "tbl-Bank" \h </w:instrText>
      </w:r>
      <w:r>
        <w:fldChar w:fldCharType="separate"/>
      </w:r>
      <w:r>
        <w:rPr>
          <w:rStyle w:val="14"/>
        </w:rPr>
        <w:t>Табл. 2</w:t>
      </w:r>
      <w:r>
        <w:rPr>
          <w:rStyle w:val="14"/>
        </w:rPr>
        <w:fldChar w:fldCharType="end"/>
      </w:r>
      <w:r>
        <w:t>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0899C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8059E">
            <w:pPr>
              <w:spacing w:before="200"/>
              <w:jc w:val="left"/>
            </w:pPr>
            <w:bookmarkStart w:id="1" w:name="tbl-Fucales"/>
            <w:r>
              <w:rPr>
                <w:b/>
                <w:bCs/>
              </w:rPr>
              <w:t>Таблица</w:t>
            </w:r>
            <w:r>
              <w:t> 1: Соотношение численностей T- и E-морфотипов в пробах на фукоидах в 2025 г. Abundance of T- and E-morfotypes in samples from fucales in 2025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7"/>
              <w:gridCol w:w="1648"/>
              <w:gridCol w:w="884"/>
              <w:gridCol w:w="2833"/>
              <w:gridCol w:w="2842"/>
            </w:tblGrid>
            <w:tr w14:paraId="40BDC3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4852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Год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9AF8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Место сбора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6E46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Проба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DBE05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Количество мидий T-морфотипа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F8395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Количество мидий E-морфотипа</w:t>
                  </w:r>
                </w:p>
              </w:tc>
            </w:tr>
            <w:tr w14:paraId="64626C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DA34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1F67F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Б. Лубчостров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BE17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FA8B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39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6749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33</w:t>
                  </w:r>
                </w:p>
              </w:tc>
            </w:tr>
            <w:tr w14:paraId="5C665A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0B54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7ACBE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Б. Лубчостров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2F7B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C6744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9914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</w:t>
                  </w:r>
                </w:p>
              </w:tc>
            </w:tr>
            <w:tr w14:paraId="12D9B6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B15A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260B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Б. Лубчостров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26F0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0D298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CF56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19</w:t>
                  </w:r>
                </w:p>
              </w:tc>
            </w:tr>
            <w:tr w14:paraId="7D45A3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FD91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DA0A4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Б. Лубчостров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04BD1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076B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7005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</w:tr>
            <w:tr w14:paraId="17DC8FF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4F75D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4D32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Б. Лубчостров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B023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78D3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781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23</w:t>
                  </w:r>
                </w:p>
              </w:tc>
            </w:tr>
            <w:tr w14:paraId="390486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1F66C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36F0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Малый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1033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5FD68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1CC5B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24</w:t>
                  </w:r>
                </w:p>
              </w:tc>
            </w:tr>
            <w:tr w14:paraId="7A0C0B8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8D7D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C8FE1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Малый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71A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94A3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96B9A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64</w:t>
                  </w:r>
                </w:p>
              </w:tc>
            </w:tr>
            <w:tr w14:paraId="53E3FB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082FF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89C3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Малый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8E6E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A960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DF21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32</w:t>
                  </w:r>
                </w:p>
              </w:tc>
            </w:tr>
            <w:tr w14:paraId="3C5DA4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EE73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946D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Малый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C594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70F0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0B4F5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59</w:t>
                  </w:r>
                </w:p>
              </w:tc>
            </w:tr>
            <w:tr w14:paraId="7D83217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FFB39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4EDD8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Малый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B265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83E80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E5D5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32</w:t>
                  </w:r>
                </w:p>
              </w:tc>
            </w:tr>
            <w:tr w14:paraId="17C51EF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4170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D32F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Овечий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749E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8A00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756F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</w:t>
                  </w:r>
                </w:p>
              </w:tc>
            </w:tr>
            <w:tr w14:paraId="7764E67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68F8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C1CC9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Овечий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1225F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F2077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DBD4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24</w:t>
                  </w:r>
                </w:p>
              </w:tc>
            </w:tr>
            <w:tr w14:paraId="12BDC04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B9D5F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4D1E4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Овечий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1C19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6D94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7DAB3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93</w:t>
                  </w:r>
                </w:p>
              </w:tc>
            </w:tr>
            <w:tr w14:paraId="7E09D1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D46D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3ADCE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Овечий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A226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7B3B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9125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25</w:t>
                  </w:r>
                </w:p>
              </w:tc>
            </w:tr>
            <w:tr w14:paraId="3E39AA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539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4B65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Овечий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AA64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f15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F6A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8123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32</w:t>
                  </w:r>
                </w:p>
              </w:tc>
            </w:tr>
            <w:tr w14:paraId="5F727B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6DC5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72059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Ряжков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51905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E7A64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8910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18</w:t>
                  </w:r>
                </w:p>
              </w:tc>
            </w:tr>
            <w:tr w14:paraId="1F079AE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2553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41D4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Ряжков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24BD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9A559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235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</w:tr>
            <w:tr w14:paraId="70DE57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F282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9394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о. Ряжков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D1D72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79B2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B5CDB1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</w:tr>
            <w:bookmarkEnd w:id="1"/>
          </w:tbl>
          <w:p w14:paraId="3121B710"/>
        </w:tc>
      </w:tr>
    </w:tbl>
    <w:p w14:paraId="3C086635">
      <w:r>
        <w:br w:type="page"/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71E7F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5088B">
            <w:pPr>
              <w:spacing w:before="200"/>
              <w:jc w:val="left"/>
            </w:pPr>
            <w:bookmarkStart w:id="2" w:name="tbl-Bank"/>
            <w:r>
              <w:rPr>
                <w:b/>
                <w:bCs/>
              </w:rPr>
              <w:t>Таблица</w:t>
            </w:r>
            <w:r>
              <w:t> 2: Соотношение численностей T- и E-морфотипов в пробах на мидиевых банках в 2025 г. Abundance of T- and E-morfotypes in samples from mussel beds in 2025</w:t>
            </w:r>
          </w:p>
          <w:tbl>
            <w:tblPr>
              <w:tblStyle w:val="10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7"/>
              <w:gridCol w:w="1638"/>
              <w:gridCol w:w="884"/>
              <w:gridCol w:w="2833"/>
              <w:gridCol w:w="2842"/>
            </w:tblGrid>
            <w:tr w14:paraId="0402B60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tblHeader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17E87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Год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03931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Мидиевая банка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36C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Проба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7C3C1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Количество мидий T-морфотипа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E02B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Количество мидий E-морфотипа</w:t>
                  </w:r>
                </w:p>
              </w:tc>
            </w:tr>
            <w:tr w14:paraId="0527FCC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666666" w:sz="12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6CF03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29D20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mat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0BA2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1A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10CB5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45</w:t>
                  </w:r>
                </w:p>
              </w:tc>
              <w:tc>
                <w:tcPr>
                  <w:tcBorders>
                    <w:top w:val="single" w:color="666666" w:sz="12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F0D88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29</w:t>
                  </w:r>
                </w:p>
              </w:tc>
            </w:tr>
            <w:tr w14:paraId="074C592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86C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EBB9D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mat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9C64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B861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FEE3D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30</w:t>
                  </w:r>
                </w:p>
              </w:tc>
            </w:tr>
            <w:tr w14:paraId="5CB92D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8CD0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05FE0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mat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E82B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A0C60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66C1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37</w:t>
                  </w:r>
                </w:p>
              </w:tc>
            </w:tr>
            <w:tr w14:paraId="164D3C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688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6853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mat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98D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61ED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19C48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</w:tr>
            <w:tr w14:paraId="56E3A43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BBBE7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9962A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mat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09F77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9E98E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6AFC7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46</w:t>
                  </w:r>
                </w:p>
              </w:tc>
            </w:tr>
            <w:tr w14:paraId="6BF9CA4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29824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C3E25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mat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EF40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E89A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823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55</w:t>
                  </w:r>
                </w:p>
              </w:tc>
            </w:tr>
            <w:tr w14:paraId="7DFDC8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0DCE4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24C0DD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korg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8D7C6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D0B8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3B42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64</w:t>
                  </w:r>
                </w:p>
              </w:tc>
            </w:tr>
            <w:tr w14:paraId="71175B3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F1758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9A94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korg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4572D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F0BF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B18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53</w:t>
                  </w:r>
                </w:p>
              </w:tc>
            </w:tr>
            <w:tr w14:paraId="35768DC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6A692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B8AD9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korg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245F6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8ED7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215D5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83</w:t>
                  </w:r>
                </w:p>
              </w:tc>
            </w:tr>
            <w:tr w14:paraId="19CD2E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06856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63BA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korg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E6F35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3FCB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99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F03C2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74</w:t>
                  </w:r>
                </w:p>
              </w:tc>
            </w:tr>
            <w:tr w14:paraId="08AED75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6B149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43CBC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korg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22221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4183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326E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</w:t>
                  </w:r>
                </w:p>
              </w:tc>
            </w:tr>
            <w:tr w14:paraId="3886900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5377A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7C91C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korg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7E979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3317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102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1991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35</w:t>
                  </w:r>
                </w:p>
              </w:tc>
            </w:tr>
            <w:tr w14:paraId="1AEE423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0C73C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5F007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5D4F7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7FA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E4D7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</w:tr>
            <w:tr w14:paraId="73E4D8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CAA8F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8752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47AA3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28A4B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20F98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27</w:t>
                  </w:r>
                </w:p>
              </w:tc>
            </w:tr>
            <w:tr w14:paraId="0A3E1C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C812C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05EAE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53452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FF84C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40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9E7EE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</w:tr>
            <w:tr w14:paraId="7AE977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0B43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5ED4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BF115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248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47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B1E0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</w:tr>
            <w:tr w14:paraId="4275A2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59986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E8C87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000DB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DA91D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69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8C988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35</w:t>
                  </w:r>
                </w:p>
              </w:tc>
            </w:tr>
            <w:tr w14:paraId="334AB6D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D761C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4F246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C1FE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29E86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BC0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</w:tr>
            <w:tr w14:paraId="224C85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BC52B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E80E8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A687C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F852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B36CB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45</w:t>
                  </w:r>
                </w:p>
              </w:tc>
            </w:tr>
            <w:tr w14:paraId="2BC96A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31C2D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B01762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D30D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1FAF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25CD58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36</w:t>
                  </w:r>
                </w:p>
              </w:tc>
            </w:tr>
            <w:tr w14:paraId="5C2F51F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6BC7E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9ED59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EBA0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A0C9D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6377D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31</w:t>
                  </w:r>
                </w:p>
              </w:tc>
            </w:tr>
            <w:tr w14:paraId="2D980EA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9953B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7F111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C0DCB4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0DC6F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E9DDD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32</w:t>
                  </w:r>
                </w:p>
              </w:tc>
            </w:tr>
            <w:tr w14:paraId="6DE846B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60696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5A6D4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3C6051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AFC5C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8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AEC92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40</w:t>
                  </w:r>
                </w:p>
              </w:tc>
            </w:tr>
            <w:tr w14:paraId="78FA803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F8691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07F9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F2341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21557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39D0E3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34</w:t>
                  </w:r>
                </w:p>
              </w:tc>
            </w:tr>
            <w:tr w14:paraId="38528C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FF7AAC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0CA119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DD6DC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CDD8AA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66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48CF7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61</w:t>
                  </w:r>
                </w:p>
              </w:tc>
            </w:tr>
            <w:tr w14:paraId="3EC1717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68884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75D08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9237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F73AA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F3E103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27</w:t>
                  </w:r>
                </w:p>
              </w:tc>
            </w:tr>
            <w:tr w14:paraId="05F5177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B7CDC37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E659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23377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3A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3BCE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14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749A8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</w:t>
                  </w:r>
                </w:p>
              </w:tc>
            </w:tr>
            <w:tr w14:paraId="756626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F0A3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D8428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EEB10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9962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62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3660EE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48</w:t>
                  </w:r>
                </w:p>
              </w:tc>
            </w:tr>
            <w:tr w14:paraId="12AB7F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436EE6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AB99AF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AD5035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356D74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53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BEBEBE" w:sz="8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C5F04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27</w:t>
                  </w:r>
                </w:p>
              </w:tc>
            </w:tr>
            <w:tr w14:paraId="6DE044A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Borders>
                    <w:top w:val="single" w:color="BEBEBE" w:sz="8" w:space="0"/>
                    <w:left w:val="nil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54425D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2025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5973CB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vor4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50F5B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lef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6A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single" w:color="BEBEBE" w:sz="8" w:space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AA2460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43</w:t>
                  </w:r>
                </w:p>
              </w:tc>
              <w:tc>
                <w:tcPr>
                  <w:tcBorders>
                    <w:top w:val="single" w:color="BEBEBE" w:sz="8" w:space="0"/>
                    <w:left w:val="single" w:color="BEBEBE" w:sz="8" w:space="0"/>
                    <w:bottom w:val="single" w:color="666666" w:sz="12" w:space="0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5F3908">
                  <w:pPr>
                    <w:pBdr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</w:pBdr>
                    <w:spacing w:before="100" w:after="100" w:line="240" w:lineRule="auto"/>
                    <w:ind w:left="100" w:right="100" w:firstLine="0" w:firstLineChars="0"/>
                    <w:jc w:val="right"/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strike w:val="0"/>
                      <w:color w:val="000000"/>
                      <w:sz w:val="16"/>
                      <w:szCs w:val="16"/>
                      <w:u w:val="none"/>
                    </w:rPr>
                    <w:t>22</w:t>
                  </w:r>
                </w:p>
              </w:tc>
            </w:tr>
            <w:bookmarkEnd w:id="2"/>
          </w:tbl>
          <w:p w14:paraId="402F0C50"/>
        </w:tc>
      </w:tr>
    </w:tbl>
    <w:p w14:paraId="3E90A858">
      <w:pPr>
        <w:pStyle w:val="3"/>
      </w:pPr>
      <w:r>
        <w:t>Динамика соотношения обилий мидий двух морфотипов на отдельных точках мониторинга указывает на относительно независимые тренды, наблюдаемые на каждой точке в отдельности (</w:t>
      </w:r>
      <w:r>
        <w:fldChar w:fldCharType="begin"/>
      </w:r>
      <w:r>
        <w:instrText xml:space="preserve"> HYPERLINK \l "fig-Dynam-Separaed" \h </w:instrText>
      </w:r>
      <w:r>
        <w:fldChar w:fldCharType="separate"/>
      </w:r>
      <w:r>
        <w:rPr>
          <w:rStyle w:val="14"/>
        </w:rPr>
        <w:t>Рис. 2</w:t>
      </w:r>
      <w:r>
        <w:rPr>
          <w:rStyle w:val="14"/>
        </w:rPr>
        <w:fldChar w:fldCharType="end"/>
      </w:r>
      <w:r>
        <w:t xml:space="preserve">). При этом на большинстве точек монитоирнга поселения на фукоидах отслеживается снижение доли мидий T-морфотипа. Исключение составляет поселения на фукоидах на о. Ряжкове. На большинстве мидиевых банок наблюдается рост этого показателя. Исключение составляет банка </w:t>
      </w:r>
      <w:r>
        <w:rPr>
          <w:i/>
          <w:iCs/>
        </w:rPr>
        <w:t>vor4</w:t>
      </w:r>
      <w:r>
        <w:t>, где прослеживается тенденция к небольшому снижению частоты мидий T-морфотипа.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51D8D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BF30B">
            <w:pPr>
              <w:pStyle w:val="23"/>
              <w:jc w:val="center"/>
            </w:pPr>
            <w:bookmarkStart w:id="3" w:name="fig-Dynam-Separaed"/>
            <w:r>
              <w:drawing>
                <wp:inline distT="0" distB="0" distL="114300" distR="114300">
                  <wp:extent cx="6146800" cy="6146800"/>
                  <wp:effectExtent l="0" t="0" r="0" b="0"/>
                  <wp:docPr id="27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614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302EC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2: Многолетняя динамика доли мидий T-морфотипа в поселениях на фукоидах и мидиевых банках на отдельных точках мониторинга. Горизонтальная пунктирная линия отражает многолетнее среднее значение доли T-морфотипа по всем точкам мониторинга. Long-term dynamics of the proportion of T-morphotype mussels in settlements on fucoids and mussel beds at individual monitoring sites. The horizontal dashed line represents the long-term average proportion of the T-morphotype across all monitoring sites.</w:t>
            </w:r>
          </w:p>
          <w:bookmarkEnd w:id="3"/>
        </w:tc>
      </w:tr>
    </w:tbl>
    <w:p w14:paraId="11241565">
      <w:pPr>
        <w:pStyle w:val="3"/>
      </w:pPr>
      <w:r>
        <w:t xml:space="preserve">Многолетний общий тренд в динамике доли мидий T-морфотипа в двух биотопах демонстрирует </w:t>
      </w:r>
      <w:r>
        <w:fldChar w:fldCharType="begin"/>
      </w:r>
      <w:r>
        <w:instrText xml:space="preserve"> HYPERLINK \l "fig-Dynam" \h </w:instrText>
      </w:r>
      <w:r>
        <w:fldChar w:fldCharType="separate"/>
      </w:r>
      <w:r>
        <w:rPr>
          <w:rStyle w:val="14"/>
        </w:rPr>
        <w:t>Рис. 3</w:t>
      </w:r>
      <w:r>
        <w:rPr>
          <w:rStyle w:val="14"/>
        </w:rPr>
        <w:fldChar w:fldCharType="end"/>
      </w:r>
      <w:r>
        <w:t xml:space="preserve">. Полученные данные показывают, что частота Т-морфотипа на фукоидах в большинстве годов наблюдения была выше, чем в мидевых банках. В поселениях на фукоидах отмечены колебания частоты мидий T-морфотипа, но в 2024 и 2025 гг. явно выражена тенденция к снижению этого показателя. На мидевых банках отмечается медленный, но постоянно выраженный тренд к увеличению частоты T-морфотипа. Этот результат можно трактовать, как постепенное завоевание </w:t>
      </w:r>
      <w:r>
        <w:rPr>
          <w:i/>
          <w:iCs/>
        </w:rPr>
        <w:t>M.trossulus</w:t>
      </w:r>
      <w:r>
        <w:t xml:space="preserve"> не только талломов фукоидов, но и плотных поселений мидий на грунте. Отсутствие значимых различий в частоте мидий T-морфотипа между поселениями на фукоидах и на мидевых банках, которое наблюдалось как 2024, так и в 2025 гг. может трактоваться как результат снятия жесткого разделения экологических ниш между двумя видами мидий (Khaitov et al. 2025). Это может быть связано с общим снижением частоты </w:t>
      </w:r>
      <w:r>
        <w:rPr>
          <w:i/>
          <w:iCs/>
        </w:rPr>
        <w:t>M.trossulus</w:t>
      </w:r>
      <w:r>
        <w:t xml:space="preserve"> в регионе, которое особенно заметно на фукоидах. Возможной причиной роста частоты мидий T-морфотипа на мидевых банках может являться общее снижение покрытия мидиями поверхности банок (см. главу Летописи, посвщенную размерной структуре поселений мидий), что может обуславливать снижение интенсивности конкурентных отношений.</w:t>
      </w: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5"/>
      </w:tblGrid>
      <w:tr w14:paraId="4DA5A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B8CD0">
            <w:pPr>
              <w:pStyle w:val="23"/>
              <w:jc w:val="center"/>
            </w:pPr>
            <w:bookmarkStart w:id="4" w:name="fig-Dynam"/>
            <w:r>
              <w:drawing>
                <wp:inline distT="0" distB="0" distL="114300" distR="114300">
                  <wp:extent cx="6146800" cy="6146800"/>
                  <wp:effectExtent l="0" t="0" r="0" b="0"/>
                  <wp:docPr id="3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800" cy="614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34DC0B">
            <w:pPr>
              <w:spacing w:before="200"/>
              <w:jc w:val="left"/>
            </w:pPr>
            <w:r>
              <w:rPr>
                <w:b/>
                <w:bCs/>
              </w:rPr>
              <w:t>Рисунок</w:t>
            </w:r>
            <w:r>
              <w:t> 3: Динамика доли мидий T-морфотипа в двух биотопах в целом по всему изученному региону. Точки - первичные данные в отдельных пробах. Dynamics of the T-morphotype mussels proportions in two biotopes in the whole studied region. Dots - primary data in individual samples.</w:t>
            </w:r>
          </w:p>
          <w:bookmarkEnd w:id="4"/>
        </w:tc>
      </w:tr>
    </w:tbl>
    <w:p w14:paraId="79CEBB91">
      <w:bookmarkStart w:id="5" w:name="_GoBack"/>
      <w:bookmarkEnd w:id="5"/>
    </w:p>
    <w:sect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3129592A"/>
    <w:rsid w:val="49A9077F"/>
    <w:rsid w:val="507A1EFE"/>
    <w:rsid w:val="59A53F80"/>
    <w:rsid w:val="6D0A59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  <w:jc w:val="both"/>
    </w:pPr>
    <w:rPr>
      <w:rFonts w:asciiTheme="minorAscii" w:hAnsiTheme="minorAscii" w:eastAsiaTheme="minorEastAsia" w:cstheme="minorBidi"/>
      <w:sz w:val="20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1"/>
    </w:pPr>
    <w:rPr>
      <w:rFonts w:ascii="Times New Roman" w:hAnsi="Times New Roman" w:eastAsiaTheme="majorEastAsia" w:cstheme="majorBidi"/>
      <w:b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jc w:val="center"/>
      <w:outlineLvl w:val="2"/>
    </w:pPr>
    <w:rPr>
      <w:rFonts w:ascii="Times New Roman" w:hAnsi="Times New Roman" w:eastAsiaTheme="majorEastAsia" w:cstheme="majorBidi"/>
      <w:b/>
      <w:bCs/>
      <w:i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66"/>
    <w:qFormat/>
    <w:uiPriority w:val="0"/>
    <w:pPr>
      <w:spacing w:before="180" w:after="180"/>
      <w:ind w:firstLine="720"/>
      <w:jc w:val="both"/>
    </w:pPr>
    <w:rPr>
      <w:rFonts w:ascii="Times New Roman" w:hAnsi="Times New Roman" w:cs="Times New Roman"/>
      <w:sz w:val="20"/>
      <w:szCs w:val="20"/>
      <w:lang w:val="ru-RU"/>
    </w:rPr>
  </w:style>
  <w:style w:type="character" w:styleId="11">
    <w:name w:val="footnote reference"/>
    <w:basedOn w:val="12"/>
    <w:qFormat/>
    <w:uiPriority w:val="0"/>
    <w:rPr>
      <w:vertAlign w:val="superscript"/>
    </w:rPr>
  </w:style>
  <w:style w:type="character" w:customStyle="1" w:styleId="12">
    <w:name w:val="Название объекта Знак"/>
    <w:basedOn w:val="9"/>
    <w:link w:val="13"/>
    <w:qFormat/>
    <w:uiPriority w:val="0"/>
  </w:style>
  <w:style w:type="paragraph" w:styleId="13">
    <w:name w:val="caption"/>
    <w:basedOn w:val="1"/>
    <w:next w:val="1"/>
    <w:link w:val="12"/>
    <w:qFormat/>
    <w:uiPriority w:val="0"/>
    <w:pPr>
      <w:spacing w:after="120"/>
    </w:pPr>
    <w:rPr>
      <w:i/>
    </w:rPr>
  </w:style>
  <w:style w:type="character" w:styleId="14">
    <w:name w:val="Hyperlink"/>
    <w:basedOn w:val="12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footnote text"/>
    <w:basedOn w:val="1"/>
    <w:unhideWhenUsed/>
    <w:qFormat/>
    <w:uiPriority w:val="9"/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type="paragraph" w:styleId="18">
    <w:name w:val="Subtitle"/>
    <w:basedOn w:val="17"/>
    <w:next w:val="3"/>
    <w:qFormat/>
    <w:uiPriority w:val="0"/>
    <w:pPr>
      <w:spacing w:before="240" w:after="240"/>
    </w:pPr>
    <w:rPr>
      <w:sz w:val="30"/>
      <w:szCs w:val="30"/>
    </w:rPr>
  </w:style>
  <w:style w:type="paragraph" w:styleId="19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</w:rPr>
  </w:style>
  <w:style w:type="paragraph" w:customStyle="1" w:styleId="20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type="paragraph" w:customStyle="1" w:styleId="21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/>
    </w:rPr>
  </w:style>
  <w:style w:type="paragraph" w:customStyle="1" w:styleId="22">
    <w:name w:val="First Paragraph"/>
    <w:basedOn w:val="3"/>
    <w:next w:val="3"/>
    <w:qFormat/>
    <w:uiPriority w:val="0"/>
  </w:style>
  <w:style w:type="paragraph" w:customStyle="1" w:styleId="23">
    <w:name w:val="Compact"/>
    <w:basedOn w:val="3"/>
    <w:qFormat/>
    <w:uiPriority w:val="0"/>
    <w:pPr>
      <w:spacing w:before="36" w:after="36"/>
      <w:ind w:firstLine="0"/>
      <w:jc w:val="left"/>
    </w:pPr>
    <w:rPr>
      <w:sz w:val="16"/>
      <w:szCs w:val="16"/>
    </w:rPr>
  </w:style>
  <w:style w:type="paragraph" w:customStyle="1" w:styleId="24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lang w:val="ru-RU" w:eastAsia="en-US" w:bidi="ar-SA"/>
    </w:rPr>
  </w:style>
  <w:style w:type="paragraph" w:customStyle="1" w:styleId="25">
    <w:name w:val="Abstract"/>
    <w:basedOn w:val="3"/>
    <w:next w:val="3"/>
    <w:autoRedefine/>
    <w:qFormat/>
    <w:uiPriority w:val="0"/>
    <w:rPr>
      <w:sz w:val="16"/>
      <w:szCs w:val="16"/>
    </w:rPr>
  </w:style>
  <w:style w:type="paragraph" w:customStyle="1" w:styleId="26">
    <w:name w:val="Список литературы1"/>
    <w:basedOn w:val="1"/>
    <w:qFormat/>
    <w:uiPriority w:val="0"/>
  </w:style>
  <w:style w:type="paragraph" w:customStyle="1" w:styleId="27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type="paragraph" w:customStyle="1" w:styleId="28">
    <w:name w:val="Definition"/>
    <w:basedOn w:val="1"/>
    <w:qFormat/>
    <w:uiPriority w:val="0"/>
  </w:style>
  <w:style w:type="paragraph" w:customStyle="1" w:styleId="29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type="paragraph" w:customStyle="1" w:styleId="30">
    <w:name w:val="Figure"/>
    <w:basedOn w:val="1"/>
    <w:qFormat/>
    <w:uiPriority w:val="0"/>
  </w:style>
  <w:style w:type="paragraph" w:customStyle="1" w:styleId="31">
    <w:name w:val="Figure with Caption"/>
    <w:basedOn w:val="30"/>
    <w:qFormat/>
    <w:uiPriority w:val="0"/>
    <w:pPr>
      <w:keepNext/>
    </w:pPr>
  </w:style>
  <w:style w:type="character" w:customStyle="1" w:styleId="32">
    <w:name w:val="Verbatim Char"/>
    <w:basedOn w:val="12"/>
    <w:link w:val="33"/>
    <w:qFormat/>
    <w:uiPriority w:val="0"/>
    <w:rPr>
      <w:rFonts w:ascii="Consolas" w:hAnsi="Consolas"/>
      <w:sz w:val="22"/>
    </w:rPr>
  </w:style>
  <w:style w:type="paragraph" w:customStyle="1" w:styleId="33">
    <w:name w:val="Source Code"/>
    <w:basedOn w:val="1"/>
    <w:link w:val="32"/>
    <w:qFormat/>
    <w:uiPriority w:val="0"/>
    <w:pPr>
      <w:shd w:val="clear" w:color="auto" w:fill="F8F8F8"/>
      <w:wordWrap w:val="0"/>
    </w:pPr>
  </w:style>
  <w:style w:type="paragraph" w:customStyle="1" w:styleId="34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35">
    <w:name w:val="Keyword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36">
    <w:name w:val="DataTypeTok"/>
    <w:basedOn w:val="32"/>
    <w:qFormat/>
    <w:uiPriority w:val="0"/>
    <w:rPr>
      <w:rFonts w:ascii="Consolas" w:hAnsi="Consolas"/>
      <w:color w:val="204A87"/>
      <w:sz w:val="22"/>
      <w:shd w:val="clear" w:color="auto" w:fill="F8F8F8"/>
    </w:rPr>
  </w:style>
  <w:style w:type="character" w:customStyle="1" w:styleId="37">
    <w:name w:val="DecVal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8">
    <w:name w:val="BaseN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39">
    <w:name w:val="FloatTok"/>
    <w:basedOn w:val="32"/>
    <w:qFormat/>
    <w:uiPriority w:val="0"/>
    <w:rPr>
      <w:rFonts w:ascii="Consolas" w:hAnsi="Consolas"/>
      <w:color w:val="0000CF"/>
      <w:sz w:val="22"/>
      <w:shd w:val="clear" w:color="auto" w:fill="F8F8F8"/>
    </w:rPr>
  </w:style>
  <w:style w:type="character" w:customStyle="1" w:styleId="40">
    <w:name w:val="Constant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1">
    <w:name w:val="Char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2">
    <w:name w:val="SpecialChar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43">
    <w:name w:val="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4">
    <w:name w:val="Verbatim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5">
    <w:name w:val="SpecialStringTok"/>
    <w:basedOn w:val="32"/>
    <w:qFormat/>
    <w:uiPriority w:val="0"/>
    <w:rPr>
      <w:rFonts w:ascii="Consolas" w:hAnsi="Consolas"/>
      <w:color w:val="4E9A06"/>
      <w:sz w:val="22"/>
      <w:shd w:val="clear" w:color="auto" w:fill="F8F8F8"/>
    </w:rPr>
  </w:style>
  <w:style w:type="character" w:customStyle="1" w:styleId="46">
    <w:name w:val="Import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47">
    <w:name w:val="Comment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48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49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0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51">
    <w:name w:val="OtherTok"/>
    <w:basedOn w:val="32"/>
    <w:qFormat/>
    <w:uiPriority w:val="0"/>
    <w:rPr>
      <w:rFonts w:ascii="Consolas" w:hAnsi="Consolas"/>
      <w:color w:val="8F5902"/>
      <w:sz w:val="22"/>
      <w:shd w:val="clear" w:color="auto" w:fill="F8F8F8"/>
    </w:rPr>
  </w:style>
  <w:style w:type="character" w:customStyle="1" w:styleId="52">
    <w:name w:val="Function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3">
    <w:name w:val="VariableTok"/>
    <w:basedOn w:val="32"/>
    <w:qFormat/>
    <w:uiPriority w:val="0"/>
    <w:rPr>
      <w:rFonts w:ascii="Consolas" w:hAnsi="Consolas"/>
      <w:color w:val="000000"/>
      <w:sz w:val="22"/>
      <w:shd w:val="clear" w:color="auto" w:fill="F8F8F8"/>
    </w:rPr>
  </w:style>
  <w:style w:type="character" w:customStyle="1" w:styleId="54">
    <w:name w:val="ControlFlowTok"/>
    <w:basedOn w:val="32"/>
    <w:qFormat/>
    <w:uiPriority w:val="0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55">
    <w:name w:val="OperatorTok"/>
    <w:basedOn w:val="32"/>
    <w:qFormat/>
    <w:uiPriority w:val="0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56">
    <w:name w:val="BuiltI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7">
    <w:name w:val="Extension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58">
    <w:name w:val="PreprocessorTok"/>
    <w:basedOn w:val="32"/>
    <w:qFormat/>
    <w:uiPriority w:val="0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59">
    <w:name w:val="AttributeTok"/>
    <w:basedOn w:val="32"/>
    <w:qFormat/>
    <w:uiPriority w:val="0"/>
    <w:rPr>
      <w:rFonts w:ascii="Consolas" w:hAnsi="Consolas"/>
      <w:color w:val="C4A000"/>
      <w:sz w:val="22"/>
      <w:shd w:val="clear" w:color="auto" w:fill="F8F8F8"/>
    </w:rPr>
  </w:style>
  <w:style w:type="character" w:customStyle="1" w:styleId="60">
    <w:name w:val="RegionMarker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1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2">
    <w:name w:val="WarningTok"/>
    <w:basedOn w:val="32"/>
    <w:qFormat/>
    <w:uiPriority w:val="0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63">
    <w:name w:val="AlertTok"/>
    <w:basedOn w:val="32"/>
    <w:qFormat/>
    <w:uiPriority w:val="0"/>
    <w:rPr>
      <w:rFonts w:ascii="Consolas" w:hAnsi="Consolas"/>
      <w:color w:val="EF2929"/>
      <w:sz w:val="22"/>
      <w:shd w:val="clear" w:color="auto" w:fill="F8F8F8"/>
    </w:rPr>
  </w:style>
  <w:style w:type="character" w:customStyle="1" w:styleId="64">
    <w:name w:val="ErrorTok"/>
    <w:basedOn w:val="32"/>
    <w:qFormat/>
    <w:uiPriority w:val="0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65">
    <w:name w:val="NormalTok"/>
    <w:basedOn w:val="32"/>
    <w:qFormat/>
    <w:uiPriority w:val="0"/>
    <w:rPr>
      <w:rFonts w:ascii="Consolas" w:hAnsi="Consolas"/>
      <w:sz w:val="22"/>
      <w:shd w:val="clear" w:color="auto" w:fill="F8F8F8"/>
    </w:rPr>
  </w:style>
  <w:style w:type="character" w:customStyle="1" w:styleId="66">
    <w:name w:val="Основной текст Знак"/>
    <w:basedOn w:val="9"/>
    <w:link w:val="3"/>
    <w:qFormat/>
    <w:uiPriority w:val="0"/>
    <w:rPr>
      <w:rFonts w:ascii="Times New Roman" w:hAnsi="Times New Roman" w:cs="Times New Roman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422</Words>
  <Characters>2406</Characters>
  <Lines>20</Lines>
  <Paragraphs>5</Paragraphs>
  <TotalTime>40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2026-03-27T10:59:00Z</dcterms:created>
  <dc:creator>В. М. Хайтов</dc:creator>
  <cp:lastModifiedBy>google1599737165</cp:lastModifiedBy>
  <dcterms:modified xsi:type="dcterms:W3CDTF">2026-03-27T11:09:05Z</dcterms:modified>
  <dc:title>Многолетняя динамика таксономического состава поселения мидий на фукоидах и на мидиевых банках летом 2025 года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KSOProductBuildVer">
    <vt:lpwstr>1049-12.2.0.23196</vt:lpwstr>
  </property>
  <property fmtid="{D5CDD505-2E9C-101B-9397-08002B2CF9AE}" pid="12" name="ICV">
    <vt:lpwstr>7E9D6B0B932F47258F8898B4660A00E9_12</vt:lpwstr>
  </property>
</Properties>
</file>