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085A8B">
      <w:pPr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t>Характеристика места сбора материала</w:t>
      </w:r>
    </w:p>
    <w:p w14:paraId="240DD1D0">
      <w:pPr>
        <w:rPr>
          <w:rFonts w:hint="default"/>
          <w:lang w:val="ru-RU"/>
        </w:rPr>
      </w:pPr>
      <w:r>
        <w:rPr>
          <w:rFonts w:hint="default"/>
          <w:lang w:val="ru-RU"/>
        </w:rPr>
        <w:t>Материал был собран на литорали материка и островов Таунской губы Охотского моря в июне 2021 и 2023 гг. Из +++ обследованных участков +++ были описаны дважды. Во всех точках были представлены скопления мидий, имеющие разнообразные формы организации. В большинстве случаев это были скопления молюсков, прикрепленных к поверхности камней в виде пятен разного размера. Эти пятна были представлены как на открытых поверхностях камней и валунов, так и в пространстве между ними. В некоторых случаях поселения были представлены только между камнями, поверхность которых оставалась незаселенной. В отдельных случаях (</w:t>
      </w:r>
      <w:r>
        <w:rPr>
          <w:rFonts w:hint="default"/>
          <w:lang w:val="en-US"/>
        </w:rPr>
        <w:t>Ola, Arm</w:t>
      </w:r>
      <w:r>
        <w:rPr>
          <w:rFonts w:hint="default"/>
          <w:lang w:val="ru-RU"/>
        </w:rPr>
        <w:t>, ++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 поселения формировались на поверхности илистого грунта, где моллюски формировали ковер, прикрепляясь биссусом друг к другу. </w:t>
      </w:r>
    </w:p>
    <w:p w14:paraId="73A374CD">
      <w:pPr>
        <w:rPr>
          <w:rFonts w:hint="default"/>
          <w:lang w:val="ru-RU"/>
        </w:rPr>
      </w:pPr>
    </w:p>
    <w:p w14:paraId="78B509C1">
      <w:pPr>
        <w:rPr>
          <w:rFonts w:hint="default"/>
          <w:lang w:val="ru-RU"/>
        </w:rPr>
      </w:pPr>
      <w:r>
        <w:rPr>
          <w:rFonts w:hint="default"/>
          <w:lang w:val="ru-RU"/>
        </w:rPr>
        <w:t>Участки сильно различались по условиям открытости для прибоя. Однако прочие гидрологические условия были более или менее сходными. Соленость в районе сбора проб практически не варьировала и составляла 21.7-32 промилле. Лишь в устье реки Армань и в районе крупного ручья (</w:t>
      </w:r>
      <w:r>
        <w:rPr>
          <w:rFonts w:hint="default"/>
          <w:lang w:val="en-US"/>
        </w:rPr>
        <w:t>MAR</w:t>
      </w:r>
      <w:r>
        <w:rPr>
          <w:rFonts w:hint="default"/>
          <w:lang w:val="ru-RU"/>
        </w:rPr>
        <w:t xml:space="preserve">) соленость, измернная во время отлива, была существенно ниже (6.8 и 16.7 промилле соответстенно). </w:t>
      </w:r>
    </w:p>
    <w:p w14:paraId="42275A5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267E6D26">
      <w:pPr>
        <w:rPr>
          <w:rFonts w:hint="default"/>
          <w:lang w:val="ru-RU"/>
        </w:rPr>
      </w:pPr>
      <w:r>
        <w:rPr>
          <w:rFonts w:hint="default"/>
          <w:lang w:val="ru-RU"/>
        </w:rPr>
        <w:t>Единственное крупное человеческое поселение, расположенное на обследованном побережье, - город Магадан (около 90 тыс. человек). Жилые районы Мгадана подходят к двум заливам - на западе к бухте Нагаевская и на востоке к бухте Гертнера. Однако основные жилые кварталы и индустриальные предприятия расположены ближе к первому из заливов. На восточном побережье (устье р. Магаданка) расположен обширный илисто-песчаный пляж, побережье которого используется местным населением в рекреационных целях.</w:t>
      </w:r>
    </w:p>
    <w:p w14:paraId="634836B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Побережье в обследованных участках практически не вовлечено в индустриально-хозяйственую деятельность.  Исключение составляет крупный морской порт, расположенный в бухте Нагаевской на западной границе города Магадан. </w:t>
      </w:r>
    </w:p>
    <w:p w14:paraId="23AFFE75">
      <w:pPr>
        <w:rPr>
          <w:rFonts w:hint="default"/>
          <w:lang w:val="ru-RU"/>
        </w:rPr>
      </w:pPr>
    </w:p>
    <w:p w14:paraId="563993E2">
      <w:pPr>
        <w:rPr>
          <w:rFonts w:hint="default"/>
          <w:lang w:val="ru-RU"/>
        </w:rPr>
      </w:pPr>
    </w:p>
    <w:p w14:paraId="1E146B2E">
      <w:pPr>
        <w:ind w:firstLine="897" w:firstLineChars="374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Сбор моллюсков для анализа заражения </w:t>
      </w:r>
      <w:r>
        <w:rPr>
          <w:rFonts w:hint="default"/>
          <w:lang w:val="en-US"/>
        </w:rPr>
        <w:t>BTN</w:t>
      </w:r>
    </w:p>
    <w:p w14:paraId="739D7E30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каждой точке было отобрано по ++ - ++ крупных моллюсков (длина раковины ++ - ++ мм). В 2021 г. сборы проходили на всей площади, намеченной для описания, в радиусе нескольких десятков метров. В 2023 г. схема была изменена и в пределах сайта было заложено по 3-5 небольших участков (радиусом не более 10 м) , разнесенных друг от друга на несколько десятков метров. Сборы с каждого такого участка рассматривались как одна проба.</w:t>
      </w:r>
    </w:p>
    <w:p w14:paraId="4D365164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</w:t>
      </w:r>
    </w:p>
    <w:p w14:paraId="746B2762">
      <w:pPr>
        <w:ind w:firstLine="897" w:firstLineChars="374"/>
        <w:rPr>
          <w:rFonts w:hint="default"/>
          <w:lang w:val="ru-RU"/>
        </w:rPr>
      </w:pPr>
      <w:r>
        <w:rPr>
          <w:rFonts w:hint="default"/>
          <w:lang w:val="ru-RU"/>
        </w:rPr>
        <w:t>Сборы для анализа популяционной структуры поселения мидий</w:t>
      </w:r>
    </w:p>
    <w:p w14:paraId="7E207129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каждом сайте было взято по три количественные пробы, расположенных в случайно выбранных местах. Проба представляла выборку всех мидий с известной площади. Материал, пробы помещали в пластиковый пакет и транспортировали в лабораторию. </w:t>
      </w:r>
    </w:p>
    <w:p w14:paraId="17141243">
      <w:pPr>
        <w:ind w:left="0" w:leftChars="0" w:firstLine="0" w:firstLineChars="0"/>
        <w:rPr>
          <w:rFonts w:hint="default"/>
          <w:lang w:val="ru-RU"/>
        </w:rPr>
      </w:pPr>
    </w:p>
    <w:p w14:paraId="230DB400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всех сайтах в оба года проводилась фотосъемка общего вида поселений мидий. Однако в 2023 г. для оценки проективного покрытия мидий было произведено фотографирование нескольких десятков участков обследованного поселения мидий. Для съемки использовали смартфон, закрепленный на селфи-палке с дистанционным управлением съемкой. При съемке камера располагалась на высоте около 2.5 м над поверхностью.     </w:t>
      </w:r>
    </w:p>
    <w:p w14:paraId="6678B58B">
      <w:pPr>
        <w:ind w:left="0" w:leftChars="0" w:firstLine="0" w:firstLineChars="0"/>
        <w:rPr>
          <w:rFonts w:hint="default"/>
          <w:lang w:val="ru-RU"/>
        </w:rPr>
      </w:pPr>
    </w:p>
    <w:p w14:paraId="675B9F8D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Обработка количественных проб</w:t>
      </w:r>
    </w:p>
    <w:p w14:paraId="4FB81441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Пробы были промыты через сито с размером ячеи 1 мм. При разборке проб выбирали всех живых мидий. У всех собранных особей была измерена длина раковины с точностью до 1 мм.</w:t>
      </w:r>
    </w:p>
    <w:p w14:paraId="4C60319D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 нескольких проб было отобрано 112 моллюсков разного размера для определения связи длины раковины и веса моллюсков. Полученное уравнение регресси использовали для оценки биомассы моллюсков, реконструированной на основе размерной структуры поселения.</w:t>
      </w:r>
    </w:p>
    <w:p w14:paraId="028D35F0">
      <w:pPr>
        <w:ind w:left="0" w:leftChars="0" w:firstLine="0" w:firstLineChars="0"/>
        <w:rPr>
          <w:rFonts w:hint="default"/>
          <w:lang w:val="ru-RU"/>
        </w:rPr>
      </w:pPr>
    </w:p>
    <w:p w14:paraId="31336149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Обработка фотографий</w:t>
      </w:r>
    </w:p>
    <w:p w14:paraId="5B2A5DA9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Из всего множества фотографий, сделанных для учета покрытия пятнами мидий поверхности субстрата на каждом из сайтов, было случайным образом отобрано 30 кадров. Каждый кадр был разбин на 100 ячеек (10 горизонталных и 10 вертикальных рядов). Далее было случано отобрано 30 ячеек и подсчитано в скольких из них пятна мидиий занимают более четверти площади ячейки. Для каждого кадра вычисляли отношение количества таких ячеек к 30. Далее для всех кадров, снятых на одном сайте, вычисляли среднее значение этого  показателя, которое  рассматривали, как характеристику проективного покрытия пятен мидий.</w:t>
      </w:r>
    </w:p>
    <w:p w14:paraId="42DBB9D4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Поскольку в 2021 г. описанной съемки не проводили, для сайтов, описанных в этом году проводили приблизительную оценку покрытия по следующей методике.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Сайты, описанные в 2023 г., мы разделил на две категории: сайты с высоким покрытием (10 % и более ) и сайты с низким покрытием (менее 10%). Для каждой группы мы вычислили среднее значение покрытия. </w:t>
      </w:r>
    </w:p>
    <w:p w14:paraId="14818271">
      <w:pPr>
        <w:ind w:left="0" w:leftChars="0" w:firstLine="0" w:firstLineChars="0"/>
        <w:rPr>
          <w:rFonts w:hint="default"/>
          <w:lang w:val="ru-RU"/>
        </w:rPr>
      </w:pPr>
    </w:p>
    <w:p w14:paraId="61E0D838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Поскольку существенных изменений в распределении мидий переописанных в 2023 г., мы не выявили, то для тех сайтов которые были переописаны в 2023 г., для 2021 г. принималось то же самое покрытие, которое было оценено в 2023 г. По фотографиям поселений мидий, сделанных на сайтах, которые были описаны в 2021 г., но не были переописаны в 2023 г., мы отнесли каждый з участков либо участкам с высоким покрытием (визуально более 10%), либо с низким покрытием. Для таких сайтов в качестве оценки покрытия использовали значения срдених, полученные на материале 2023 г.  </w:t>
      </w:r>
    </w:p>
    <w:p w14:paraId="3AAACBD3">
      <w:pPr>
        <w:ind w:left="0" w:leftChars="0" w:firstLine="0" w:firstLineChars="0"/>
        <w:rPr>
          <w:rFonts w:hint="default"/>
          <w:lang w:val="ru-RU"/>
        </w:rPr>
      </w:pPr>
    </w:p>
    <w:p w14:paraId="7376E2E4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</w:t>
      </w:r>
    </w:p>
    <w:p w14:paraId="62C27F9E">
      <w:pPr>
        <w:rPr>
          <w:rFonts w:hint="default"/>
          <w:lang w:val="ru-RU"/>
        </w:rPr>
      </w:pPr>
      <w:r>
        <w:rPr>
          <w:rFonts w:hint="default"/>
          <w:lang w:val="ru-RU"/>
        </w:rPr>
        <w:t>Оценка предикторов для статистчесих моделей</w:t>
      </w:r>
    </w:p>
    <w:p w14:paraId="2695AF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Было использовано два типа предикторов: популяционные и абиотические. </w:t>
      </w:r>
    </w:p>
    <w:p w14:paraId="46DFFC31">
      <w:pPr>
        <w:rPr>
          <w:rFonts w:hint="default"/>
          <w:lang w:val="ru-RU"/>
        </w:rPr>
      </w:pPr>
      <w:r>
        <w:rPr>
          <w:rFonts w:hint="default"/>
          <w:lang w:val="ru-RU"/>
        </w:rPr>
        <w:t>В качестве популяционных предикторов мы рассматривали параметры группового роста мидий (</w:t>
      </w:r>
      <w:r>
        <w:rPr>
          <w:rFonts w:hint="default"/>
          <w:lang w:val="en-US"/>
        </w:rPr>
        <w:t xml:space="preserve">OGP), </w:t>
      </w:r>
      <w:r>
        <w:rPr>
          <w:rFonts w:hint="default"/>
          <w:lang w:val="ru-RU"/>
        </w:rPr>
        <w:t xml:space="preserve">плотность поселения моллюсков разных размерных групп, биомассу и покрытие поверхности дна пятнами мидий. </w:t>
      </w:r>
      <w:r>
        <w:rPr>
          <w:rFonts w:hint="default"/>
          <w:lang w:val="en-US"/>
        </w:rPr>
        <w:t xml:space="preserve">OGP </w:t>
      </w:r>
      <w:r>
        <w:rPr>
          <w:rFonts w:hint="default"/>
          <w:lang w:val="ru-RU"/>
        </w:rPr>
        <w:t xml:space="preserve">рассматривали как самостоятельный предиктор. Остальные величины высоко коррелируют друг потому они были включены в анализ главных компонент. Для этого шкала размеров была разбита на классы с шагом 5 мм и для каждого класса в пробах на каждом сайте было подсчитано среднее количество моллюсков по трем количественным пробам. Полученная матрица характеризовала плотность поселения мидий разных размеров в пределах каждого сайта. Эти величины наряду с биомассой мидий, вычисленной как среднее значение по трем пробам, и проективным покрытием были использованы в качестве матрицы популяционных дискрипторов, которую далее обрабатывали с помощью </w:t>
      </w:r>
      <w:r>
        <w:rPr>
          <w:rFonts w:hint="default"/>
          <w:lang w:val="en-US"/>
        </w:rPr>
        <w:t xml:space="preserve">PCA. </w:t>
      </w:r>
      <w:r>
        <w:rPr>
          <w:rFonts w:hint="default"/>
          <w:lang w:val="ru-RU"/>
        </w:rPr>
        <w:t xml:space="preserve">Значения первой, самой информативной, главной компоненты рассматривали как второй предиктор, характеризующий популяционную структуру мидий. </w:t>
      </w:r>
    </w:p>
    <w:p w14:paraId="0E94E7F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Первым абиотическим предиктором было расстояние от морского порта вдоль береговой линии до сайта взятия проб. Второй предиктор этой категории характеризовал степень открытости побережью для прибоя. Для этого использовали величину </w:t>
      </w:r>
      <w:r>
        <w:rPr>
          <w:rFonts w:hint="default"/>
          <w:lang w:val="en-US"/>
        </w:rPr>
        <w:t xml:space="preserve">Fetch (+++), </w:t>
      </w:r>
      <w:r>
        <w:rPr>
          <w:rFonts w:hint="default"/>
          <w:lang w:val="ru-RU"/>
        </w:rPr>
        <w:t xml:space="preserve">которая описывает среднее расстояние которое может пройти ветровая волна со всех напрвлений к данному сайту, не встретившись с гографическими препятствиями. Для определения этой величины использовали функции из пакета +++++ (+++).   </w:t>
      </w:r>
    </w:p>
    <w:p w14:paraId="0F9B2443">
      <w:pPr>
        <w:rPr>
          <w:rFonts w:hint="default"/>
          <w:lang w:val="ru-RU"/>
        </w:rPr>
      </w:pPr>
    </w:p>
    <w:bookmarkEnd w:id="0"/>
    <w:p w14:paraId="61FF0C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</w:t>
      </w:r>
    </w:p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14645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24433EC5"/>
    <w:rsid w:val="391B30B1"/>
    <w:rsid w:val="3A0A08C7"/>
    <w:rsid w:val="3A5B4A05"/>
    <w:rsid w:val="3D2E204C"/>
    <w:rsid w:val="464B5944"/>
    <w:rsid w:val="4B32292F"/>
    <w:rsid w:val="4DC82D45"/>
    <w:rsid w:val="50225E22"/>
    <w:rsid w:val="552E3A44"/>
    <w:rsid w:val="571A361F"/>
    <w:rsid w:val="64A14645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4874CB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2026-04-02T10:33:00Z</dcterms:created>
  <dc:creator>WPS_1775125980</dc:creator>
  <cp:lastModifiedBy>WPS_1775125980</cp:lastModifiedBy>
  <dcterms:modified xsi:type="dcterms:W3CDTF">2026-04-02T13:25:36Z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F92031D0E7C74B23B6D7D1E81F9E3B46_11</vt:lpwstr>
  </property>
  <property fmtid="{D5CDD505-2E9C-101B-9397-08002B2CF9AE}" pid="4" name="KSOTemplateDocerSaveRecord">
    <vt:lpwstr>eyJoZGlkIjoiNGI5N2MxZmVjMDQ1ZWNjODI2ODFiYTk0ZTA3M2RjODQiLCJ1c2VySWQiOiI4MjQ2MzQ1OTkzMjcifQ==</vt:lpwstr>
  </property>
</Properties>
</file>