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Влияние</w:t>
      </w:r>
      <w:r>
        <w:t xml:space="preserve"> </w:t>
      </w:r>
      <w:r>
        <w:rPr>
          <w:iCs/>
          <w:i/>
        </w:rPr>
        <w:t xml:space="preserve">Fucus</w:t>
      </w:r>
      <w:r>
        <w:rPr>
          <w:iCs/>
          <w:i/>
        </w:rPr>
        <w:t xml:space="preserve"> </w:t>
      </w:r>
      <w:r>
        <w:rPr>
          <w:iCs/>
          <w:i/>
        </w:rPr>
        <w:t xml:space="preserve">vesiculosus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Ascophyllum</w:t>
      </w:r>
      <w:r>
        <w:rPr>
          <w:iCs/>
          <w:i/>
        </w:rPr>
        <w:t xml:space="preserve"> </w:t>
      </w:r>
      <w:r>
        <w:rPr>
          <w:iCs/>
          <w:i/>
        </w:rPr>
        <w:t xml:space="preserve">nodosum</w:t>
      </w:r>
      <w:r>
        <w:t xml:space="preserve"> </w:t>
      </w:r>
      <w:r>
        <w:t xml:space="preserve">на</w:t>
      </w:r>
      <w:r>
        <w:t xml:space="preserve"> </w:t>
      </w:r>
      <w:r>
        <w:t xml:space="preserve">прикрепление</w:t>
      </w:r>
      <w:r>
        <w:t xml:space="preserve"> </w:t>
      </w:r>
      <w:r>
        <w:rPr>
          <w:iCs/>
          <w:i/>
        </w:rPr>
        <w:t xml:space="preserve">Mytilus</w:t>
      </w:r>
      <w:r>
        <w:rPr>
          <w:iCs/>
          <w:i/>
        </w:rPr>
        <w:t xml:space="preserve"> </w:t>
      </w:r>
      <w:r>
        <w:rPr>
          <w:iCs/>
          <w:i/>
        </w:rPr>
        <w:t xml:space="preserve">edulis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Mytilus</w:t>
      </w:r>
      <w:r>
        <w:rPr>
          <w:iCs/>
          <w:i/>
        </w:rPr>
        <w:t xml:space="preserve"> </w:t>
      </w:r>
      <w:r>
        <w:rPr>
          <w:iCs/>
          <w:i/>
        </w:rPr>
        <w:t xml:space="preserve">trossulus</w:t>
      </w:r>
    </w:p>
    <w:p>
      <w:pPr>
        <w:pStyle w:val="25"/>
      </w:pPr>
      <w:r>
        <w:rPr>
          <w:bCs/>
          <w:b/>
        </w:rPr>
        <w:t xml:space="preserve">Татьяна</w:t>
      </w:r>
      <w:r>
        <w:rPr>
          <w:bCs/>
          <w:b/>
        </w:rPr>
        <w:t xml:space="preserve"> </w:t>
      </w:r>
      <w:r>
        <w:rPr>
          <w:bCs/>
          <w:b/>
        </w:rPr>
        <w:t xml:space="preserve">Ершова</w:t>
      </w:r>
    </w:p>
    <w:p>
      <w:pPr>
        <w:pStyle w:val="19"/>
      </w:pPr>
      <w:r>
        <w:t xml:space="preserve">2023</w:t>
      </w:r>
    </w:p>
    <w:bookmarkStart w:id="20" w:name="Xb3f555884a14a6822083ff3fcb7b8a9d334f730"/>
    <w:p>
      <w:pPr>
        <w:pStyle w:val="8"/>
      </w:pPr>
      <w:r>
        <w:rPr>
          <w:iCs/>
          <w:i/>
        </w:rPr>
        <w:t xml:space="preserve">Mytilus</w:t>
      </w:r>
      <w:r>
        <w:t xml:space="preserve"> </w:t>
      </w:r>
      <w:r>
        <w:t xml:space="preserve">spp., прикрепленные к фукоидам, получают ряд преимуществ, но этом излишняя масса моллюсков снижает плавучесть фукоида. Бороться с обрастанием он может с помощью выделений, влияющих на силу прикрепления или активность выделения биссуса. Было поставлено два эксперимента для оценки воздействия на количество биссуса и прочность прикрепления к субстрату. Под воздействием</w:t>
      </w:r>
      <w:r>
        <w:t xml:space="preserve"> </w:t>
      </w:r>
      <w:r>
        <w:rPr>
          <w:iCs/>
          <w:i/>
        </w:rPr>
        <w:t xml:space="preserve">Fucus vesiculosus</w:t>
      </w:r>
      <w:r>
        <w:t xml:space="preserve"> </w:t>
      </w:r>
      <w:r>
        <w:t xml:space="preserve">морфотипы уменьшали количество биссуса. Сила прикрепления значимо не различалась, но мидии T-морфотипа под влиянием</w:t>
      </w:r>
      <w:r>
        <w:t xml:space="preserve"> </w:t>
      </w:r>
      <w:r>
        <w:rPr>
          <w:iCs/>
          <w:i/>
        </w:rPr>
        <w:t xml:space="preserve">Fucus vesiculosus</w:t>
      </w:r>
      <w:r>
        <w:t xml:space="preserve"> </w:t>
      </w:r>
      <w:r>
        <w:t xml:space="preserve">прикреплялись сильнее, чем мидии Е-морфотипа.</w:t>
      </w:r>
    </w:p>
    <w:bookmarkEnd w:id="20"/>
    <w:bookmarkStart w:id="21" w:name="введение"/>
    <w:p>
      <w:pPr>
        <w:pStyle w:val="2"/>
      </w:pPr>
      <w:r>
        <w:t xml:space="preserve">Введение</w:t>
      </w:r>
    </w:p>
    <w:p>
      <w:pPr>
        <w:pStyle w:val="23"/>
      </w:pPr>
      <w:r>
        <w:t xml:space="preserve">Среди многочисленных симфизиологических связей</w:t>
      </w:r>
      <w:r>
        <w:t xml:space="preserve"> </w:t>
      </w:r>
      <w:r>
        <w:t xml:space="preserve">(Беклемишев, 1970)</w:t>
      </w:r>
      <w:r>
        <w:t xml:space="preserve"> </w:t>
      </w:r>
      <w:r>
        <w:t xml:space="preserve">прямые топические взаимодействия играют наиболее важную роль. При таких взаимодействиях один из организмов создает благоприятные условия для жизни другого. В частности, тела организмов одно вида могу служить субстратом для прикрепления организмов другого вида.</w:t>
      </w:r>
    </w:p>
    <w:p>
      <w:pPr>
        <w:pStyle w:val="3"/>
      </w:pPr>
      <w:r>
        <w:t xml:space="preserve">В условиях морской литорали прямые топические связи ярко выражены в случае взаимоотношения мидий</w:t>
      </w:r>
      <w:r>
        <w:t xml:space="preserve"> </w:t>
      </w:r>
      <w:r>
        <w:rPr>
          <w:iCs/>
          <w:i/>
        </w:rPr>
        <w:t xml:space="preserve">Mytilus</w:t>
      </w:r>
      <w:r>
        <w:t xml:space="preserve"> </w:t>
      </w:r>
      <w:r>
        <w:t xml:space="preserve">spp. с бурыми водорослями</w:t>
      </w:r>
      <w:r>
        <w:t xml:space="preserve"> </w:t>
      </w:r>
      <w:r>
        <w:rPr>
          <w:iCs/>
          <w:i/>
        </w:rPr>
        <w:t xml:space="preserve">Ascophyllum nodosum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Fucus vesiculosus</w:t>
      </w:r>
      <w:r>
        <w:t xml:space="preserve"> </w:t>
      </w:r>
      <w:r>
        <w:t xml:space="preserve">(Човган and Малавенда, 2017)</w:t>
      </w:r>
      <w:r>
        <w:t xml:space="preserve">. Моллюски, прикрепляясь к талломам водорослей своими биссусными нитями получают целый ряд преимуществ: недоступность для хищников, лучшую аэрацию воды. Однако для самих фукоидов обрастатели приносят, скорее, вред. Так, мидии увеличивают вес водорослей, чем снижают их плавучесть и на прижатых фукоидах образуется мидиевая щетка, что в конечном счете приводит к гибели растения. Известно, что некоторые водоросли, например Ochrophyta, борются с обрастанием мидиями с помощью выделения различных метаболитов</w:t>
      </w:r>
      <w:r>
        <w:t xml:space="preserve"> </w:t>
      </w:r>
      <w:r>
        <w:t xml:space="preserve">(Gama</w:t>
      </w:r>
      <w:r>
        <w:t xml:space="preserve"> </w:t>
      </w:r>
      <w:r>
        <w:rPr>
          <w:iCs/>
          <w:i/>
        </w:rPr>
        <w:t xml:space="preserve">et al.</w:t>
      </w:r>
      <w:r>
        <w:t xml:space="preserve">, 2014)</w:t>
      </w:r>
      <w:r>
        <w:t xml:space="preserve">, которые мешают прикрепляться моллюскам.</w:t>
      </w:r>
    </w:p>
    <w:p>
      <w:pPr>
        <w:pStyle w:val="3"/>
      </w:pPr>
      <w:r>
        <w:t xml:space="preserve">Роль фукоидов, как субстрата, была выявлена и в другом аспекте. Было показано, что два вида мидий, обитающих в Белом море (</w:t>
      </w:r>
      <w:r>
        <w:rPr>
          <w:iCs/>
          <w:i/>
        </w:rPr>
        <w:t xml:space="preserve">M. trossulus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M. edulis</w:t>
      </w:r>
      <w:r>
        <w:t xml:space="preserve">), демонстрируют разный характер связи с водорослями. Относительное обилие первого вида на фукоидах оказывается выше, чем на грунте</w:t>
      </w:r>
      <w:r>
        <w:t xml:space="preserve"> </w:t>
      </w:r>
      <w:r>
        <w:t xml:space="preserve">(Katolikova</w:t>
      </w:r>
      <w:r>
        <w:t xml:space="preserve"> </w:t>
      </w:r>
      <w:r>
        <w:rPr>
          <w:iCs/>
          <w:i/>
        </w:rPr>
        <w:t xml:space="preserve">et al.</w:t>
      </w:r>
      <w:r>
        <w:t xml:space="preserve">, 2016)</w:t>
      </w:r>
      <w:r>
        <w:t xml:space="preserve">. Эта асимметрия позволяет ожидать, что если фукоиды оказывают воздействие на мидий, то возможно, что</w:t>
      </w:r>
      <w:r>
        <w:t xml:space="preserve"> </w:t>
      </w:r>
      <w:r>
        <w:rPr>
          <w:iCs/>
          <w:i/>
        </w:rPr>
        <w:t xml:space="preserve">M. edulis</w:t>
      </w:r>
      <w:r>
        <w:t xml:space="preserve"> </w:t>
      </w:r>
      <w:r>
        <w:t xml:space="preserve">более подвержены влиянию метаболитов водорослей, чем</w:t>
      </w:r>
      <w:r>
        <w:t xml:space="preserve"> </w:t>
      </w:r>
      <w:r>
        <w:rPr>
          <w:iCs/>
          <w:i/>
        </w:rPr>
        <w:t xml:space="preserve">M. trossulus</w:t>
      </w:r>
      <w:r>
        <w:t xml:space="preserve">.</w:t>
      </w:r>
    </w:p>
    <w:p>
      <w:pPr>
        <w:pStyle w:val="3"/>
      </w:pPr>
      <w:r>
        <w:t xml:space="preserve">Мы предположили, что при воздействии веществ, выделяемых фукоидами, сила прикрепления и количество биссусных нитей будет снижаться. При этом мы ожидаем, что у</w:t>
      </w:r>
      <w:r>
        <w:t xml:space="preserve"> </w:t>
      </w:r>
      <w:r>
        <w:rPr>
          <w:iCs/>
          <w:i/>
        </w:rPr>
        <w:t xml:space="preserve">Mytilus trossulus</w:t>
      </w:r>
      <w:r>
        <w:t xml:space="preserve"> </w:t>
      </w:r>
      <w:r>
        <w:t xml:space="preserve">реакция будет менее выражена, чем у</w:t>
      </w:r>
      <w:r>
        <w:t xml:space="preserve"> </w:t>
      </w:r>
      <w:r>
        <w:rPr>
          <w:iCs/>
          <w:i/>
        </w:rPr>
        <w:t xml:space="preserve">M. edulis</w:t>
      </w:r>
      <w:r>
        <w:t xml:space="preserve">.</w:t>
      </w:r>
    </w:p>
    <w:bookmarkEnd w:id="21"/>
    <w:bookmarkStart w:id="27" w:name="материалы-и-методы"/>
    <w:p>
      <w:pPr>
        <w:pStyle w:val="2"/>
      </w:pPr>
      <w:r>
        <w:t xml:space="preserve">Материалы и методы</w:t>
      </w:r>
    </w:p>
    <w:bookmarkStart w:id="25" w:name="Xe9f6dc98aa1b5af1e315857d0a695fea0ab01cb"/>
    <w:p>
      <w:pPr>
        <w:pStyle w:val="4"/>
      </w:pPr>
      <w:r>
        <w:t xml:space="preserve">Идентификация видовой принадлежности мидий</w:t>
      </w:r>
    </w:p>
    <w:p>
      <w:pPr>
        <w:pStyle w:val="23"/>
      </w:pPr>
      <w:r>
        <w:t xml:space="preserve">В этой работе мы применяли разделение мидий на морфотипы по полосе конхеалинового слоя рядом с лигаментом. По этому признаку мидии были разделены на две группы: Т-морфотип (соответствует</w:t>
      </w:r>
      <w:r>
        <w:t xml:space="preserve"> </w:t>
      </w:r>
      <w:r>
        <w:rPr>
          <w:iCs/>
          <w:i/>
        </w:rPr>
        <w:t xml:space="preserve">M. trossulus</w:t>
      </w:r>
      <w:r>
        <w:t xml:space="preserve">) и Е-морфотип (соответствует</w:t>
      </w:r>
      <w:r>
        <w:t xml:space="preserve"> </w:t>
      </w:r>
      <w:r>
        <w:rPr>
          <w:iCs/>
          <w:i/>
        </w:rPr>
        <w:t xml:space="preserve">M. edulis</w:t>
      </w:r>
      <w:r>
        <w:t xml:space="preserve">)</w:t>
      </w:r>
      <w:r>
        <w:t xml:space="preserve"> </w:t>
      </w:r>
      <w:r>
        <w:t xml:space="preserve">(Khaitov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 Мидии Е-морфотипа обладали перламутровым слоем, плотно прилегающем к лигаменту, в то время как у Т-морфотипа лигамент отделялся от перламутрового слоя конхеалиновым (рис. 1).</w:t>
      </w:r>
    </w:p>
    <w:p>
      <w:pPr>
        <w:pStyle w:val="34"/>
      </w:pPr>
      <w:r>
        <w:drawing>
          <wp:inline>
            <wp:extent cx="2974848" cy="2487168"/>
            <wp:effectExtent b="0" l="0" r="0" t="0"/>
            <wp:docPr descr="Рис. 1. Морфотипы мидий" title="" id="23" name="Picture"/>
            <a:graphic>
              <a:graphicData uri="http://schemas.openxmlformats.org/drawingml/2006/picture">
                <pic:pic>
                  <pic:nvPicPr>
                    <pic:cNvPr descr="Pictures/Morphotypes_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848" cy="2487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 xml:space="preserve">Рис. 1. Морфотипы мидий</w:t>
      </w:r>
    </w:p>
    <w:bookmarkEnd w:id="25"/>
    <w:bookmarkStart w:id="26" w:name="математические-методы"/>
    <w:p>
      <w:pPr>
        <w:pStyle w:val="4"/>
      </w:pPr>
      <w:r>
        <w:t xml:space="preserve">Математические методы</w:t>
      </w:r>
    </w:p>
    <w:p>
      <w:pPr>
        <w:pStyle w:val="23"/>
      </w:pPr>
      <w:r>
        <w:t xml:space="preserve">Среднеквадратичное отклоненеие вычислялось по следующей формуле:</w:t>
      </w:r>
    </w:p>
    <w:p>
      <w:pPr>
        <w:pStyle w:val="3"/>
      </w:pPr>
      <m:oMathPara>
        <m:oMathParaPr>
          <m:jc m:val="center"/>
        </m:oMathParaPr>
        <m:oMath>
          <m:r>
            <m:t>s</m:t>
          </m:r>
          <m:r>
            <m:t>d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∑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26"/>
    <w:bookmarkEnd w:id="27"/>
    <w:bookmarkStart w:id="32" w:name="результаты"/>
    <w:p>
      <w:pPr>
        <w:pStyle w:val="2"/>
      </w:pPr>
      <w:r>
        <w:t xml:space="preserve">Результаты</w:t>
      </w:r>
    </w:p>
    <w:bookmarkStart w:id="31" w:name="количество-биссуса"/>
    <w:p>
      <w:pPr>
        <w:pStyle w:val="4"/>
      </w:pPr>
      <w:r>
        <w:t xml:space="preserve">Количество биссуса</w:t>
      </w:r>
    </w:p>
    <w:p>
      <w:pPr>
        <w:pStyle w:val="23"/>
      </w:pPr>
      <w:r>
        <w:t xml:space="preserve">Под влиянием</w:t>
      </w:r>
      <w:r>
        <w:t xml:space="preserve"> </w:t>
      </w:r>
      <w:r>
        <w:rPr>
          <w:iCs/>
          <w:i/>
        </w:rPr>
        <w:t xml:space="preserve">Fucus vesiculosus</w:t>
      </w:r>
      <w:r>
        <w:t xml:space="preserve"> </w:t>
      </w:r>
      <w:r>
        <w:t xml:space="preserve">оба морфотипа значительно уменьшали количество биссуса по сравнению с контролем (Табл. 1). Кондиционированная вода от</w:t>
      </w:r>
      <w:r>
        <w:t xml:space="preserve"> </w:t>
      </w:r>
      <w:r>
        <w:rPr>
          <w:iCs/>
          <w:i/>
        </w:rPr>
        <w:t xml:space="preserve">Ascophyllum nodosum</w:t>
      </w:r>
      <w:r>
        <w:t xml:space="preserve"> </w:t>
      </w:r>
      <w:r>
        <w:t xml:space="preserve">практически не влияла на количество биссуных бляшек. В садках типа</w:t>
      </w:r>
      <w:r>
        <w:t xml:space="preserve"> </w:t>
      </w:r>
      <w:r>
        <w:t xml:space="preserve">“</w:t>
      </w:r>
      <w:r>
        <w:rPr>
          <w:iCs/>
          <w:i/>
        </w:rPr>
        <w:t xml:space="preserve">Ascophyllum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rPr>
          <w:iCs/>
          <w:i/>
        </w:rPr>
        <w:t xml:space="preserve">контроль</w:t>
      </w:r>
      <w:r>
        <w:t xml:space="preserve">”</w:t>
      </w:r>
      <w:r>
        <w:t xml:space="preserve"> </w:t>
      </w:r>
      <w:r>
        <w:t xml:space="preserve">мидии Т-морфотипа выделял больше биссуса, чем мидии Е-морфотипа. Практически равное количество наблюдается в типе</w:t>
      </w:r>
      <w:r>
        <w:t xml:space="preserve"> </w:t>
      </w:r>
      <w:r>
        <w:rPr>
          <w:iCs/>
          <w:i/>
        </w:rPr>
        <w:t xml:space="preserve">Fucus</w:t>
      </w:r>
      <w:r>
        <w:t xml:space="preserve"> </w:t>
      </w:r>
      <w:r>
        <w:t xml:space="preserve">(рис. 2).</w:t>
      </w:r>
    </w:p>
    <w:p>
      <w:pPr>
        <w:pStyle w:val="31"/>
      </w:pPr>
      <w:r>
        <w:t xml:space="preserve">Таблица 1. Средние значения числа биссусных бляшек в эксперименте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. Средние значения числа биссусных бляшек в эксперименте"/>
      </w:tblPr>
      <w:tblGrid>
        <w:gridCol w:w="2132"/>
        <w:gridCol w:w="1142"/>
        <w:gridCol w:w="2360"/>
        <w:gridCol w:w="2284"/>
      </w:tblGrid>
      <w:tr>
        <w:trPr>
          <w:tblHeader w:val="true"/>
        </w:trPr>
        <w:tc>
          <w:tcPr/>
          <w:p>
            <w:pPr>
              <w:pStyle w:val="24"/>
              <w:jc w:val="left"/>
            </w:pPr>
            <w:r>
              <w:t xml:space="preserve">Тип кондиционированной воды</w:t>
            </w:r>
          </w:p>
        </w:tc>
        <w:tc>
          <w:tcPr/>
          <w:p>
            <w:pPr>
              <w:pStyle w:val="24"/>
              <w:jc w:val="left"/>
            </w:pPr>
            <w:r>
              <w:t xml:space="preserve">Морфотип мидии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Среднее число биссусных бляшек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Среднеквадратичное отклонение</w:t>
            </w:r>
          </w:p>
        </w:tc>
      </w:tr>
      <w:tr>
        <w:tc>
          <w:tcPr/>
          <w:p>
            <w:pPr>
              <w:pStyle w:val="24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24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8.44</w:t>
            </w:r>
          </w:p>
        </w:tc>
      </w:tr>
      <w:tr>
        <w:tc>
          <w:tcPr/>
          <w:p>
            <w:pPr>
              <w:pStyle w:val="24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24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40.5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26.47</w:t>
            </w:r>
          </w:p>
        </w:tc>
      </w:tr>
      <w:tr>
        <w:tc>
          <w:tcPr/>
          <w:p>
            <w:pPr>
              <w:pStyle w:val="24"/>
              <w:jc w:val="left"/>
            </w:pPr>
            <w:r>
              <w:t xml:space="preserve">Ascophyllum</w:t>
            </w:r>
          </w:p>
        </w:tc>
        <w:tc>
          <w:tcPr/>
          <w:p>
            <w:pPr>
              <w:pStyle w:val="24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8.02</w:t>
            </w:r>
          </w:p>
        </w:tc>
      </w:tr>
      <w:tr>
        <w:tc>
          <w:tcPr/>
          <w:p>
            <w:pPr>
              <w:pStyle w:val="24"/>
              <w:jc w:val="left"/>
            </w:pPr>
            <w:r>
              <w:t xml:space="preserve">Ascophyllum</w:t>
            </w:r>
          </w:p>
        </w:tc>
        <w:tc>
          <w:tcPr/>
          <w:p>
            <w:pPr>
              <w:pStyle w:val="24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48.0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26.17</w:t>
            </w:r>
          </w:p>
        </w:tc>
      </w:tr>
      <w:tr>
        <w:tc>
          <w:tcPr/>
          <w:p>
            <w:pPr>
              <w:pStyle w:val="24"/>
              <w:jc w:val="left"/>
            </w:pPr>
            <w:r>
              <w:t xml:space="preserve">Fucus</w:t>
            </w:r>
          </w:p>
        </w:tc>
        <w:tc>
          <w:tcPr/>
          <w:p>
            <w:pPr>
              <w:pStyle w:val="24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24"/>
              <w:jc w:val="left"/>
            </w:pPr>
            <w:r>
              <w:t xml:space="preserve">Fucus</w:t>
            </w:r>
          </w:p>
        </w:tc>
        <w:tc>
          <w:tcPr/>
          <w:p>
            <w:pPr>
              <w:pStyle w:val="24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24"/>
              <w:jc w:val="right"/>
            </w:pPr>
            <w:r>
              <w:t xml:space="preserve">10.92</w:t>
            </w:r>
          </w:p>
        </w:tc>
      </w:tr>
    </w:tbl>
    <w:p>
      <w:pPr>
        <w:pStyle w:val="34"/>
      </w:pPr>
      <w:r>
        <w:drawing>
          <wp:inline>
            <wp:extent cx="4620126" cy="3696101"/>
            <wp:effectExtent b="0" l="0" r="0" t="0"/>
            <wp:docPr descr="Рисунок 4. Количество биссусных бляшек в бакпечатках с разной кондиционированной водой" title="" id="29" name="Picture"/>
            <a:graphic>
              <a:graphicData uri="http://schemas.openxmlformats.org/drawingml/2006/picture">
                <pic:pic>
                  <pic:nvPicPr>
                    <pic:cNvPr descr="My_first_RMD_files/figure-docx/Figure_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bCs/>
          <w:b/>
        </w:rPr>
        <w:t xml:space="preserve">Рисунок 4</w:t>
      </w:r>
      <w:r>
        <w:t xml:space="preserve">. Количество биссусных бляшек в бакпечатках с разной кондиционированной водой</w:t>
      </w:r>
    </w:p>
    <w:bookmarkEnd w:id="31"/>
    <w:bookmarkEnd w:id="32"/>
    <w:bookmarkStart w:id="39" w:name="список-литературы"/>
    <w:p>
      <w:pPr>
        <w:pStyle w:val="2"/>
      </w:pPr>
      <w:r>
        <w:t xml:space="preserve">Список литературы</w:t>
      </w:r>
    </w:p>
    <w:bookmarkStart w:id="38" w:name="refs"/>
    <w:bookmarkStart w:id="33" w:name="ref-da2014antifouling"/>
    <w:p>
      <w:pPr>
        <w:pStyle w:val="27"/>
      </w:pPr>
      <w:r>
        <w:rPr>
          <w:bCs/>
          <w:b/>
        </w:rPr>
        <w:t xml:space="preserve">Gama, B. A. da</w:t>
      </w:r>
      <w:r>
        <w:t xml:space="preserve">,</w:t>
      </w:r>
      <w:r>
        <w:t xml:space="preserve"> </w:t>
      </w:r>
      <w:r>
        <w:rPr>
          <w:bCs/>
          <w:b/>
        </w:rPr>
        <w:t xml:space="preserve">E. Plouguerné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R. C. Pereira</w:t>
      </w:r>
      <w:r>
        <w:t xml:space="preserve">.</w:t>
      </w:r>
      <w:r>
        <w:t xml:space="preserve"> </w:t>
      </w:r>
      <w:r>
        <w:rPr>
          <w:bCs/>
          <w:b/>
        </w:rPr>
        <w:t xml:space="preserve">2014</w:t>
      </w:r>
      <w:r>
        <w:t xml:space="preserve">. The antifouling defence mechanisms of marine macroalgae. In:</w:t>
      </w:r>
      <w:r>
        <w:t xml:space="preserve"> </w:t>
      </w:r>
      <w:r>
        <w:rPr>
          <w:iCs/>
          <w:i/>
        </w:rPr>
        <w:t xml:space="preserve">Advances in botanical research</w:t>
      </w:r>
      <w:r>
        <w:t xml:space="preserve">, pp. 413–440. Elsevier.</w:t>
      </w:r>
    </w:p>
    <w:bookmarkEnd w:id="33"/>
    <w:bookmarkStart w:id="34" w:name="ref-katolikova2016genetic"/>
    <w:p>
      <w:pPr>
        <w:pStyle w:val="27"/>
      </w:pPr>
      <w:r>
        <w:rPr>
          <w:bCs/>
          <w:b/>
        </w:rPr>
        <w:t xml:space="preserve">Katolikova, M.</w:t>
      </w:r>
      <w:r>
        <w:t xml:space="preserve">,</w:t>
      </w:r>
      <w:r>
        <w:t xml:space="preserve"> </w:t>
      </w:r>
      <w:r>
        <w:rPr>
          <w:bCs/>
          <w:b/>
        </w:rPr>
        <w:t xml:space="preserve">V. Khaitov</w:t>
      </w:r>
      <w:r>
        <w:t xml:space="preserve">,</w:t>
      </w:r>
      <w:r>
        <w:t xml:space="preserve"> </w:t>
      </w:r>
      <w:r>
        <w:rPr>
          <w:bCs/>
          <w:b/>
        </w:rPr>
        <w:t xml:space="preserve">R. Väinölä</w:t>
      </w:r>
      <w:r>
        <w:t xml:space="preserve">,</w:t>
      </w:r>
      <w:r>
        <w:t xml:space="preserve"> </w:t>
      </w:r>
      <w:r>
        <w:rPr>
          <w:bCs/>
          <w:b/>
        </w:rPr>
        <w:t xml:space="preserve">M. Gantsevich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P. Strelkov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 Genetic, ecological and morphological distinctness of the blue mussels mytilus trossulus gould and m. Edulis l. In the white sea.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rPr>
          <w:bCs/>
          <w:b/>
        </w:rPr>
        <w:t xml:space="preserve">11</w:t>
      </w:r>
      <w:r>
        <w:t xml:space="preserve">: e0152963. Public Library of Science San Francisco, CA USA.</w:t>
      </w:r>
    </w:p>
    <w:bookmarkEnd w:id="34"/>
    <w:bookmarkStart w:id="35" w:name="ref-khaitov2021species"/>
    <w:p>
      <w:pPr>
        <w:pStyle w:val="27"/>
      </w:pPr>
      <w:r>
        <w:rPr>
          <w:bCs/>
          <w:b/>
        </w:rPr>
        <w:t xml:space="preserve">Khaitov, V.</w:t>
      </w:r>
      <w:r>
        <w:t xml:space="preserve">,</w:t>
      </w:r>
      <w:r>
        <w:t xml:space="preserve"> </w:t>
      </w:r>
      <w:r>
        <w:rPr>
          <w:bCs/>
          <w:b/>
        </w:rPr>
        <w:t xml:space="preserve">J. Marchenko</w:t>
      </w:r>
      <w:r>
        <w:t xml:space="preserve">,</w:t>
      </w:r>
      <w:r>
        <w:t xml:space="preserve"> </w:t>
      </w:r>
      <w:r>
        <w:rPr>
          <w:bCs/>
          <w:b/>
        </w:rPr>
        <w:t xml:space="preserve">M. Katolikova</w:t>
      </w:r>
      <w:r>
        <w:t xml:space="preserve">,</w:t>
      </w:r>
      <w:r>
        <w:t xml:space="preserve"> </w:t>
      </w:r>
      <w:r>
        <w:rPr>
          <w:bCs/>
          <w:b/>
        </w:rPr>
        <w:t xml:space="preserve">R. Väinölä</w:t>
      </w:r>
      <w:r>
        <w:t xml:space="preserve">,</w:t>
      </w:r>
      <w:r>
        <w:t xml:space="preserve"> </w:t>
      </w:r>
      <w:r>
        <w:rPr>
          <w:bCs/>
          <w:b/>
        </w:rPr>
        <w:t xml:space="preserve">S. E. Kingston</w:t>
      </w:r>
      <w:r>
        <w:t xml:space="preserve">,</w:t>
      </w:r>
      <w:r>
        <w:t xml:space="preserve"> </w:t>
      </w:r>
      <w:r>
        <w:rPr>
          <w:bCs/>
          <w:b/>
        </w:rPr>
        <w:t xml:space="preserve">D. B. Carlon</w:t>
      </w:r>
      <w:r>
        <w:t xml:space="preserve">,</w:t>
      </w:r>
      <w:r>
        <w:t xml:space="preserve"> </w:t>
      </w:r>
      <w:r>
        <w:rPr>
          <w:bCs/>
          <w:b/>
        </w:rPr>
        <w:t xml:space="preserve">M. Gantsevich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P. Strelkov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Species identification based on a semi-diagnostic marker: Evaluation of a simple conchological test for distinguishing blue mussels mytilus edulis l. And m. Trossulus gould.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rPr>
          <w:bCs/>
          <w:b/>
        </w:rPr>
        <w:t xml:space="preserve">16</w:t>
      </w:r>
      <w:r>
        <w:t xml:space="preserve">: e0249587. Public Library of Science San Francisco, CA USA.</w:t>
      </w:r>
    </w:p>
    <w:bookmarkEnd w:id="35"/>
    <w:bookmarkStart w:id="36" w:name="ref-Bekltmishev1970"/>
    <w:p>
      <w:pPr>
        <w:pStyle w:val="27"/>
      </w:pPr>
      <w:r>
        <w:rPr>
          <w:bCs/>
          <w:b/>
        </w:rPr>
        <w:t xml:space="preserve">Беклемишев, В. Н.</w:t>
      </w:r>
      <w:r>
        <w:t xml:space="preserve"> </w:t>
      </w:r>
      <w:r>
        <w:rPr>
          <w:bCs/>
          <w:b/>
        </w:rPr>
        <w:t xml:space="preserve">1970</w:t>
      </w:r>
      <w:r>
        <w:t xml:space="preserve">. Биоценологические основы сравнительной паразитологии.</w:t>
      </w:r>
    </w:p>
    <w:bookmarkEnd w:id="36"/>
    <w:bookmarkStart w:id="37" w:name="ref-Chovgan2017"/>
    <w:p>
      <w:pPr>
        <w:pStyle w:val="27"/>
      </w:pPr>
      <w:r>
        <w:rPr>
          <w:bCs/>
          <w:b/>
        </w:rPr>
        <w:t xml:space="preserve">Човган, О. В.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С. С. Малавенда</w:t>
      </w:r>
      <w:r>
        <w:t xml:space="preserve">.</w:t>
      </w:r>
      <w:r>
        <w:t xml:space="preserve"> </w:t>
      </w:r>
      <w:r>
        <w:rPr>
          <w:bCs/>
          <w:b/>
        </w:rPr>
        <w:t xml:space="preserve">2017</w:t>
      </w:r>
      <w:r>
        <w:t xml:space="preserve">. Роль макрофитов как субстрата в формировании литоральных эпизооценозов белого моря.</w:t>
      </w:r>
      <w:r>
        <w:t xml:space="preserve"> </w:t>
      </w:r>
      <w:r>
        <w:rPr>
          <w:iCs/>
          <w:i/>
        </w:rPr>
        <w:t xml:space="preserve">Вестник Мурманского государственного технического университета</w:t>
      </w:r>
      <w:r>
        <w:t xml:space="preserve"> </w:t>
      </w:r>
      <w:r>
        <w:rPr>
          <w:bCs/>
          <w:b/>
        </w:rPr>
        <w:t xml:space="preserve">20</w:t>
      </w:r>
      <w:r>
        <w:t xml:space="preserve">: 390–400. Федеральное государственное бюджетное образовательное учреждение высшего ….</w:t>
      </w:r>
    </w:p>
    <w:bookmarkEnd w:id="37"/>
    <w:bookmarkEnd w:id="38"/>
    <w:bookmarkEnd w:id="39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+Основной текст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кст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autoRedefine/>
    <w:qFormat/>
    <w:uiPriority w:val="9"/>
    <w:pPr>
      <w:keepNext/>
      <w:keepLines/>
      <w:spacing w:after="0" w:before="480"/>
      <w:jc w:val="center"/>
      <w:outlineLvl w:val="0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2"/>
      <w14:textFill>
        <w14:solidFill>
          <w14:schemeClr w14:val="tx1"/>
        </w14:solidFill>
      </w14:textFill>
    </w:rPr>
  </w:style>
  <w:style w:styleId="4" w:type="paragraph">
    <w:name w:val="heading 2"/>
    <w:basedOn w:val="1"/>
    <w:next w:val="3"/>
    <w:autoRedefine/>
    <w:unhideWhenUsed/>
    <w:qFormat/>
    <w:uiPriority w:val="9"/>
    <w:pPr>
      <w:keepNext/>
      <w:keepLines/>
      <w:spacing w:after="0" w:before="200"/>
      <w:jc w:val="center"/>
      <w:outlineLvl w:val="1"/>
    </w:pPr>
    <w:rPr>
      <w:rFonts w:asciiTheme="majorAscii" w:cstheme="majorBidi" w:eastAsiaTheme="majorEastAsia" w:hAnsiTheme="majorAscii"/>
      <w:b/>
      <w:bCs/>
      <w:i/>
      <w:color w:themeColor="text1" w:val="000000"/>
      <w:szCs w:val="24"/>
      <w14:textFill>
        <w14:solidFill>
          <w14:schemeClr w14:val="tx1"/>
        </w14:solidFill>
      </w14:textFill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autoRedefine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jc w:val="both"/>
      <w:outlineLvl w:val="5"/>
    </w:pPr>
    <w:rPr>
      <w:rFonts w:asciiTheme="majorAscii" w:cstheme="majorBidi" w:eastAsiaTheme="majorEastAsia" w:hAnsiTheme="majorAscii"/>
      <w:color w:themeColor="text1" w:val="000000"/>
      <w:sz w:val="20"/>
      <w14:textFill>
        <w14:solidFill>
          <w14:schemeClr w14:val="tx1"/>
        </w14:solidFill>
      </w14:textFill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uiPriority w:val="0"/>
  </w:style>
  <w:style w:default="1" w:styleId="13" w:type="table">
    <w:name w:val="Normal Table"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  <w:jc w:val="both"/>
    </w:pPr>
    <w:rPr>
      <w:rFonts w:asciiTheme="minorAscii" w:eastAsiaTheme="minorEastAsia" w:hAnsiTheme="minorAscii"/>
    </w:rPr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Body Text Char"/>
    <w:basedOn w:val="12"/>
    <w:link w:val="3"/>
    <w:uiPriority w:val="0"/>
    <w:rPr>
      <w:rFonts w:asciiTheme="minorAscii" w:eastAsiaTheme="minorEastAsia" w:hAnsiTheme="minorAscii"/>
    </w:rPr>
  </w:style>
  <w:style w:styleId="16" w:type="character">
    <w:name w:val="Hyperlink"/>
    <w:basedOn w:val="15"/>
    <w:uiPriority w:val="0"/>
    <w:rPr>
      <w:color w:themeColor="accent1" w:val="4F81BD"/>
    </w:rPr>
  </w:style>
  <w:style w:styleId="17" w:type="paragraph">
    <w:name w:val="caption"/>
    <w:basedOn w:val="1"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36"/>
      <w:szCs w:val="36"/>
      <w14:textFill>
        <w14:solidFill>
          <w14:schemeClr w14:val="tx1"/>
        </w14:solidFill>
      </w14:textFill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autoRedefine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uiPriority w:val="0"/>
  </w:style>
  <w:style w:customStyle="1" w:styleId="31" w:type="paragraph">
    <w:name w:val="Table Caption"/>
    <w:basedOn w:val="17"/>
    <w:uiPriority w:val="0"/>
    <w:pPr>
      <w:keepNext/>
    </w:pPr>
  </w:style>
  <w:style w:customStyle="1" w:styleId="32" w:type="paragraph">
    <w:name w:val="Image Caption"/>
    <w:basedOn w:val="17"/>
    <w:uiPriority w:val="0"/>
    <w:pPr>
      <w:jc w:val="both"/>
    </w:pPr>
    <w:rPr>
      <w:rFonts w:asciiTheme="minorAscii" w:eastAsiaTheme="minorEastAsia" w:hAnsiTheme="minorAscii"/>
      <w:sz w:val="20"/>
    </w:rPr>
  </w:style>
  <w:style w:customStyle="1" w:styleId="33" w:type="paragraph">
    <w:name w:val="Figure"/>
    <w:basedOn w:val="1"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autoRedefine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autoRedefine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autoRedefine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autoRedefine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autoRedefine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autoRedefine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autoRedefine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autoRedefine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autoRedefine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autoRedefine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autoRedefine/>
    <w:qFormat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autoRedefine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autoRedefine/>
    <w:qFormat/>
    <w:uiPriority w:val="0"/>
    <w:rPr>
      <w:shd w:fill="F8F8F8" w:val="clear"/>
    </w:rPr>
  </w:style>
  <w:style w:customStyle="1" w:styleId="51" w:type="character">
    <w:name w:val="CommentTok"/>
    <w:basedOn w:val="35"/>
    <w:autoRedefine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autoRedefine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autoRedefine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autoRedefine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autoRedefine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autoRedefine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autoRedefine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autoRedefine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autoRedefine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autoRedefine/>
    <w:qFormat/>
    <w:uiPriority w:val="0"/>
    <w:rPr>
      <w:shd w:fill="F8F8F8" w:val="clear"/>
    </w:rPr>
  </w:style>
  <w:style w:customStyle="1" w:styleId="61" w:type="character">
    <w:name w:val="ExtensionTok"/>
    <w:basedOn w:val="35"/>
    <w:autoRedefine/>
    <w:qFormat/>
    <w:uiPriority w:val="0"/>
    <w:rPr>
      <w:shd w:fill="F8F8F8" w:val="clear"/>
    </w:rPr>
  </w:style>
  <w:style w:customStyle="1" w:styleId="62" w:type="character">
    <w:name w:val="PreprocessorTok"/>
    <w:basedOn w:val="35"/>
    <w:autoRedefine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autoRedefine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autoRedefine/>
    <w:qFormat/>
    <w:uiPriority w:val="0"/>
    <w:rPr>
      <w:shd w:fill="F8F8F8" w:val="clear"/>
    </w:rPr>
  </w:style>
  <w:style w:customStyle="1" w:styleId="65" w:type="character">
    <w:name w:val="InformationTok"/>
    <w:basedOn w:val="35"/>
    <w:autoRedefine/>
    <w:qFormat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autoRedefine/>
    <w:qFormat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autoRedefine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autoRedefine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autoRedefine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Влияние Fucus vesiculosus и Ascophyllum nodosum на прикрепление Mytilus edulis и Mytilus trossulus</dc:title>
  <dc:creator>Татьяна Ершова</dc:creator>
  <cp:keywords/>
  <dcterms:created xsi:type="dcterms:W3CDTF">2024-05-20T19:26:39Z</dcterms:created>
  <dcterms:modified xsi:type="dcterms:W3CDTF">2024-05-20T19:26:39Z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the-biological-bulletin.csl</vt:lpwstr>
  </property>
  <property fmtid="{D5CDD505-2E9C-101B-9397-08002B2CF9AE}" pid="4" name="date">
    <vt:lpwstr>2023</vt:lpwstr>
  </property>
  <property fmtid="{D5CDD505-2E9C-101B-9397-08002B2CF9AE}" pid="5" name="output">
    <vt:lpwstr/>
  </property>
</Properties>
</file>