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Вопросы задач, используемых для контроля освоения материала в курсе «Общая экология»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Опишите случаи, когда абиотические факторы имеют биогенное происхождение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Какие показатели мы будем измерять, если поставим цель описать ресурсы, с которыми взаимодействуют цветковые растения</w:t>
      </w: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Какие показатели мы будем измерять, если решим изучить витальные факторы, воздействующие на насекомое-вредителя, поражающего сельскохозяйственные культуры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Если мы хотим охарактеризовать действие вторичных периодических факторов на литорального рачка-балянуса, то измерения каких параметров мы будем производить</w:t>
      </w: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В каких случах может наблюдаться такая связь между значениями экологического фактора и уровнем благосостояния организма, если мы изучаем насекомое, питающееся культурными растениями.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drawing>
          <wp:inline distT="0" distB="0" distL="114300" distR="114300">
            <wp:extent cx="1526540" cy="1382395"/>
            <wp:effectExtent l="0" t="0" r="10160" b="0"/>
            <wp:docPr id="1" name="Изображение 1" descr="купол толерантности оптимум в ну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купол толерантности оптимум в нул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Если известно, что у некоторого вида оптимальный диапазон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по отношению к фактору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F1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составляет 10-20, по отношению к фактору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F2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: 0 - 250, по отношению к фактору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3: 10-20, по отношению к факторы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F4: 10-120,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по отношению к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F5: 3-4.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Укажите факторы, которые можно назвать лимитирующими с точки зрения закона Либиха, в местообитании, где значения данных факторов варьируют в следующих пределах: 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F1: 15-18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F2: 31-33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F3: 28-50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F4: 40-100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F5: 0-0.1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Укажите, какие причины могут лежать в основе убывания уровня благосостояния организмов в диапазонах пессимума по отношению к температуре. 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Какие виды могут существовать в средах с экстремально высокими значениями солености (более 80%)?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Что является п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усковым механизмом реактивации (переход от диапаузы к активности)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растений ?</w:t>
      </w: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Какие факторы могут являться с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игналом к сбрасыванию листьев деревьями осенью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?</w:t>
      </w: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При оценке численности популяции рыб в озере отловили 150 особей, пометили их и снова выпустили в водоем. При повторном вылове, с использованием той же методики, выловили 350 рыб из которых 2 было помеченных. Какова приблизительная численность популяции в этом водоеме? 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Какой из популяционных показателей может быть близок к нулю в случае полузависимых популяций?</w:t>
      </w: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Какие из популяционных группировок могут быть образованы только особями не способными к размножению? </w:t>
      </w: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Укажите тип популяционной группировки, о которой говорится в следующем фрагменте: «Работая с муфлонами, обитающими горах, мы заметили, что местообитания, пригодные для их существования, разделены обширными участками, не подходящими для этого вида. В каждой из отдельных группировок мы обнаруживали самцов, самок и детенышей разного возраста. Не вызывает сомнения, что отдельные особи могут покидать свои локальные группы и перемещаться в другие группы, преодолевая участки с неблагоприятными условиями». 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О каком типе популяционной группировки говорится в следующем фрагменте: «Входе хирургической операции была извлечена финна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Echinococcus granulosus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объемом около 500 мл. Внутри этого образования находились многочисленные вторичные финны, появившиеся в результате почкования первичной финны».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Если мы имеем дело с организмом, для которого характерна кривая выживания третьего типа, то какие свойства организма и его популяций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ab/>
        <w:t xml:space="preserve"> можно ожидать?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Если для популяции некоторого организма удалось измерить мальтузианский параметр и он составляет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 = 0.000231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то сформулируйте свойства популяции, которые можно ожидать, исходя из этой информации. </w:t>
      </w: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Представьте, что на некий остров попало 100 особей вида-вселенца, ранее не обитавшего на этой территории. Если известно, что в среднем за минимально возможный промежуток времени на одну особь в популяции приходится 0.1 потомка, но за тот же промежуток времени удельная смертность составляет 0.01, то сколько особей будет представлено в популяции через 10 лет если учесть, что емкость среды составляет 200000 особей данного вида.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Ответ округлите до целых.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Какие изменения в популяции могут быть предсказаны, исходя из модели Ферхюльста. 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Пусть в некоторой популяции обитают организмы, которые можно разделить на три возрастные когорты. Численность этих возрастных когорт в данный год наблюдений описывается следующим демографическим ыектором: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N1 = 100, N2 = 50, N3 = 20.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Вероятность перехода из возрастной когорты 1 в возрастную когорту 2 составляет 0.1, вероятность перехода из возрастной когорты 2 в возрастную когорту 3 составляет 0.5. Размножаются только особи возрастной когорты 3, причем каждая особь этой когорты производит на свет 100 потомков. Чему будет равна численность популяции на следующий год?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Если мы имеем дело со стенотермным организмом (стенобионт в отношении температуры), то какие суждения мы можем сделать относительно этого организма.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Если мы сталкиваемся в одном местообитании с двумя криптическими видами (виды, чьи генофонды изолированы, но морфологические отличия между видами незначительны), то какие особенности распределения этих организмов следует ожидать?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Сумма эффективных температур для некоторого культурного растения составляет 1200 градусо-дней. Эту культуру решили выращивать на делянке при постоянной температуре в 25 градусов. Время развития растения составляло 20 дней. При какой температуре начинается развитие данного организма? 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О каком типе взаимоотношений идет речь, если мы рассматриваем в качестве системы корацидиев широкого лентеца (</w:t>
      </w:r>
      <w:r>
        <w:rPr>
          <w:rFonts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Diphyllobothrium latum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) и двустворчатых моллюсков-фильтаторов (например, </w:t>
      </w:r>
      <w:r>
        <w:rPr>
          <w:rFonts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Dreissena polymorpha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, обитающих в одном водоеме.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какой роли выступает брюхоногий моллюск (например, представитель рода </w:t>
      </w:r>
      <w:r>
        <w:rPr>
          <w:rFonts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Lymnaea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) 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при взаимодействии с партеногенетическими стадиями трематод.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Основная пища водяных осликов (</w:t>
      </w:r>
      <w:r>
        <w:rPr>
          <w:rFonts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Asellus aquaticus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- опавшие в водоем листья наземных растений (например, ольхи черной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ru-RU"/>
        </w:rPr>
        <w:t>Alnus glutinosa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 С какими организмами водяные ослики вступают в косвенные трофические связи.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Приведите примеры пар видов, популяции которых вступают в косвенные трофические связи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ru-RU"/>
        </w:rPr>
        <w:t>Приведите случаи, когда взаимоотношения между разными видами носят характер протокооперации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В чем проявляется эффект Олли?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Каковы могут быть выгоды, лежащие в основе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«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популярности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  <w:t>» каннибализма, который проявляется у многих организмов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Перед вами графики динамики численности популяций двух конкурирующих видов, сгенерированные с помощью модели Воьтерра. Охарактеризуйте мальтузианские параметры и степень конкурентоспособности этих видов. 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3873500" cy="25400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Какие из пяти видов жертв будет наиболее предпочтительным в питании хищника?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4563745" cy="1706245"/>
            <wp:effectExtent l="0" t="0" r="8255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Перед вами фазовый портрет системы вид-потребитель 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>VS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вид-ресурс. </w:t>
      </w: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Какой тип изменений в популяциях двух видов демонстрирует этот рисунок?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4712335" cy="1854200"/>
            <wp:effectExtent l="0" t="0" r="1206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t="65714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Какими способами паразит может увеличить приток энергии от хозяина?</w:t>
      </w:r>
    </w:p>
    <w:p>
      <w:pPr>
        <w:pStyle w:val="7"/>
        <w:numPr>
          <w:ilvl w:val="0"/>
          <w:numId w:val="0"/>
        </w:numPr>
        <w:ind w:leftChars="0"/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pStyle w:val="7"/>
        <w:numPr>
          <w:ilvl w:val="0"/>
          <w:numId w:val="0"/>
        </w:numPr>
        <w:ind w:leftChars="0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Приведите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примеры состояния экосистем,  при которых экологическая пирамида биомассы имеет устойчивую форму с широким основанием</w:t>
      </w:r>
    </w:p>
    <w:p>
      <w:pPr>
        <w:pStyle w:val="7"/>
        <w:ind w:left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>
      <w:pPr>
        <w:pStyle w:val="7"/>
        <w:numPr>
          <w:ilvl w:val="0"/>
          <w:numId w:val="0"/>
        </w:numPr>
        <w:ind w:leftChars="0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Приведите примеры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пастбищн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ых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пищевы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х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цеп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ей.</w:t>
      </w:r>
    </w:p>
    <w:p>
      <w:pPr>
        <w:pStyle w:val="7"/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Приведите примеры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интразональны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х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экосистем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>
      <w:pPr>
        <w:pStyle w:val="7"/>
        <w:spacing w:after="0" w:line="240" w:lineRule="auto"/>
        <w:ind w:left="1080" w:hanging="11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>
      <w:pPr>
        <w:pStyle w:val="7"/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Какими факторами провоцируется цветение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водоемов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?</w:t>
      </w:r>
    </w:p>
    <w:p>
      <w:pPr>
        <w:pStyle w:val="7"/>
        <w:ind w:left="1080" w:hanging="11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>
      <w:pPr>
        <w:pStyle w:val="7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Какими параметрами предопределяется высокое в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идовое богатство биотического сообщества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>?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F61DC8"/>
    <w:rsid w:val="1F22179F"/>
    <w:rsid w:val="257F0ED2"/>
    <w:rsid w:val="27BB431F"/>
    <w:rsid w:val="32457058"/>
    <w:rsid w:val="380D4021"/>
    <w:rsid w:val="3DB749A1"/>
    <w:rsid w:val="4D652435"/>
    <w:rsid w:val="57383E75"/>
    <w:rsid w:val="5A396FD8"/>
    <w:rsid w:val="5B6574B4"/>
    <w:rsid w:val="6C9630BC"/>
    <w:rsid w:val="6DAC2139"/>
    <w:rsid w:val="7278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5">
    <w:name w:val="Emphasis"/>
    <w:basedOn w:val="4"/>
    <w:qFormat/>
    <w:uiPriority w:val="20"/>
    <w:rPr>
      <w:i/>
      <w:i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2018-10-10T06:36:00Z</dcterms:created>
  <dc:creator>polyd</dc:creator>
  <cp:lastModifiedBy>polyd</cp:lastModifiedBy>
  <dcterms:modified xsi:type="dcterms:W3CDTF">2018-12-11T08:04:42Z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