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2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1"/>
        <w:gridCol w:w="3731"/>
        <w:gridCol w:w="3294"/>
        <w:gridCol w:w="599"/>
        <w:gridCol w:w="1206"/>
        <w:gridCol w:w="566"/>
        <w:gridCol w:w="1156"/>
        <w:gridCol w:w="566"/>
        <w:gridCol w:w="424"/>
      </w:tblGrid>
      <w:tr>
        <w:trPr/>
        <w:tc>
          <w:tcPr>
            <w:tcW w:w="3731" w:type="dxa"/>
            <w:tcBorders/>
          </w:tcPr>
          <w:p>
            <w:pPr>
              <w:pStyle w:val="21"/>
              <w:tabs>
                <w:tab w:val="clear" w:pos="708"/>
                <w:tab w:val="left" w:pos="3969" w:leader="none"/>
              </w:tabs>
              <w:snapToGrid w:val="false"/>
              <w:spacing w:lineRule="auto" w:line="276"/>
              <w:ind w:hanging="0" w:right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3731" w:type="dxa"/>
            <w:tcBorders/>
          </w:tcPr>
          <w:p>
            <w:pPr>
              <w:pStyle w:val="21"/>
              <w:tabs>
                <w:tab w:val="clear" w:pos="708"/>
                <w:tab w:val="left" w:pos="3969" w:leader="none"/>
              </w:tabs>
              <w:snapToGrid w:val="false"/>
              <w:spacing w:lineRule="auto" w:line="276"/>
              <w:ind w:hanging="0" w:right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3294" w:type="dxa"/>
            <w:tcBorders/>
          </w:tcPr>
          <w:p>
            <w:pPr>
              <w:pStyle w:val="21"/>
              <w:tabs>
                <w:tab w:val="clear" w:pos="708"/>
                <w:tab w:val="left" w:pos="3969" w:leader="none"/>
              </w:tabs>
              <w:snapToGrid w:val="false"/>
              <w:spacing w:lineRule="auto" w:line="276"/>
              <w:ind w:hanging="0" w:right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517" w:type="dxa"/>
            <w:gridSpan w:val="6"/>
            <w:tcBorders/>
          </w:tcPr>
          <w:p>
            <w:pPr>
              <w:pStyle w:val="21"/>
              <w:tabs>
                <w:tab w:val="clear" w:pos="708"/>
                <w:tab w:val="left" w:pos="3969" w:leader="none"/>
              </w:tabs>
              <w:spacing w:lineRule="auto" w:line="276"/>
              <w:ind w:hanging="0" w:right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ПРИЛОЖЕНИЕ № 3</w:t>
            </w:r>
          </w:p>
          <w:p>
            <w:pPr>
              <w:pStyle w:val="21"/>
              <w:tabs>
                <w:tab w:val="clear" w:pos="708"/>
                <w:tab w:val="left" w:pos="3969" w:leader="none"/>
              </w:tabs>
              <w:spacing w:lineRule="auto" w:line="276"/>
              <w:ind w:hanging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 Положению, утвержденному</w:t>
            </w:r>
          </w:p>
          <w:p>
            <w:pPr>
              <w:pStyle w:val="21"/>
              <w:tabs>
                <w:tab w:val="clear" w:pos="708"/>
                <w:tab w:val="left" w:pos="3969" w:leader="none"/>
              </w:tabs>
              <w:spacing w:lineRule="auto" w:line="276"/>
              <w:ind w:hanging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приказом ГБНОУ «СПБ ГДТЮ»</w:t>
            </w:r>
          </w:p>
        </w:tc>
      </w:tr>
      <w:tr>
        <w:trPr/>
        <w:tc>
          <w:tcPr>
            <w:tcW w:w="3731" w:type="dxa"/>
            <w:tcBorders/>
          </w:tcPr>
          <w:p>
            <w:pPr>
              <w:pStyle w:val="21"/>
              <w:tabs>
                <w:tab w:val="clear" w:pos="708"/>
                <w:tab w:val="left" w:pos="3969" w:leader="none"/>
              </w:tabs>
              <w:snapToGrid w:val="false"/>
              <w:spacing w:lineRule="auto" w:line="276"/>
              <w:ind w:hanging="0" w:right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3731" w:type="dxa"/>
            <w:tcBorders/>
          </w:tcPr>
          <w:p>
            <w:pPr>
              <w:pStyle w:val="21"/>
              <w:tabs>
                <w:tab w:val="clear" w:pos="708"/>
                <w:tab w:val="left" w:pos="3969" w:leader="none"/>
              </w:tabs>
              <w:snapToGrid w:val="false"/>
              <w:spacing w:lineRule="auto" w:line="276"/>
              <w:ind w:hanging="0" w:right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3294" w:type="dxa"/>
            <w:tcBorders/>
          </w:tcPr>
          <w:p>
            <w:pPr>
              <w:pStyle w:val="21"/>
              <w:tabs>
                <w:tab w:val="clear" w:pos="708"/>
                <w:tab w:val="left" w:pos="3969" w:leader="none"/>
              </w:tabs>
              <w:snapToGrid w:val="false"/>
              <w:spacing w:lineRule="auto" w:line="276"/>
              <w:ind w:hanging="0" w:right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99" w:type="dxa"/>
            <w:tcBorders/>
          </w:tcPr>
          <w:p>
            <w:pPr>
              <w:pStyle w:val="21"/>
              <w:tabs>
                <w:tab w:val="clear" w:pos="708"/>
                <w:tab w:val="left" w:pos="3969" w:leader="none"/>
              </w:tabs>
              <w:spacing w:lineRule="auto" w:line="276"/>
              <w:ind w:hanging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</w:t>
            </w:r>
          </w:p>
        </w:tc>
        <w:tc>
          <w:tcPr>
            <w:tcW w:w="1206" w:type="dxa"/>
            <w:tcBorders>
              <w:bottom w:val="single" w:sz="4" w:space="0" w:color="000000"/>
            </w:tcBorders>
          </w:tcPr>
          <w:p>
            <w:pPr>
              <w:pStyle w:val="21"/>
              <w:tabs>
                <w:tab w:val="clear" w:pos="708"/>
                <w:tab w:val="left" w:pos="3969" w:leader="none"/>
              </w:tabs>
              <w:spacing w:lineRule="auto" w:line="276"/>
              <w:ind w:hanging="0" w:right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08.02.2024</w:t>
            </w:r>
          </w:p>
        </w:tc>
        <w:tc>
          <w:tcPr>
            <w:tcW w:w="566" w:type="dxa"/>
            <w:tcBorders/>
          </w:tcPr>
          <w:p>
            <w:pPr>
              <w:pStyle w:val="21"/>
              <w:tabs>
                <w:tab w:val="clear" w:pos="708"/>
                <w:tab w:val="left" w:pos="3969" w:leader="none"/>
              </w:tabs>
              <w:spacing w:lineRule="auto" w:line="276"/>
              <w:ind w:hanging="0" w:right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1156" w:type="dxa"/>
            <w:tcBorders>
              <w:bottom w:val="single" w:sz="4" w:space="0" w:color="000000"/>
            </w:tcBorders>
          </w:tcPr>
          <w:p>
            <w:pPr>
              <w:pStyle w:val="21"/>
              <w:tabs>
                <w:tab w:val="clear" w:pos="708"/>
                <w:tab w:val="left" w:pos="3969" w:leader="none"/>
              </w:tabs>
              <w:spacing w:lineRule="auto" w:line="276"/>
              <w:ind w:hanging="0" w:right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364-ОД</w:t>
            </w:r>
          </w:p>
        </w:tc>
        <w:tc>
          <w:tcPr>
            <w:tcW w:w="566" w:type="dxa"/>
            <w:tcBorders/>
          </w:tcPr>
          <w:p>
            <w:pPr>
              <w:pStyle w:val="21"/>
              <w:tabs>
                <w:tab w:val="clear" w:pos="708"/>
                <w:tab w:val="left" w:pos="3969" w:leader="none"/>
              </w:tabs>
              <w:snapToGrid w:val="false"/>
              <w:spacing w:lineRule="auto" w:line="276"/>
              <w:ind w:hanging="0" w:right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24" w:type="dxa"/>
            <w:tcBorders/>
          </w:tcPr>
          <w:p>
            <w:pPr>
              <w:pStyle w:val="21"/>
              <w:tabs>
                <w:tab w:val="clear" w:pos="708"/>
                <w:tab w:val="left" w:pos="3969" w:leader="none"/>
              </w:tabs>
              <w:snapToGrid w:val="false"/>
              <w:spacing w:lineRule="auto" w:line="276"/>
              <w:ind w:hanging="0" w:right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Показатели эффективности деятельности руководящих работников 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(руководителей 3-го уровня) </w:t>
      </w:r>
      <w:r>
        <w:rPr>
          <w:rFonts w:cs="Times New Roman" w:ascii="Times New Roman" w:hAnsi="Times New Roman"/>
          <w:b/>
          <w:sz w:val="24"/>
          <w:szCs w:val="24"/>
        </w:rPr>
        <w:t>ГБНОУ «СПБ ГДТЮ»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(кроме руководителей структурных подразделений)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sz w:val="24"/>
          <w:szCs w:val="24"/>
          <w:lang w:val="ru-RU"/>
        </w:rPr>
        <w:t>Хайтов</w:t>
      </w:r>
      <w:r>
        <w:rPr>
          <w:rFonts w:cs="Times New Roman" w:ascii="Times New Roman" w:hAnsi="Times New Roman"/>
          <w:b/>
          <w:sz w:val="24"/>
          <w:szCs w:val="24"/>
          <w:lang w:val="ru-RU"/>
        </w:rPr>
        <w:t xml:space="preserve"> Вадим Михайлович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  <w:t xml:space="preserve">* Показатели и критерии только для руководящих работников, осуществляющих </w:t>
      </w:r>
      <w:r>
        <w:rPr>
          <w:rFonts w:cs="Times New Roman" w:ascii="Times New Roman" w:hAnsi="Times New Roman"/>
          <w:b/>
          <w:bCs/>
          <w:i/>
          <w:sz w:val="24"/>
          <w:szCs w:val="24"/>
        </w:rPr>
        <w:t>сопровождение образовательного процесса</w:t>
      </w:r>
    </w:p>
    <w:tbl>
      <w:tblPr>
        <w:tblW w:w="152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4950"/>
        <w:gridCol w:w="5941"/>
        <w:gridCol w:w="1275"/>
        <w:gridCol w:w="2550"/>
      </w:tblGrid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№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Показатели эффективности деятельности руководителя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Критерии оценки эффективности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деятельности руководителя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Кол-во баллов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Примечание</w:t>
            </w:r>
          </w:p>
        </w:tc>
      </w:tr>
      <w:tr>
        <w:trPr/>
        <w:tc>
          <w:tcPr>
            <w:tcW w:w="127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ЭФФЕКТИВНОСТЬ ОРГАНИЗАЦИИ ОБРАЗОВАТЕЛЬНОГО ПРОЦЕССА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Выполнение производственного (перспективного) плана  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Выполнение плана набора в детские коллективы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Сохранность контингента (80-100%)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Достижение плановых показателей (эффективное выполнение задач перспективного плана)*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Наличие среди обучающихся призеров, победителей в конкурсах, соревнованиях </w:t>
              <w:br/>
              <w:t>и др.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Инициатива в организации мероприятий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Уровень: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Городской (не менее 5)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Всероссийский (не менее 2)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Международный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Наличие образцовых коллективов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Получение творческим коллективом звания «Образцовый детский коллектив Санкт-Петербурга»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Уровни: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Структурное подразделение (не менее 3)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Учреждения (не менее 1)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Городской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>За период оценки эффективности</w:t>
            </w:r>
          </w:p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Создание условий для обеспечения образовательного процесса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Наличие в структурном подразделении обновленных образовательных программ и разработка новых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Разработка и реализация новых проектов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Расширение перечня социальных партнеров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Отсутствие обоснованных жалоб со стороны потребителей, родителей (законных представителей)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Мероприятия по внедрению нового оборудования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Наличие системы работы с родителями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Отсутствие замечаний по состоянию кабинетов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Наличие паспортизации кабинетов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Организация мероприятий по обеспечению образовательного процесса*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>Утверждение новых программ на методическом совете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>Привлечение новых партнеров (</w:t>
            </w:r>
            <w:r>
              <w:rPr>
                <w:rFonts w:cs="Times New Roman" w:ascii="Times New Roman" w:hAnsi="Times New Roman"/>
                <w:i/>
                <w:sz w:val="20"/>
                <w:szCs w:val="20"/>
              </w:rPr>
              <w:t>документальное подтверждение)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/>
              </w:rPr>
              <w:t>В соответствии</w:t>
              <w:br/>
              <w:t xml:space="preserve"> с перспективным планом</w:t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Участие структурного подразделения </w:t>
              <w:br/>
              <w:t>в программе «Я - Дворцовец»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Организация воспитательной работы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Активность участия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Наличие и реализация плана воспитательной работы структурного подразделения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>Оценивается организаторами</w:t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Эффективнность аналитической деятельности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Эффективное использование (ведение) баз данных (по направлению деятельности)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Подготовка аналитических материалов </w:t>
              <w:br/>
              <w:t>по направлению деятельности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Наличие актуальных баз данных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Работа с порталом Навигатор дополнительного образования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>Приложить перечень</w:t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Мероприятия по обеспечению комплексной безопасности образовательного процесса </w:t>
              <w:br/>
              <w:t>и проведения массовых мероприятий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Соблюдение СанПиН (отсутствие замечаний)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Организация эффективной работы по профилактике травматизма (отсутствие подтвержденных фактов нарушений техники безопасности)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Проведение мероприятий, направленных </w:t>
              <w:br/>
              <w:t>на обеспечение безопасности и правовой грамотности обучающихся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Организация работы по инструктажу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Проведение мониторинга качества образования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Участие в процедуре мониторинга оценки качества образования и независимой системы качества образования*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Положительная оценка качества образования </w:t>
              <w:br/>
              <w:t>по результатам мониторинга (наличие положительной динамики)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Использование результатов мониторинга для корректировки образовательного процесса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Высокая степень удовлетворенности участников образовательного процесса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Участие в процедуре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Использование результатов мониторинга для совершенствования процесса сопровождения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Отсутствие обоснованных жалоб потребителей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>По результатам мониторинга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>(опубликованной аналитической справки)</w:t>
            </w:r>
          </w:p>
        </w:tc>
      </w:tr>
      <w:tr>
        <w:trPr/>
        <w:tc>
          <w:tcPr>
            <w:tcW w:w="152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РАЗВИТИЕ КАДРОВОГО ПОТЕНЦИАЛА</w:t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Сопровождение педагогических работников при подготовке к аттестации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(Более 66% аттестованных работников)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>На основании базы данных</w:t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Организация процесса повышения квалификации педагогических работников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(100%) работников, прошедших повышение квалификации (1 раз в 3 года)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Участие в реализации программ обучения, КПК, работе ГУМО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>На основании базы данных, размещенных на сайте ОУ</w:t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Сопровождение победителей профессиональных смотров, конкурсов и т. д.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Уровни: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Учреждение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Городской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Всероссийский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Работа с молодыми специалистами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Участие структурного подразделения в реализации программы «Аничков.ру.адаптациЯ».</w:t>
            </w:r>
            <w:r>
              <w:rPr>
                <w:rFonts w:cs="Times New Roman" w:ascii="Times New Roman" w:hAnsi="Times New Roman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Наставничество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Участие в проведении педагогической практики студентов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Организация участия педагогических работников структурного подразделения </w:t>
              <w:br/>
              <w:t>в педагогических проектах, событиях (семинары, смотрах, НПК и т. д.)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Кол-во участников:</w:t>
            </w:r>
          </w:p>
          <w:p>
            <w:pPr>
              <w:pStyle w:val="Normal"/>
              <w:snapToGrid w:val="false"/>
              <w:spacing w:lineRule="atLeast" w:line="200"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не менее 5-ти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 xml:space="preserve">В соответствии </w:t>
              <w:br/>
              <w:t>с перспективным планом Учреждения, внеплановые</w:t>
            </w:r>
          </w:p>
        </w:tc>
      </w:tr>
      <w:tr>
        <w:trPr/>
        <w:tc>
          <w:tcPr>
            <w:tcW w:w="152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ОРГАНИЗАЦИОННО-УПРАВЛЕНЧЕСКАЯ ДЕЯТЕЛЬНОСТЬ</w:t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Стратегическое развитие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Cs/>
                <w:sz w:val="24"/>
                <w:szCs w:val="24"/>
              </w:rPr>
              <w:t>Наличие концепции развития направления деятельности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Эффективность ее реализации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Подготовка к выпуску нормативных и регламентирующих документов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Обеспечение информационной открытости </w:t>
              <w:br/>
              <w:t>и доступности деятельности подразделения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Регулярность обновления, актуальность информации на страницах структурного подразделения официального сайта Учреждения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Наличие информационных и печатных материалов </w:t>
              <w:br/>
              <w:t>в СМИ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>По результатам мониторинга</w:t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Организация контроля в структурном подразделении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Наличие эффективной системы контроля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Исполнительская дисциплина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Отсутствие замечаний со стороны руководителей </w:t>
              <w:br/>
              <w:t>по выполнению заданий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Соблюдение сроков и порядка предоставления документов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52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ФИНАНСОВО-ХОЗЯЙСТВЕННАЯ ДЕЯТЕЛЬНОСТЬ</w:t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Выполнение требований законодательства </w:t>
              <w:br/>
              <w:t>о контрактной системе в сфере закупок товаров, работ, услуг для обеспечения нужд структурного подразделения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Своевременная подготовка сметной документации, ТЗ и др.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Эффективное ведение  контрактов (договоров)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 xml:space="preserve">В соответствии </w:t>
              <w:br/>
              <w:t>с приказом</w:t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Эффективное использование материально-технической базы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Эффективное использование оборудования Качественное ведение документов по учету и списанию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>По данным бухгалтерской службы</w:t>
            </w:r>
          </w:p>
        </w:tc>
      </w:tr>
      <w:tr>
        <w:trPr/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Дополнительные баллы (</w:t>
            </w: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>Заполняется руководителем структурного подразделения)</w:t>
            </w:r>
          </w:p>
        </w:tc>
        <w:tc>
          <w:tcPr>
            <w:tcW w:w="5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Высокий уровень выполнения заданий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>По решению оценочной комиссии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  <w:t>до 3-х баллов</w:t>
            </w:r>
          </w:p>
        </w:tc>
      </w:tr>
      <w:tr>
        <w:trPr/>
        <w:tc>
          <w:tcPr>
            <w:tcW w:w="114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ВСЕГО БАЛЛОВ: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</w:r>
          </w:p>
        </w:tc>
      </w:tr>
      <w:tr>
        <w:trPr/>
        <w:tc>
          <w:tcPr>
            <w:tcW w:w="127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Заместитель генерального директора       _______________         _______________________________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                        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(личная подпись)                                             (расшифровка подписи)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_________________________________________       _______________         _________________________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( наименование должности руководителя структурного подразделения)                 (личная подпись)                                          (расшифровка подписи)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i/>
                <w:sz w:val="20"/>
                <w:szCs w:val="20"/>
              </w:rPr>
              <w:t xml:space="preserve">Общее кол-во баллов согласовывается </w:t>
              <w:br/>
              <w:t>с заместителем генерального директора, курирующим деятельность структурного подразделения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Примечание к таблице: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Пункт 2.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Городской уровень (региональный)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Победители и призеры конкурса «Микромир»   - 2 команды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- Победители и призеры аквамарафона– 2 команды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- победители и призеры регионального этапа всероссийской олимпиады школьников по биологии – 14 человек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- победители и призеры регионального этапа всероссийской олимпиады школьников по экологии – </w:t>
      </w:r>
      <w:r>
        <w:rPr>
          <w:rFonts w:cs="Times New Roman" w:ascii="Times New Roman" w:hAnsi="Times New Roman"/>
          <w:sz w:val="24"/>
          <w:szCs w:val="24"/>
          <w:lang w:val="ru-RU"/>
        </w:rPr>
        <w:t>10</w:t>
      </w:r>
      <w:r>
        <w:rPr>
          <w:rFonts w:cs="Times New Roman" w:ascii="Times New Roman" w:hAnsi="Times New Roman"/>
          <w:sz w:val="24"/>
          <w:szCs w:val="24"/>
        </w:rPr>
        <w:t xml:space="preserve"> человек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лауреаты и призеры открытой городской научно практической конференции по биологии «Ученые будущего» - 12 человек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Всероссийский уровень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Победители и призер заключительного этапа всероссийской олимпиады школьников по биологии – </w:t>
      </w:r>
      <w:r>
        <w:rPr>
          <w:rFonts w:cs="Times New Roman" w:ascii="Times New Roman" w:hAnsi="Times New Roman"/>
          <w:sz w:val="24"/>
          <w:szCs w:val="24"/>
          <w:lang w:val="ru-RU"/>
        </w:rPr>
        <w:t>1</w:t>
      </w:r>
      <w:r>
        <w:rPr>
          <w:rFonts w:cs="Times New Roman" w:ascii="Times New Roman" w:hAnsi="Times New Roman"/>
          <w:sz w:val="24"/>
          <w:szCs w:val="24"/>
        </w:rPr>
        <w:t xml:space="preserve"> человек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Победители и дипломанты всероссийского конкурса Юных исследователей окружающей среды – </w:t>
      </w:r>
      <w:r>
        <w:rPr>
          <w:rFonts w:cs="Times New Roman" w:ascii="Times New Roman" w:hAnsi="Times New Roman"/>
          <w:sz w:val="24"/>
          <w:szCs w:val="24"/>
          <w:lang w:val="ru-RU"/>
        </w:rPr>
        <w:t>2</w:t>
      </w:r>
      <w:r>
        <w:rPr>
          <w:rFonts w:cs="Times New Roman" w:ascii="Times New Roman" w:hAnsi="Times New Roman"/>
          <w:sz w:val="24"/>
          <w:szCs w:val="24"/>
        </w:rPr>
        <w:t xml:space="preserve"> чел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Пункт 3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Структурное подразделение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Организация выставки, посвященной Дню победы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Организация выставки, посвященной 60 летию городской олимпиады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 Организация праздника окончания учебного года в ЭБЦ «Крестовский остров»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Городской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Организация информационно игровых мероприятий, посвященных 60 летия городской олимпиады и предшествующих процедуре награждения победителей и призеров «Дня науки»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Пункт 3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Обеспечение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 взаимодействия с Кандалакшским государственным заповедником, Санкт-Петербургским Государственным Университетом (Академическая гимназия), Детским эколого-биологичеким центром г. Кандалакша, Детским коллективом при РПЦ МП «Зеленая дружина» г. Москва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Пункт 9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Разработка программы и проведение КПК «Инструментарий применения статистических методов в эколого-биологических проектах учащихся в системе дополнительного образования детей»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Пункт 12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Доклады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 на семинаре «Как разговаривать с детьми о науке». ЗИН РАН Сентябрь 2023.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Доклад на межрегиональной конференции «Формирование функциональной грамотности обучающихся: новые решения и новые возможности» март 2024.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Пункт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 15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Консультации при подготовки научно-популярного фильма «Литораль Белого моря» </w:t>
      </w:r>
      <w:hyperlink r:id="rId2">
        <w:r>
          <w:rPr>
            <w:rStyle w:val="Hyperlink"/>
            <w:rFonts w:cs="Times New Roman" w:ascii="Times New Roman" w:hAnsi="Times New Roman"/>
            <w:sz w:val="24"/>
            <w:szCs w:val="24"/>
            <w:lang w:val="ru-RU"/>
          </w:rPr>
          <w:t>https://youtu.be/axia_niY7Iw</w:t>
        </w:r>
      </w:hyperlink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Участие в съемках фильма о Е. А. Нинбурге в программе «Невский ковчег. Теория невозможного».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left="360" w:right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Сумма баллов для определения уровня эффективности</w:t>
      </w:r>
    </w:p>
    <w:p>
      <w:pPr>
        <w:pStyle w:val="Normal"/>
        <w:spacing w:lineRule="auto" w:line="240" w:before="0" w:after="0"/>
        <w:ind w:left="360" w:right="1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</w:r>
    </w:p>
    <w:tbl>
      <w:tblPr>
        <w:tblW w:w="152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8"/>
        <w:gridCol w:w="4530"/>
        <w:gridCol w:w="4938"/>
      </w:tblGrid>
      <w:tr>
        <w:trPr/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Уровни эффективности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Количество баллов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для руководящих работников структурных подразделений, осуществляющих образовательную деятельность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Количество баллов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для руководящих работников структурных подразделений, осуществляющих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сопровождение образовательного процесса</w:t>
            </w:r>
          </w:p>
        </w:tc>
      </w:tr>
      <w:tr>
        <w:trPr/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Высокий уровень эффективности деятельности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151 и выше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101 и более</w:t>
            </w:r>
          </w:p>
        </w:tc>
      </w:tr>
      <w:tr>
        <w:trPr/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Средний уровень эффективности деятельности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101-150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61-100</w:t>
            </w:r>
          </w:p>
        </w:tc>
      </w:tr>
      <w:tr>
        <w:trPr/>
        <w:tc>
          <w:tcPr>
            <w:tcW w:w="5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Наличие  эффективности  в деятельности по отдельным направлениям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50-100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30-60</w:t>
            </w:r>
          </w:p>
        </w:tc>
      </w:tr>
    </w:tbl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720" w:leader="none"/>
        </w:tabs>
        <w:suppressAutoHyphens w:val="true"/>
        <w:spacing w:lineRule="auto" w:line="240" w:before="0" w:after="0"/>
        <w:rPr>
          <w:rFonts w:ascii="Times New Roman" w:hAnsi="Times New Roman" w:cs="Times New Roman"/>
          <w:b/>
          <w:bCs/>
          <w:i/>
          <w:i/>
          <w:iCs/>
        </w:rPr>
      </w:pPr>
      <w:r>
        <w:rPr>
          <w:rFonts w:cs="Times New Roman" w:ascii="Times New Roman" w:hAnsi="Times New Roman"/>
          <w:b/>
          <w:bCs/>
          <w:i/>
          <w:iCs/>
        </w:rPr>
        <w:t>При наличии взысканий за отчетный период оценка эффективности деятельности не производится!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orient="landscape" w:w="16838" w:h="11906"/>
      <w:pgMar w:left="1134" w:right="1134" w:gutter="0" w:header="0" w:top="510" w:footer="0" w:bottom="51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cc"/>
    <w:family w:val="swiss"/>
    <w:pitch w:val="default"/>
  </w:font>
  <w:font w:name="Symbol">
    <w:charset w:val="02"/>
    <w:family w:val="roman"/>
    <w:pitch w:val="default"/>
  </w:font>
  <w:font w:name="OpenSymbol">
    <w:altName w:val="Arial Unicode MS"/>
    <w:charset w:val="80"/>
    <w:family w:val="auto"/>
    <w:pitch w:val="default"/>
  </w:font>
  <w:font w:name="Segoe UI">
    <w:charset w:val="cc"/>
    <w:family w:val="swiss"/>
    <w:pitch w:val="default"/>
  </w:font>
  <w:font w:name="Times New Roman">
    <w:charset w:val="cc"/>
    <w:family w:val="roman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eastAsia="en-US" w:bidi="ar-SA"/>
    </w:rPr>
  </w:style>
  <w:style w:type="character" w:styleId="WW8Num1z0">
    <w:name w:val="WW8Num1z0"/>
    <w:qFormat/>
    <w:rPr>
      <w:rFonts w:ascii="Symbol" w:hAnsi="Symbol" w:cs="OpenSymbol"/>
    </w:rPr>
  </w:style>
  <w:style w:type="character" w:styleId="WW8Num1z1">
    <w:name w:val="WW8Num1z1"/>
    <w:qFormat/>
    <w:rPr>
      <w:rFonts w:ascii="OpenSymbol" w:hAnsi="OpenSymbol" w:cs="OpenSymbol"/>
    </w:rPr>
  </w:style>
  <w:style w:type="character" w:styleId="Style14">
    <w:name w:val="Основной шрифт абзаца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character" w:styleId="Style15">
    <w:name w:val="Текст выноски Знак"/>
    <w:qFormat/>
    <w:rPr>
      <w:rFonts w:ascii="Segoe UI" w:hAnsi="Segoe UI" w:cs="Segoe UI"/>
      <w:sz w:val="18"/>
      <w:szCs w:val="18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6">
    <w:name w:val="Текст выноски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21">
    <w:name w:val="Основной текст с отступом 21"/>
    <w:basedOn w:val="Normal"/>
    <w:qFormat/>
    <w:pPr>
      <w:spacing w:lineRule="auto" w:line="240" w:before="0" w:after="0"/>
      <w:ind w:firstLine="567" w:left="0" w:right="0"/>
    </w:pPr>
    <w:rPr>
      <w:rFonts w:ascii="Times New Roman" w:hAnsi="Times New Roman" w:eastAsia="Times New Roman" w:cs="Times New Roman"/>
      <w:sz w:val="24"/>
      <w:szCs w:val="20"/>
      <w:lang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youtu.be/axia_niY7Iw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24480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2024-06-06T14:09:00Z</dcterms:created>
  <dc:creator>home1</dc:creator>
  <dc:description/>
  <dc:language>en-US</dc:language>
  <cp:lastModifiedBy>google1599737165</cp:lastModifiedBy>
  <cp:lastPrinted>2024-01-29T14:18:00Z</cp:lastPrinted>
  <dcterms:modified xsi:type="dcterms:W3CDTF">2024-06-09T10:54:33Z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0E85DD9593594A63A88861902AFA6B51_13</vt:lpwstr>
  </property>
  <property fmtid="{D5CDD505-2E9C-101B-9397-08002B2CF9AE}" pid="3" name="KSOProductBuildVer">
    <vt:lpwstr>1049-12.2.0.16909</vt:lpwstr>
  </property>
</Properties>
</file>