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color w:val="000000"/>
          <w:sz w:val="20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color w:val="000000"/>
          <w:sz w:val="20"/>
          <w:szCs w:val="20"/>
          <w:lang w:eastAsia="zh-CN"/>
        </w:rPr>
      </w:pPr>
      <w:r>
        <w:rPr>
          <w:rFonts w:ascii="Times New Roman" w:hAnsi="Times New Roman" w:eastAsia="Times New Roman" w:cs="Arial"/>
          <w:color w:val="000000"/>
          <w:sz w:val="20"/>
          <w:szCs w:val="20"/>
          <w:lang w:eastAsia="zh-CN"/>
        </w:rPr>
        <w:t>ГОСУДАРСТВЕННОЕ БЮДЖЕТНОЕ НЕТИПОВОЕ ОБРАЗОВАТЕЛЬНОЕ УЧРЕЖДЕНИЕ</w:t>
      </w: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color w:val="000000"/>
          <w:sz w:val="20"/>
          <w:szCs w:val="20"/>
          <w:lang w:eastAsia="zh-CN"/>
        </w:rPr>
      </w:pPr>
      <w:r>
        <w:rPr>
          <w:rFonts w:ascii="Times New Roman" w:hAnsi="Times New Roman" w:eastAsia="Times New Roman" w:cs="Arial"/>
          <w:color w:val="000000"/>
          <w:sz w:val="20"/>
          <w:szCs w:val="20"/>
          <w:lang w:eastAsia="zh-CN"/>
        </w:rPr>
        <w:t>«САНКТ-ПЕТЕРБУРГСКИЙ ГОРОДСКОЙ ДВОРЕЦ ТВОРЧЕСТВА ЮНЫХ»</w:t>
      </w: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color w:val="000000"/>
          <w:sz w:val="20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4"/>
          <w:szCs w:val="20"/>
          <w:lang w:eastAsia="zh-CN"/>
        </w:rPr>
      </w:pPr>
    </w:p>
    <w:tbl>
      <w:tblPr>
        <w:tblStyle w:val="3"/>
        <w:tblW w:w="96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9"/>
        <w:gridCol w:w="50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9" w:type="dxa"/>
            <w:shd w:val="clear" w:color="auto" w:fill="auto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  <w:t>ПРИНЯТА</w:t>
            </w:r>
          </w:p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  <w:t>Протокол Малого педагогического совета</w:t>
            </w:r>
          </w:p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  <w:t xml:space="preserve">Городского центра развития дополнительного образования </w:t>
            </w:r>
          </w:p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  <w:t>№ ____ от ________________ 2023г.</w:t>
            </w:r>
          </w:p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  <w:t>Заведующий ГЦРДО</w:t>
            </w:r>
          </w:p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  <w:t>_____________________</w:t>
            </w:r>
            <w:r>
              <w:rPr>
                <w:rFonts w:ascii="Times New Roman" w:hAnsi="Times New Roman" w:eastAsia="Times New Roman" w:cs="Arial"/>
                <w:color w:val="000000"/>
                <w:sz w:val="24"/>
                <w:szCs w:val="20"/>
                <w:highlight w:val="yellow"/>
                <w:lang w:eastAsia="zh-CN"/>
              </w:rPr>
              <w:t>М.К. Мавлюдова</w:t>
            </w:r>
          </w:p>
        </w:tc>
        <w:tc>
          <w:tcPr>
            <w:tcW w:w="5020" w:type="dxa"/>
            <w:shd w:val="clear" w:color="auto" w:fill="auto"/>
          </w:tcPr>
          <w:p>
            <w:pPr>
              <w:widowControl w:val="0"/>
              <w:suppressAutoHyphens/>
              <w:autoSpaceDE w:val="0"/>
              <w:spacing w:after="0" w:line="240" w:lineRule="auto"/>
              <w:ind w:left="318"/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  <w:t xml:space="preserve">УТВЕРЖДЕНА </w:t>
            </w:r>
          </w:p>
          <w:p>
            <w:pPr>
              <w:spacing w:after="0" w:line="240" w:lineRule="auto"/>
              <w:ind w:left="318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Приказ </w:t>
            </w:r>
            <w:r>
              <w:rPr>
                <w:rFonts w:ascii="Times New Roman" w:hAnsi="Times New Roman" w:eastAsia="Segoe UI Symbol" w:cs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________от «__»______2023 г.</w:t>
            </w:r>
          </w:p>
          <w:p>
            <w:pPr>
              <w:spacing w:after="0" w:line="240" w:lineRule="auto"/>
              <w:ind w:left="318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ind w:left="318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Генеральный директор </w:t>
            </w:r>
          </w:p>
          <w:p>
            <w:pPr>
              <w:spacing w:after="0" w:line="240" w:lineRule="auto"/>
              <w:ind w:left="318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>
            <w:pPr>
              <w:widowControl w:val="0"/>
              <w:suppressAutoHyphens/>
              <w:autoSpaceDE w:val="0"/>
              <w:spacing w:after="0" w:line="240" w:lineRule="auto"/>
              <w:ind w:left="318"/>
              <w:rPr>
                <w:rFonts w:ascii="Times New Roman" w:hAnsi="Times New Roman" w:eastAsia="Times New Roman" w:cs="Arial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________________________М.Р. Катунова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jc w:val="right"/>
        <w:rPr>
          <w:rFonts w:ascii="Times New Roman" w:hAnsi="Times New Roman" w:eastAsia="Times New Roman" w:cs="Arial"/>
          <w:color w:val="000000"/>
          <w:sz w:val="24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right"/>
        <w:rPr>
          <w:rFonts w:ascii="Times New Roman" w:hAnsi="Times New Roman" w:eastAsia="Times New Roman" w:cs="Arial"/>
          <w:color w:val="000000"/>
          <w:sz w:val="24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right"/>
        <w:rPr>
          <w:rFonts w:ascii="Times New Roman" w:hAnsi="Times New Roman" w:eastAsia="Times New Roman" w:cs="Arial"/>
          <w:b/>
          <w:color w:val="000000"/>
          <w:sz w:val="24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right"/>
        <w:rPr>
          <w:rFonts w:ascii="Times New Roman" w:hAnsi="Times New Roman" w:eastAsia="Times New Roman" w:cs="Arial"/>
          <w:b/>
          <w:color w:val="000000"/>
          <w:sz w:val="24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8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8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8"/>
          <w:szCs w:val="20"/>
          <w:lang w:eastAsia="zh-CN"/>
        </w:rPr>
      </w:pPr>
    </w:p>
    <w:p>
      <w:pPr>
        <w:widowControl w:val="0"/>
        <w:suppressAutoHyphens/>
        <w:spacing w:after="0" w:line="240" w:lineRule="auto"/>
        <w:jc w:val="center"/>
        <w:textAlignment w:val="baseline"/>
        <w:rPr>
          <w:rFonts w:ascii="Times New Roman" w:hAnsi="Times New Roman" w:eastAsia="Andale Sans UI" w:cs="Tahoma"/>
          <w:b/>
          <w:bCs/>
          <w:kern w:val="1"/>
          <w:sz w:val="24"/>
          <w:szCs w:val="24"/>
          <w:lang w:eastAsia="ja-JP" w:bidi="fa-IR"/>
        </w:rPr>
      </w:pPr>
      <w:r>
        <w:rPr>
          <w:rFonts w:ascii="Times New Roman" w:hAnsi="Times New Roman" w:eastAsia="Andale Sans UI" w:cs="Tahoma"/>
          <w:b/>
          <w:bCs/>
          <w:kern w:val="1"/>
          <w:sz w:val="24"/>
          <w:szCs w:val="24"/>
          <w:lang w:eastAsia="ja-JP" w:bidi="fa-IR"/>
        </w:rPr>
        <w:t>Дополнительная профессиональная программа</w:t>
      </w:r>
    </w:p>
    <w:p>
      <w:pPr>
        <w:widowControl w:val="0"/>
        <w:suppressAutoHyphens/>
        <w:spacing w:after="0" w:line="240" w:lineRule="auto"/>
        <w:jc w:val="center"/>
        <w:textAlignment w:val="baseline"/>
        <w:rPr>
          <w:rFonts w:ascii="Times New Roman" w:hAnsi="Times New Roman" w:eastAsia="Andale Sans UI" w:cs="Tahoma"/>
          <w:b/>
          <w:bCs/>
          <w:kern w:val="1"/>
          <w:sz w:val="24"/>
          <w:szCs w:val="24"/>
          <w:lang w:eastAsia="ja-JP" w:bidi="fa-IR"/>
        </w:rPr>
      </w:pPr>
      <w:r>
        <w:rPr>
          <w:rFonts w:ascii="Times New Roman" w:hAnsi="Times New Roman" w:eastAsia="Andale Sans UI" w:cs="Tahoma"/>
          <w:b/>
          <w:bCs/>
          <w:kern w:val="1"/>
          <w:sz w:val="24"/>
          <w:szCs w:val="24"/>
          <w:lang w:eastAsia="ja-JP" w:bidi="fa-IR"/>
        </w:rPr>
        <w:t>повышения квалификации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Liberation Serif" w:hAnsi="Liberation Serif" w:eastAsia="AR PL KaitiM GB" w:cs="Lohit Hindi"/>
          <w:b/>
          <w:kern w:val="1"/>
          <w:sz w:val="24"/>
          <w:szCs w:val="24"/>
          <w:lang w:eastAsia="hi-IN" w:bidi="hi-IN"/>
        </w:rPr>
        <w:t>«</w:t>
      </w:r>
      <w:r>
        <w:rPr>
          <w:rFonts w:ascii="Times New Roman" w:hAnsi="Times New Roman" w:eastAsia="AR PL KaitiM GB" w:cs="Times New Roman"/>
          <w:b/>
          <w:bCs/>
          <w:kern w:val="1"/>
          <w:sz w:val="24"/>
          <w:szCs w:val="24"/>
          <w:lang w:val="ru-RU" w:eastAsia="hi-IN" w:bidi="hi-IN"/>
        </w:rPr>
        <w:t>Обработка</w:t>
      </w:r>
      <w:r>
        <w:rPr>
          <w:rFonts w:hint="default" w:ascii="Times New Roman" w:hAnsi="Times New Roman" w:eastAsia="AR PL KaitiM GB" w:cs="Times New Roman"/>
          <w:b/>
          <w:bCs/>
          <w:kern w:val="1"/>
          <w:sz w:val="24"/>
          <w:szCs w:val="24"/>
          <w:lang w:val="ru-RU" w:eastAsia="hi-IN" w:bidi="hi-IN"/>
        </w:rPr>
        <w:t xml:space="preserve"> и визуализация данных в эколого-биологических исследованиях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Количество часов по учебному плану: 18 часов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Разработчики программы: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Хаутов В.М., зав.лабораторией ЭБЦ «Крестовский остров» ГБНОУ «СПБ ГДТЮ» 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Еремеева Елена Юльевна, старший методист ЭБЦ «Крестовский остров» ГБНОУ «СПБ ГДТЮ»  </w:t>
      </w:r>
    </w:p>
    <w:p>
      <w:pPr>
        <w:widowControl w:val="0"/>
        <w:suppressAutoHyphens/>
        <w:spacing w:after="0" w:line="240" w:lineRule="auto"/>
        <w:jc w:val="center"/>
        <w:textAlignment w:val="baseline"/>
        <w:rPr>
          <w:rFonts w:ascii="Times New Roman" w:hAnsi="Times New Roman" w:eastAsia="Andale Sans UI" w:cs="Tahoma"/>
          <w:b/>
          <w:bCs/>
          <w:kern w:val="1"/>
          <w:sz w:val="28"/>
          <w:szCs w:val="28"/>
          <w:lang w:eastAsia="ja-JP" w:bidi="fa-IR"/>
        </w:rPr>
      </w:pPr>
    </w:p>
    <w:p>
      <w:pPr>
        <w:widowControl w:val="0"/>
        <w:tabs>
          <w:tab w:val="left" w:pos="5240"/>
        </w:tabs>
        <w:suppressAutoHyphens/>
        <w:autoSpaceDE w:val="0"/>
        <w:spacing w:after="0" w:line="240" w:lineRule="auto"/>
        <w:rPr>
          <w:rFonts w:ascii="Times New Roman" w:hAnsi="Times New Roman" w:eastAsia="Times New Roman" w:cs="Arial"/>
          <w:b/>
          <w:color w:val="000000"/>
          <w:sz w:val="24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4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4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4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right"/>
        <w:rPr>
          <w:rFonts w:ascii="Times New Roman" w:hAnsi="Times New Roman" w:eastAsia="Times New Roman" w:cs="Arial"/>
          <w:b/>
          <w:color w:val="000000"/>
          <w:sz w:val="24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8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8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8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8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b/>
          <w:color w:val="000000"/>
          <w:sz w:val="28"/>
          <w:szCs w:val="20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  <w:t>ОДОБРЕНА</w:t>
      </w:r>
    </w:p>
    <w:p>
      <w:pPr>
        <w:widowControl w:val="0"/>
        <w:suppressAutoHyphens/>
        <w:autoSpaceDE w:val="0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  <w:t>Протокол Методического совета</w:t>
      </w:r>
    </w:p>
    <w:p>
      <w:pPr>
        <w:widowControl w:val="0"/>
        <w:suppressAutoHyphens/>
        <w:autoSpaceDE w:val="0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eastAsia="Segoe UI Symbol" w:cs="Times New Roman"/>
          <w:color w:val="000000"/>
          <w:sz w:val="24"/>
          <w:szCs w:val="24"/>
          <w:lang w:eastAsia="zh-CN"/>
        </w:rPr>
        <w:t>№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  <w:t>___от _______________2023 г.</w:t>
      </w: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Arial"/>
          <w:color w:val="000000"/>
          <w:sz w:val="24"/>
          <w:szCs w:val="20"/>
          <w:shd w:val="clear" w:color="auto" w:fill="FFFFFF"/>
          <w:lang w:eastAsia="zh-CN"/>
        </w:rPr>
      </w:pPr>
      <w:r>
        <w:rPr>
          <w:rFonts w:ascii="Times New Roman" w:hAnsi="Times New Roman" w:eastAsia="Times New Roman" w:cs="Arial"/>
          <w:color w:val="000000"/>
          <w:sz w:val="24"/>
          <w:szCs w:val="20"/>
          <w:shd w:val="clear" w:color="auto" w:fill="FFFFFF"/>
          <w:lang w:eastAsia="zh-CN"/>
        </w:rPr>
        <w:t xml:space="preserve"> </w:t>
      </w:r>
    </w:p>
    <w:p>
      <w:pPr>
        <w:widowControl w:val="0"/>
        <w:suppressAutoHyphens/>
        <w:spacing w:after="0" w:line="240" w:lineRule="auto"/>
        <w:jc w:val="both"/>
        <w:textAlignment w:val="baseline"/>
        <w:rPr>
          <w:rFonts w:ascii="Times New Roman" w:hAnsi="Times New Roman" w:eastAsia="Andale Sans UI" w:cs="Tahoma"/>
          <w:kern w:val="1"/>
          <w:sz w:val="24"/>
          <w:szCs w:val="24"/>
          <w:lang w:eastAsia="ja-JP" w:bidi="fa-IR"/>
        </w:rPr>
      </w:pPr>
    </w:p>
    <w:p>
      <w:pPr>
        <w:widowControl w:val="0"/>
        <w:suppressAutoHyphens/>
        <w:spacing w:after="0" w:line="240" w:lineRule="auto"/>
        <w:jc w:val="both"/>
        <w:textAlignment w:val="baseline"/>
        <w:rPr>
          <w:rFonts w:ascii="Times New Roman" w:hAnsi="Times New Roman" w:eastAsia="Andale Sans UI" w:cs="Tahoma"/>
          <w:kern w:val="1"/>
          <w:sz w:val="24"/>
          <w:szCs w:val="24"/>
          <w:lang w:eastAsia="ja-JP" w:bidi="fa-IR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bCs/>
          <w:sz w:val="20"/>
          <w:szCs w:val="20"/>
          <w:lang w:eastAsia="zh-CN"/>
        </w:rPr>
        <w:br w:type="page"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ПОЯСНИТЕЛЬНАЯ ЗАПИСКА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Дополнительная профессиональная программа повышения квалификации «Экологическое просвещение в рамках реализации дополнительной общеобразовательной программы» разработана для реализации на курсах повышения квалификации специалистов дополнительного образования детей в Санкт-Петербургском городском Дворце творчества юных.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Экологическое просвещение, образование и воспитание - компоненты образовательной деятельности, направленной на формирование экологической культуры в обществе. Эти задачи государственного уровня стоят и перед педагогическими работниками сферы дополнительного образования детей естественнонаучной направленности, что определено федеральными законами и документами.  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Согласно статье 74 Федерального закона «Об охране окружающей среды» экологическое просвещение осуществляется посредством распространения экологических знаний об экологической безопасности, информации о состоянии окружающей среды и об использовании природных ресурсов. Оно может реализовываться разнообразными органами власти, общественными объединениями, средствами массовой информации, а также организациями, осуществляющими образовательную деятельность.  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документе «О внесении изменений в Федеральный закон «Об образовании в Российской Федерации» по вопросам воспитания обучающихся» формирование у обучающихся бережного отношения к природе и окружающей среде приводится как один из компонентов воспитания. 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 Концепции развития дополнительного образования детей в Российской Федерации до 2030 года среди его основных задач упоминаются такие, как формирование у детей и молодежи социальной ответственности; расширение возможности для использования в образовательном и воспитательном процессе культурного и природного наследия народов России; создание условий по регулярному проведению экскурсий для детей, включая экскурсии по научно-образовательной тематике, формирование туристских маршрутов для ознакомления детей природой своего региона. Помимо этого, отмечается важность развития системы творческих конкурсов, фестивалей, научно-практических конференций для обучающихся. В концепции приводятся приоритеты обновления содержания и технологий по конкретным направленностям: в частности, в рамках реализации дополнительных общеобразовательных программ естественнонаучной направленности это создание условий для вовлечения детей в научную работу, в деятельность, связанную с наблюдением, описанием, моделированием и конструированием различных явлений окружающего мира, обеспечение междисциплинарного подхода в части интеграции с различными областями знаний (включая экологию), содействие формированию у обучающихся навыков, связанных с безопасным пребыванием в условиях природной и городской среды.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Таким образом, экологическое просвещение учащихся является компонентом дополнительных общеобразовательных программ естественнонаучной направленности и может осуществляться каждым педагогом в зависимости от уровня его подготовки в области экологических знаний. Помимо этого, в олимпиаде школьников по экологии ведущая роль отводится проектам ее участников, что предполагает серьезную дополнительную профессиональную подготовку педагогов, сопровождающих проектную деятельность учащихся, а также работу со специалистами, которые призваны производить экспертную оценку проектов учащихся.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Исходя из вышеизложенного,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актуальность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дополнительной профессиональной программы повышения квалификации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Экологическое просвещение в рамках реализации дополнительной общеобразовательной программы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» (далее – программа) </w:t>
      </w:r>
      <w:r>
        <w:rPr>
          <w:rFonts w:ascii="Times New Roman" w:hAnsi="Times New Roman" w:cs="Times New Roman"/>
          <w:color w:val="000000"/>
          <w:sz w:val="24"/>
          <w:szCs w:val="24"/>
        </w:rPr>
        <w:t>обусловлена: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необходимостью дальнейшего развития экологического просвещения, образования и воспитания подрастающего поколения путем совершенствования методического инструментария и расширения предметного кругозора педагогов дополнительного образования детей в области экологии; 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основными задачами Концепции развития дополнительного образования до 2030 года и сформулированными в ее рамках приоритетами обновления содержания дополнительных общеобразовательных программ естественнонаучной направленности.</w:t>
      </w:r>
    </w:p>
    <w:p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eastAsia="AR PL KaitiM GB" w:cs="Times New Roman"/>
          <w:kern w:val="1"/>
          <w:sz w:val="24"/>
          <w:szCs w:val="24"/>
          <w:lang w:eastAsia="hi-IN" w:bidi="hi-IN"/>
        </w:rPr>
      </w:pPr>
      <w:r>
        <w:rPr>
          <w:rFonts w:ascii="Times New Roman" w:hAnsi="Times New Roman" w:eastAsia="AR PL KaitiM GB" w:cs="Times New Roman"/>
          <w:kern w:val="1"/>
          <w:sz w:val="24"/>
          <w:szCs w:val="24"/>
          <w:lang w:eastAsia="hi-IN" w:bidi="hi-IN"/>
        </w:rPr>
        <w:t xml:space="preserve">Таким образом, программа ориентирована на углубление знаний педагогических  работников системы дополнительного образования детей в области экологии и расширение их представлений  о возможностях, формах и методах экологического просвещения в рамках реализации дополнительных общеобразовательных программ.  </w:t>
      </w:r>
    </w:p>
    <w:p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eastAsia="AR PL KaitiM GB" w:cs="Times New Roman"/>
          <w:kern w:val="1"/>
          <w:sz w:val="24"/>
          <w:szCs w:val="24"/>
          <w:lang w:eastAsia="hi-IN" w:bidi="hi-IN"/>
        </w:rPr>
      </w:pPr>
      <w:r>
        <w:rPr>
          <w:rFonts w:ascii="Times New Roman" w:hAnsi="Times New Roman" w:eastAsia="AR PL KaitiM GB" w:cs="Times New Roman"/>
          <w:b/>
          <w:kern w:val="1"/>
          <w:sz w:val="24"/>
          <w:szCs w:val="24"/>
          <w:lang w:eastAsia="hi-IN" w:bidi="hi-IN"/>
        </w:rPr>
        <w:t>Новизна</w:t>
      </w:r>
      <w:r>
        <w:rPr>
          <w:rFonts w:ascii="Times New Roman" w:hAnsi="Times New Roman" w:eastAsia="AR PL KaitiM GB" w:cs="Times New Roman"/>
          <w:kern w:val="1"/>
          <w:sz w:val="24"/>
          <w:szCs w:val="24"/>
          <w:lang w:eastAsia="hi-IN" w:bidi="hi-IN"/>
        </w:rPr>
        <w:t xml:space="preserve"> программы состоит в практико-ориентированном подходе к изучению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основ эколого-биологических знаний с целью их применения в различных формах экологического просвещения. На основе изученного материала слушатели смогут разработать различные варианты использования и совершенствования экологического просвещения в рамках реализации дополнительных образовательных программ. </w:t>
      </w:r>
    </w:p>
    <w:p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Цель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программы – совершенствование имеющихся и получение новых компетенций педагогическими работниками системы дополнительного образования детей, необходимых для профессиональной деятельности: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способность применять знания и умения, необходимые для достижения высокого уровня экологического просвещения учащихся;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способность применять различные формы и методы экологического просвещения учащихся в рамках реализации дополнительных общеобразовательных программ;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способность отбирать, анализировать и применять информацию, необходимую для . планирования и эффективной педагогической поддержки эколого-просветительской проектной деятельности учащихся;</w:t>
      </w:r>
    </w:p>
    <w:p>
      <w:pPr>
        <w:shd w:val="clear" w:color="auto" w:fill="FFFFFF"/>
        <w:spacing w:after="0" w:line="240" w:lineRule="auto"/>
        <w:ind w:left="720"/>
        <w:contextualSpacing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Задачи:</w:t>
      </w:r>
    </w:p>
    <w:p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Углубление эколого-биологических знаний слушателей, </w:t>
      </w:r>
    </w:p>
    <w:p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Расширение представлений слушателей о формах экологического просвещения учащихся в рамках реализации дополнительных общеобразовательных программ;</w:t>
      </w:r>
    </w:p>
    <w:p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Формирование профессиональной компетентности слушателей в области педагогического сопровождения эколого-просветительских проектов учащихся;</w:t>
      </w:r>
    </w:p>
    <w:p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Формирование профессиональной компетентности слушателей в области подготовки учащихся к участию в различных конкурсных мероприятиях эколого-биологической направленности. </w:t>
      </w:r>
    </w:p>
    <w:p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Планируемые результаты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обучения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Содержание программы учитывает требования к профессиональным компетенциям педагога дополнительного образования детей и взрослых, утвержденным Единым квалификационным справочником (ЕКС) должностей руководителей, специалистов и служащих (приложение к приказу Министерства здравоохранения и социального развития РФ от 26 августа 2010 г. № 761н), а также профессионального стандарта «Педагог дополнительного образования детей и взрослых», действующим с 1 сентября 2022 года и утвержденным приказом Министерства труда и социальной защиты Российской Федерации от 22.09.2021 № 652н. 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after="0" w:line="240" w:lineRule="auto"/>
              <w:ind w:firstLine="709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Трудовая функция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ind w:firstLine="709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Трудовые действия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after="0" w:line="240" w:lineRule="auto"/>
              <w:ind w:firstLine="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Организация деятельности обучающихся, направленной на освоение дополнительной общеобразовательной программы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ind w:firstLine="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Организация, в том числе стимулирование и мотивация, деятельности и общения обучающихся на учебных занятиях</w:t>
            </w:r>
          </w:p>
          <w:p>
            <w:pPr>
              <w:spacing w:after="0" w:line="240" w:lineRule="auto"/>
              <w:ind w:firstLine="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Разработка мероприятий по модернизации оснащения учебного помещения, формирование его предметно-пространственной среды, обеспечивающей освоение образовательной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100" w:beforeAutospacing="1" w:after="100" w:afterAutospacing="1" w:line="240" w:lineRule="auto"/>
              <w:ind w:firstLine="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Разработка программно-методического обеспечения реализации дополнительной общеобразовательной программы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ind w:firstLine="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Разработка дополнительных общеобразовательных программ (программ учебных курсов, дисциплин (модулей)) и учебно-методических материалов для их реализации</w:t>
            </w:r>
          </w:p>
          <w:p>
            <w:pPr>
              <w:spacing w:after="0" w:line="240" w:lineRule="auto"/>
              <w:ind w:firstLine="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Определение педагогических целей и задач, планирование занятий и (или) циклов занятий, направленных на освоение избранного вида деятельности (области дополнительного образования)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В результате освоения программы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слушатель должен приобрести следующие знания и умения, необходимые для совершенствования или формирования новых компетенций:</w:t>
      </w:r>
    </w:p>
    <w:p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слушатель должен знать:</w:t>
      </w:r>
    </w:p>
    <w:p>
      <w:pPr>
        <w:pStyle w:val="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основные экологические проблемы современности, важнейших представителей флоры и фауны, а также природоохранные объекты Северо-западного региона - в объеме, необходимом для осуществления  экологического просвещения учащихся на высоком профессиональном уровне;</w:t>
      </w:r>
    </w:p>
    <w:p>
      <w:pPr>
        <w:pStyle w:val="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разнообразие форм и методов экологического просвещения учащихся;</w:t>
      </w:r>
    </w:p>
    <w:p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слушатель должен уметь:</w:t>
      </w:r>
    </w:p>
    <w:p>
      <w:pPr>
        <w:pStyle w:val="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осуществлять педагогическое сопровождение эколого-просветительских проектов учащихся; </w:t>
      </w:r>
    </w:p>
    <w:p>
      <w:pPr>
        <w:pStyle w:val="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осуществлять подготовку учащихся к участию в различных конкурсных мероприятиях эколого-биологической направленности.</w:t>
      </w:r>
    </w:p>
    <w:p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Развиваемые и совершенствуемые профессиональные компетенции: </w:t>
      </w:r>
    </w:p>
    <w:p>
      <w:pPr>
        <w:pStyle w:val="8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Информационная – способность оперировать объемом информации (знаний), необходимым для осуществления экологического просвещения учащихся;</w:t>
      </w:r>
    </w:p>
    <w:p>
      <w:pPr>
        <w:pStyle w:val="8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Регулятивная – способность планировать и осуществлять педагогическую поддержку проектной деятельности учащихся;</w:t>
      </w:r>
    </w:p>
    <w:p>
      <w:pPr>
        <w:pStyle w:val="8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Интеллектуально-педагогическая – способность анализа информации в процессе педагогического сопровождения эколого-просветительской проектной деятельности учащихся и экспертной оценки ее результатов;</w:t>
      </w:r>
    </w:p>
    <w:p>
      <w:pPr>
        <w:pStyle w:val="8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Операциона</w:t>
      </w: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льная – умение организовывать различные формы экологического просвещения и эколого-просветительской проектной деятельности учащихся;</w:t>
      </w:r>
    </w:p>
    <w:p>
      <w:pPr>
        <w:pStyle w:val="8"/>
        <w:numPr>
          <w:ilvl w:val="0"/>
          <w:numId w:val="4"/>
        </w:numP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Коммуникативная – способность осуществлять педагогическое сопровождение проектной деятельности учащихся с позиции фасилитатора, умение презентовать и защитить собственную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green"/>
          <w:lang w:eastAsia="ru-RU"/>
        </w:rPr>
        <w:t>квалификационную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работу.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Оценка планируемых результатов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Формой итоговой аттестации в рамках программы повышения квалификации является выполнение и защита 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курсовой работы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раскрывающей применение полученных знаний в ходе реализации дополнительных общеобразовательных программ, реализуемых слушателями. Защита 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курсовых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проводится в форме конференции. </w:t>
      </w:r>
    </w:p>
    <w:p>
      <w:pPr>
        <w:spacing w:after="0" w:line="240" w:lineRule="auto"/>
        <w:ind w:firstLine="426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</w:p>
    <w:p>
      <w:pPr>
        <w:spacing w:after="0" w:line="240" w:lineRule="auto"/>
        <w:ind w:firstLine="426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</w:p>
    <w:p>
      <w:pPr>
        <w:spacing w:after="0" w:line="240" w:lineRule="auto"/>
        <w:ind w:firstLine="426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pacing w:val="-1"/>
          <w:sz w:val="24"/>
          <w:szCs w:val="24"/>
          <w:lang w:eastAsia="ru-RU"/>
        </w:rPr>
        <w:t>ОРГАНИЗАЦИОННО-ПЕДАГОГИЧЕСКИЕ УСЛОВИЯ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Категория слушателей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 освоению дополнительной профессиональной программы повышения квалификации «Экологическое просвещение в рамках реализации дополнительной общеобразовательной программы» допускаются лица, 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имеющие среднее профессиональное и/или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высшее образование: 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 xml:space="preserve">педагогические работники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образовательных организаций, подведомственных Комитету по образованию и администрациям районов Санкт-Петербурга, реализующих дополнительные общеобразовательные общеразвивающие программы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Высшее профессиональное образование или среднее профессиональное образование в области, соответствующей профилю кружка, секции, студии, клубного и иного детского объединения без предъявления требований к стажу работы либо высшее профессиональное образование или среднее профессиональное образование и дополнительное профессиональное образование по направлению "Образование и педагогика" без предъявления требований к стажу работы.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Объем и сроки реализации программы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Программа рассчитана на 72 часа и реализуется по расписанию, 6 академических часов в день.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Кадровое обеспечение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Занятия по программе ведут опытные специалисты образовательных организаций и научных учреждений Санкт-Петербурга.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Форма обучения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очная, без отрыва от работы. Кроме аудиторной работы предполагается выполнение и защита 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аттестационной работы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 материалам курса.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Реализация программы или ее части возможна с применением дистанционных образовательных технологий и/или элементов электронного обучения.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Форма проведения занятий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Аудиторные занятия проводятся в виде лекций, практических занятий, работы в группах, и экскурсий обсуждения итоговых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 xml:space="preserve"> курсовых работ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Ключевым принципом реализации программы выступает пропорциональное использование технологий обучения взрослых:</w:t>
      </w:r>
    </w:p>
    <w:p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активная лекция</w:t>
      </w:r>
    </w:p>
    <w:p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практикумы </w:t>
      </w:r>
    </w:p>
    <w:p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самостоятельная работа</w:t>
      </w:r>
    </w:p>
    <w:p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защита итоговых 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аттестационных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работ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Материально-техническое оснащение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реализации программы необходим: </w:t>
      </w:r>
    </w:p>
    <w:p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мультимедийная аудитория, вместимостью не менее 25 человек;</w:t>
      </w:r>
    </w:p>
    <w:p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доступ в сеть интернет;</w:t>
      </w:r>
    </w:p>
    <w:p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b/>
          <w:i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компьютерное оборудование</w:t>
      </w:r>
      <w:r>
        <w:rPr>
          <w:rFonts w:ascii="Times New Roman" w:hAnsi="Times New Roman" w:eastAsia="Times New Roman" w:cs="Times New Roman"/>
          <w:strike/>
          <w:dstrike w:val="0"/>
          <w:sz w:val="24"/>
          <w:szCs w:val="24"/>
          <w:highlight w:val="green"/>
          <w:lang w:eastAsia="ru-RU"/>
        </w:rPr>
        <w:t>, имеющее соответствующее лицензионное программное обеспечение;</w:t>
      </w:r>
    </w:p>
    <w:p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b/>
          <w:i/>
          <w:spacing w:val="-1"/>
          <w:sz w:val="24"/>
          <w:szCs w:val="24"/>
          <w:highlight w:val="cyan"/>
          <w:lang w:eastAsia="ru-RU"/>
        </w:rPr>
      </w:pPr>
      <w:r>
        <w:rPr>
          <w:rFonts w:ascii="Times New Roman" w:hAnsi="Times New Roman" w:eastAsia="Times New Roman" w:cs="Times New Roman"/>
          <w:strike/>
          <w:dstrike w:val="0"/>
          <w:sz w:val="24"/>
          <w:szCs w:val="24"/>
          <w:highlight w:val="green"/>
          <w:lang w:eastAsia="ru-RU"/>
        </w:rPr>
        <w:t>монокулярные и бинокулярные микроскопы</w:t>
      </w:r>
      <w:r>
        <w:rPr>
          <w:rFonts w:ascii="Times New Roman" w:hAnsi="Times New Roman" w:eastAsia="Times New Roman" w:cs="Times New Roman"/>
          <w:b/>
          <w:i/>
          <w:strike/>
          <w:dstrike w:val="0"/>
          <w:spacing w:val="-1"/>
          <w:sz w:val="24"/>
          <w:szCs w:val="24"/>
          <w:highlight w:val="cyan"/>
          <w:lang w:eastAsia="ru-RU"/>
        </w:rPr>
        <w:t xml:space="preserve"> </w:t>
      </w:r>
    </w:p>
    <w:p>
      <w:pPr>
        <w:numPr>
          <w:ilvl w:val="0"/>
          <w:numId w:val="6"/>
        </w:numPr>
        <w:tabs>
          <w:tab w:val="left" w:pos="3402"/>
        </w:tabs>
        <w:spacing w:after="0" w:line="240" w:lineRule="auto"/>
        <w:contextualSpacing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trike/>
          <w:dstrike w:val="0"/>
          <w:sz w:val="24"/>
          <w:szCs w:val="24"/>
          <w:highlight w:val="green"/>
          <w:lang w:eastAsia="ru-RU"/>
        </w:rPr>
        <w:t>лабораторный</w:t>
      </w:r>
      <w:r>
        <w:rPr>
          <w:rFonts w:ascii="Times New Roman" w:hAnsi="Times New Roman" w:eastAsia="Times New Roman" w:cs="Times New Roman"/>
          <w:strike/>
          <w:dstrike w:val="0"/>
          <w:spacing w:val="-1"/>
          <w:sz w:val="24"/>
          <w:szCs w:val="24"/>
          <w:highlight w:val="green"/>
          <w:lang w:eastAsia="ru-RU"/>
        </w:rPr>
        <w:t xml:space="preserve"> инструментарий .</w:t>
      </w:r>
      <w:r>
        <w:rPr>
          <w:rFonts w:ascii="Times New Roman" w:hAnsi="Times New Roman" w:eastAsia="Times New Roman" w:cs="Times New Roman"/>
          <w:strike/>
          <w:dstrike w:val="0"/>
          <w:sz w:val="24"/>
          <w:szCs w:val="24"/>
          <w:highlight w:val="green"/>
          <w:lang w:eastAsia="ru-RU"/>
        </w:rPr>
        <w:br w:type="page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УЧЕБНЫЙ ПЛАН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Style w:val="6"/>
        <w:tblW w:w="9782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536"/>
        <w:gridCol w:w="851"/>
        <w:gridCol w:w="992"/>
        <w:gridCol w:w="99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restart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536" w:type="dxa"/>
            <w:vMerge w:val="restart"/>
            <w:vAlign w:val="center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>Наименование модулей, разделов, тем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spacing w:after="0" w:line="240" w:lineRule="auto"/>
              <w:ind w:firstLine="318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Формы контроля / аттестации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Merge w:val="continue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  <w:t>Теория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left="-108" w:right="-108" w:firstLine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  <w:t>Практика</w:t>
            </w: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36" w:type="dxa"/>
          </w:tcPr>
          <w:p>
            <w:pPr>
              <w:spacing w:after="0" w:line="240" w:lineRule="auto"/>
              <w:ind w:firstLine="0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green"/>
                <w:lang w:eastAsia="ru-RU"/>
              </w:rPr>
              <w:t>Опрятные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данные и организация простейших баз данных 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Устный опрос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536" w:type="dxa"/>
          </w:tcPr>
          <w:p>
            <w:pPr>
              <w:spacing w:after="0" w:line="240" w:lineRule="auto"/>
              <w:ind w:firstLine="0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green"/>
                <w:lang w:eastAsia="ru-RU"/>
              </w:rPr>
              <w:t>Основы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языка статистического программиров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highlight w:val="green"/>
                <w:lang w:val="ru-RU" w:eastAsia="ru-RU"/>
              </w:rPr>
              <w:t>а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>ния R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Педагогическое наблюдение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536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highlight w:val="green"/>
                <w:lang w:val="ru-RU" w:eastAsia="ru-RU"/>
              </w:rPr>
              <w:t>Грамматика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highlight w:val="green"/>
                <w:lang w:val="en-US" w:eastAsia="ru-RU"/>
              </w:rPr>
              <w:t xml:space="preserve"> графиков и принципы рациональной визуализации данных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green"/>
                <w:lang w:eastAsia="ru-RU"/>
              </w:rPr>
              <w:t xml:space="preserve"> 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Собеседование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4536" w:type="dxa"/>
          </w:tcPr>
          <w:p>
            <w:pPr>
              <w:spacing w:after="0" w:line="240" w:lineRule="auto"/>
              <w:ind w:firstLine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green"/>
                <w:lang w:eastAsia="ru-RU"/>
              </w:rPr>
              <w:t>Создание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highlight w:val="green"/>
                <w:lang w:val="en-US" w:eastAsia="ru-RU"/>
              </w:rPr>
              <w:t xml:space="preserve"> презентаций методами литературного программирования на языке RMarkdown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Консультации по подготовке курсовых работ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tabs>
                <w:tab w:val="right" w:pos="210"/>
                <w:tab w:val="center" w:pos="459"/>
              </w:tabs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36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Итоговый контроль. Зачет 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br w:type="page"/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РАБОЧАЯ ПРОГРАММА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Содержание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green"/>
          <w:lang w:eastAsia="ru-RU"/>
        </w:rPr>
      </w:pPr>
    </w:p>
    <w:p>
      <w:pPr>
        <w:numPr>
          <w:ilvl w:val="0"/>
          <w:numId w:val="7"/>
        </w:numPr>
        <w:spacing w:after="0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  <w:t xml:space="preserve">Опрятные данные и организация простейших баз данных 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  <w:t>Теория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. 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  <w:t>Принципы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фиксации первичных данных. Основные ошибки в построении электронных таблиц. Правила формировния простейших баз данных. Понятие поля (переменной), строки (наблюдения) и ячейки. Приемы фильтрации данных. Основные типы данных (числовые, текстовые переменные и факторы).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>Практика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Проектирование базы данных. Создание таблицы данны в редакторе электронных таблиц. Сохранение электронных таблиц в разных форматах. 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</w:p>
    <w:p>
      <w:pPr>
        <w:numPr>
          <w:ilvl w:val="0"/>
          <w:numId w:val="7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  <w:t>Основы языка статистического программирования R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  <w:t>Теория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  <w:t>Понятие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скрипта в языке R. Функции и их параме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  <w:t>т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ры. Справка по функциям.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  <w:t>Д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атафреймы. Индексация датафреймов. 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>Практика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Установка R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  <w:t>и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RStudio.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  <w:t>Написание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скрипта для загрузки данных и формирования выборки данных по условию.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</w:p>
    <w:p>
      <w:pPr>
        <w:numPr>
          <w:ilvl w:val="0"/>
          <w:numId w:val="7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  <w:t xml:space="preserve">Грамматика графиков и принципы рациональной визуализации данных 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eastAsia="ru-RU"/>
        </w:rPr>
        <w:t>Теория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eastAsia="ru-RU"/>
        </w:rPr>
        <w:t>Слои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графика. Эстетики. Геомы. Фасетирование. Регуляция подписей.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eastAsia="ru-RU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eastAsia="ru-RU"/>
        </w:rPr>
        <w:t>Практика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eastAsia="ru-RU"/>
        </w:rPr>
        <w:t>Создание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скрипт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ru-RU" w:eastAsia="ru-RU"/>
        </w:rPr>
        <w:t>ов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для построения графиков в пакете ggplot2. 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highlight w:val="green"/>
          <w:lang w:eastAsia="ru-RU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</w:pPr>
    </w:p>
    <w:p>
      <w:pPr>
        <w:numPr>
          <w:ilvl w:val="0"/>
          <w:numId w:val="7"/>
        </w:num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  <w:lang w:eastAsia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highlight w:val="green"/>
          <w:lang w:eastAsia="ru-RU"/>
        </w:rPr>
        <w:t>Создание презентаций методами литературного программирования на языке RMarkdown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eastAsia="ru-RU"/>
        </w:rPr>
        <w:t>Теория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eastAsia="ru-RU"/>
        </w:rPr>
        <w:t>Основные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принципы размещения информации в документе. Управляющие знаки и теги.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eastAsia="ru-RU"/>
        </w:rPr>
        <w:t>Практика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en-US" w:eastAsia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eastAsia="ru-RU"/>
        </w:rPr>
        <w:t>Написание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скрипта для создания документа в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ru-RU" w:eastAsia="ru-RU"/>
        </w:rPr>
        <w:t>формате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html.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ru-RU" w:eastAsia="ru-RU"/>
        </w:rPr>
        <w:t>Создание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таблиц с помощью функций пакета knitr.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ru-RU" w:eastAsia="ru-RU"/>
        </w:rPr>
        <w:t>Создание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презентаций в формате ioslides.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ru-RU" w:eastAsia="ru-RU"/>
        </w:rPr>
        <w:t>Создание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highlight w:val="green"/>
          <w:lang w:val="en-US" w:eastAsia="ru-RU"/>
        </w:rPr>
        <w:t xml:space="preserve"> презентаций в формате PowerPoint средствами языка RMardown.   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highlight w:val="green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highlight w:val="green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green"/>
          <w:lang w:eastAsia="ru-RU"/>
        </w:rPr>
        <w:t xml:space="preserve">5.  Итоговый контроль. Зачет.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МЕТОДИЧЕСКИЕ МАТЕРИАЛЫ</w:t>
      </w:r>
    </w:p>
    <w:p>
      <w:pPr>
        <w:shd w:val="clear" w:color="auto" w:fill="FFFFFF"/>
        <w:tabs>
          <w:tab w:val="left" w:pos="567"/>
        </w:tabs>
        <w:spacing w:after="0" w:line="240" w:lineRule="auto"/>
        <w:ind w:firstLine="42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Учебно-методический комплекс программы</w:t>
      </w:r>
    </w:p>
    <w:p>
      <w:pPr>
        <w:shd w:val="clear" w:color="auto" w:fill="FFFFFF"/>
        <w:suppressAutoHyphens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</w:p>
    <w:p>
      <w:pPr>
        <w:shd w:val="clear" w:color="auto" w:fill="FFFFFF"/>
        <w:suppressAutoHyphens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  <w:t>Реализация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программы основана на использовании элементов современных образовательных технологий, среди которых особое внимание уделяется следующим:</w:t>
      </w:r>
    </w:p>
    <w:p>
      <w:pPr>
        <w:numPr>
          <w:ilvl w:val="0"/>
          <w:numId w:val="8"/>
        </w:numPr>
        <w:shd w:val="clear" w:color="auto" w:fill="FFFFFF"/>
        <w:suppressAutoHyphens/>
        <w:spacing w:after="0" w:line="240" w:lineRule="auto"/>
        <w:ind w:left="709" w:hanging="283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zh-CN"/>
        </w:rPr>
        <w:t>Информационно-коммуникационные технологии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  <w:t xml:space="preserve">. Главным преимуществом данных технологий является наглядность, позволяющая усваивать информацию с помощью зрительной памяти. </w:t>
      </w:r>
    </w:p>
    <w:p>
      <w:pPr>
        <w:numPr>
          <w:ilvl w:val="0"/>
          <w:numId w:val="8"/>
        </w:numPr>
        <w:shd w:val="clear" w:color="auto" w:fill="FFFFFF"/>
        <w:suppressAutoHyphens/>
        <w:spacing w:after="0" w:line="240" w:lineRule="auto"/>
        <w:ind w:left="709" w:hanging="283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  <w:t xml:space="preserve">Интерактивные методы обучения. Преимущество данной технологии состоит в том, что слушателям предлагаются интерактивные модели, которые позволяют глубже понять механизмы природных процессов и явлений.  </w:t>
      </w:r>
    </w:p>
    <w:p>
      <w:pPr>
        <w:shd w:val="clear" w:color="auto" w:fill="FFFFFF"/>
        <w:suppressAutoHyphens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</w:pPr>
    </w:p>
    <w:p>
      <w:pPr>
        <w:shd w:val="clear" w:color="auto" w:fill="FFFFFF"/>
        <w:suppressAutoHyphens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zh-CN"/>
        </w:rPr>
        <w:t xml:space="preserve">Помимо вышеупомянутых технологий, широко используются традиционные в эколого-биологическом образовании практикумы и практические работы с использованием техник микроскопирования и препарирования изучаемых объектов.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Кроме того, в образовательном процессе задействованы экскурсии в природу, в ходе которых происходит непосредственное знакомство слушателей с изучаемыми объектами в естественных условиях, что позволит им в дальнейшем активно использовать в ходе организации экологического просвещения полученные знания, умения и навыки полевой работы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>Учебно-методический комплекс программы включает в себя:</w:t>
      </w:r>
    </w:p>
    <w:p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Основную литературу и дополнительную литературу, рекомендуемую для самостоятельного изучения.</w:t>
      </w:r>
    </w:p>
    <w:p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Электронные источники информации.</w:t>
      </w:r>
    </w:p>
    <w:p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Презентации к занятиям.</w:t>
      </w:r>
    </w:p>
    <w:p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Материалы для проведения анализа/самоанализа. 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color w:val="000000"/>
          <w:spacing w:val="-5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5"/>
          <w:sz w:val="24"/>
          <w:szCs w:val="24"/>
          <w:lang w:eastAsia="ru-RU"/>
        </w:rPr>
        <w:br w:type="page"/>
      </w:r>
    </w:p>
    <w:p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  <w:lang w:eastAsia="ru-RU"/>
        </w:rPr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Calibri" w:cs="Times New Roman"/>
          <w:b/>
          <w:sz w:val="24"/>
          <w:szCs w:val="24"/>
          <w:lang w:eastAsia="ar-SA"/>
        </w:rPr>
      </w:pPr>
      <w:r>
        <w:rPr>
          <w:rFonts w:ascii="Times New Roman" w:hAnsi="Times New Roman" w:eastAsia="Calibri" w:cs="Times New Roman"/>
          <w:b/>
          <w:sz w:val="24"/>
          <w:szCs w:val="24"/>
          <w:lang w:eastAsia="ar-SA"/>
        </w:rPr>
        <w:t>УЧЕБНО-МЕТОДИЧЕСКИЙ КОМПЛЕКС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Дополнительная профессиональная программа повышения квалификации 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«Экологическое просвещение в рамках реализации дополнительной общеобразовательной программы»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</w:p>
    <w:tbl>
      <w:tblPr>
        <w:tblStyle w:val="6"/>
        <w:tblW w:w="135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402"/>
        <w:gridCol w:w="3402"/>
        <w:gridCol w:w="2268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Нормативное обеспечение</w:t>
            </w:r>
          </w:p>
        </w:tc>
        <w:tc>
          <w:tcPr>
            <w:tcW w:w="11023" w:type="dxa"/>
            <w:gridSpan w:val="4"/>
          </w:tcPr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Образовательная программа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Рабочая программа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Инструкция по технике безопасности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Нормативная документация: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Федеральный закон «Об образовании в Российской Федерации» № 273-ФЗ от 29.12.2012 г. (с изменениями и дополнениями).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Приказ Минобрнауки РФ от 1 июля 2013 г. № 499 «Об утверждении порядка организации и осуществления образовательной деятельности по дополнительным профессиональным программам» (с изм. и доп.).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Приказ Минобрнауки РФ от 18 апреля 2013 г. № 292 «О порядке организации и осуществления образовательной деятельности по основным программам профессионального обучения» (с изм. и доп.).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Приказ Минобрнауки РФ от 15 января 2013 г. № 10 «О федеральных государственных требованиях к минимуму содержания дополнительных профессиональных образовательных программ профессиональной переподготовки и повышения квалификации педагогических работников, а также к уровню профессиональной переподготовки педагогических работников».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Приказ Минобрнауки РФ от 23 августа 2014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Письмо Минобрнауки РФ № 06-735 от 09.10.2013 г. «О дополнительном профессиональном образовании» (вместе с Разъяснениями о законодательном и нормативном правовом обеспечении дополнительного профессионального образования).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Письмо Минобрнауки России от 07.05.2014 № АК-1261/06 «Об особенностях законодательного и нормативного правового обеспечения в сфере ДПО» (вместе с «Разъяснениями об особенностях законодательного и нормативного правового обеспечения в сфере дополнительного профессионального образования»).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Письмо Минобрнауки России от 22 января 2015 г. № ДЛ -1/05вн «Методические рекомендации по разработке основных профессиональных программ и дополнительных профессиональных программ с учетом соответствующих профессиональных стандартов».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Письмо Минобрнауки России от 12 марта 2015 г. № АК-608/06 «Методические рекомендации по разработке, порядку выдачи и учёту документов о квалификации в сфере дополнительного профессионального образования»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Федеральный закон «Об охране окружающей среды» (с изменениями и дополнениями, вступ. в силу с 01.09.2022)) №7-ФЗ от 10.01.02 г.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Положение о порядке реализации дополнительных профессиональных программ повышения квалификации в ГБНОУ «СПБ ГДТЮ», утвержденное приказом от 26.08.2021 № 1779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 xml:space="preserve">Разделы /темы </w:t>
            </w:r>
            <w:r>
              <w:rPr>
                <w:rFonts w:ascii="Times New Roman" w:hAnsi="Times New Roman" w:eastAsia="Calibri" w:cs="Times New Roman"/>
                <w:b/>
                <w:color w:val="000000"/>
                <w:sz w:val="24"/>
                <w:szCs w:val="24"/>
                <w:lang w:eastAsia="ru-RU"/>
              </w:rPr>
              <w:t>ДПППК</w:t>
            </w:r>
          </w:p>
        </w:tc>
        <w:tc>
          <w:tcPr>
            <w:tcW w:w="3402" w:type="dxa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Учебно-методические пособия для педагогов</w:t>
            </w:r>
          </w:p>
        </w:tc>
        <w:tc>
          <w:tcPr>
            <w:tcW w:w="3402" w:type="dxa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Учебно-методические пособия для слушателей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Диагностические и контрольные материалы</w:t>
            </w:r>
          </w:p>
        </w:tc>
        <w:tc>
          <w:tcPr>
            <w:tcW w:w="1951" w:type="dxa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Средства обучения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0" w:type="dxa"/>
            <w:gridSpan w:val="5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1. Экологическое просвещение в системе дополнительного образования детей естественнонаучной направленности.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Экологическое просвещение: цели, формы, методы, возможности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1. Федеральный закон «Об охране окружающей среды» (с изменениями и дополнениями, вступ. в силу с 01.09.2022)) №7-ФЗ от 10.01.02 г. 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 HYPERLINK "http://www.consultant.ru/document/cons_doc_LAW_34823/31cbdcc572222c93a51fed78205b68b35c0d8fe0/"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http://www.consultant.ru/document/cons_doc_LAW_34823/31cbdcc572222c93a51fed78205b68b35c0d8fe0/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2. Концепция развития дополнительного образования детей до 2030 года, утвержденная Распоряжением Правительства РФ от от 31 марта 2022 г. No 678-р. – Режим доступа: 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 HYPERLINK "http://static.government.ru/media/files/3fIgkklAJ2ENBbCFVEkA3cTOsiypicBo.pdf"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http://static.government.ru/media/files/3fIgkklAJ2ENBbCFVEkA3cTOsiypicBo.pdf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3. Федеральный закон от 31 июля 2020 г. N 304-ФЗ "О внесении изменений в Федеральный закон "Об образовании в Российской Федерации" по вопросам воспитания обучающихся".– Режим доступа: </w:t>
            </w:r>
            <w:r>
              <w:fldChar w:fldCharType="begin"/>
            </w:r>
            <w:r>
              <w:instrText xml:space="preserve"> HYPERLINK "http://publication.pravo.gov.ru/Document/View/0001202007310075"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http://publication.pravo.gov.ru/Document/View/0001202007310075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4. Стратегия развития познавательного туризма на особо охраняемых природных территориях федерального значения на период до 2020 года.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Режим доступа </w:t>
            </w:r>
            <w:r>
              <w:fldChar w:fldCharType="begin"/>
            </w:r>
            <w:r>
              <w:instrText xml:space="preserve"> HYPERLINK "https://www.wildnet.ru/library/view/?id=58"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cs="Times New Roman"/>
                <w:sz w:val="24"/>
                <w:szCs w:val="24"/>
              </w:rPr>
              <w:t>https://www.wildnet.ru/library/view/?id=58</w:t>
            </w:r>
            <w:r>
              <w:rPr>
                <w:rStyle w:val="4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 Данилина Н.Р. Европейская хартия ответственного туризма. Примеры лучшей практики устойчивого развития ООПТ в России» // Доклад на конференции «Глобальный вызов и открытие России». – Сочи. – 2018.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– Режим доступа </w:t>
            </w:r>
            <w:r>
              <w:fldChar w:fldCharType="begin"/>
            </w:r>
            <w:r>
              <w:instrText xml:space="preserve"> HYPERLINK "https://www.wildnet.ru/zapoved-library/eco-education-library/friendszap-library/"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https://www.wildnet.ru/zapoved-library/eco-education-library/friendszap-library/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1. Цепочка жизни: Эффективные приемы и методы работы с детьми в экологическом образовании и просвещении. /Составители Шпотова Т.В., Кочеткова Е.П. - М.: ЭкоЦентр «Заповедники», 2005.-40с...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2. Школа друзей природы. Из опыта организации и проведения экологических лагерей и экспедиций для школьников на ООПТ. Сборник методических материалов. Всемирный фонд дикой природы. ЭкоЦентр «Заповедники», 2011 г. [Электронный ресурс] – Режим доступа </w:t>
            </w:r>
            <w:r>
              <w:fldChar w:fldCharType="begin"/>
            </w:r>
            <w:r>
              <w:instrText xml:space="preserve"> HYPERLINK "https://www.wildnet.ru/zapoved-library/eco-education-library/friendszap-library/"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https://www.wildnet.ru/zapoved-library/eco-education-library/friendszap-library/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 Буторина Н.Н., Лёшина Е.В., Малиновская Я.В. Тропа в гармонии с природой. Дальневосточный опыт. - М.: Издательство "Перо", 2019. - 129 с.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Перечень вопросов для проведения опроса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420" w:leftChars="0" w:hanging="420" w:firstLineChars="0"/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  <w:t>Chang W. R graphics cookbook: practical recipes for visualizing data. – O'Reilly Media, 2018.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="420" w:leftChars="0" w:hanging="420" w:firstLineChars="0"/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  <w:t>Zuur A. F. et al. A Beginner's Guide to R. – New York : Springer, 2009. – С. 150.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="420" w:leftChars="0" w:hanging="420" w:firstLineChars="0"/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  <w:t>Zuur A. F. et al. A Beginner's Guide to R. – New York : Springer, 2009. – С. 150.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="420" w:leftChars="0" w:hanging="420" w:firstLineChars="0"/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  <w:t>Xie Y. Dynamic Documents with R and knitr. – CRC Press, 2017.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  <w:lang w:val="ru-RU" w:eastAsia="ru-RU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  <w:t>Kabacoff R. R in action: data analysis and graphics with R and Tidyverse. – Simon and Schuster, 2022.</w:t>
            </w:r>
          </w:p>
        </w:tc>
        <w:tc>
          <w:tcPr>
            <w:tcW w:w="3402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420" w:leftChars="0" w:hanging="420" w:firstLineChars="0"/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  <w:t>Кабаков Р. R в действии. Анализ и визуализация данных на языке R. – Litres, 2022.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="420" w:leftChars="0" w:hanging="420" w:firstLineChars="0"/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  <w:t>Шипунов А. Б. и др. Наглядная статистика. Используем R! //М.: ДМК Пресс. – 2012. – Т. 298. – С. 1.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="420" w:leftChars="0" w:hanging="420" w:firstLineChars="0"/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  <w:t>Золотарюк А. В. Язык и среда программирования R. – 2019.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</w:rPr>
              <w:t>Зададаев С. Математика на языке R. – Litres, 2022.</w:t>
            </w:r>
          </w:p>
          <w:p>
            <w:pPr>
              <w:spacing w:after="0" w:line="240" w:lineRule="auto"/>
              <w:ind w:firstLine="0"/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highlight w:val="green"/>
                <w:shd w:val="clear" w:fill="FFFFFF"/>
                <w:lang w:val="en-US" w:eastAsia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1.2. Педагогическое сопровождение эколого-просветительских проектов учащихся в рамках реализации дополнительной общеобразовательной программы.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Задания для слушателей 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1.3. Возможности презентации эколого-просветительских проектов на различных конкурсных мероприятиях.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Перечень вопросов для проведения опроса 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0" w:type="dxa"/>
            <w:gridSpan w:val="5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2. Глобальные экологические проблемы современности.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Краткий обзор важнейших экологических проблем современности.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1.Зобков М.Б., Есюкова Е.Е. Микропластик в морской среде: обзор методов отбора, подготовки и анализа проб воды, донных отложений и береговых наносов // Океанология. 2018. Т.58 № 1 С.149-157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Рамад Ф. Основы прикладной экологии. Л; Гидрометеоиздат, 1981.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 Фелленберг Г. Загрязнение природной среды. Введение в экологическую химию. М; Мир, 1997.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 Медоуз Д. Х., Рандерс Й., Медоуз Д. Л. Пределы роста. 30 лет спустя. – Академкнига, 2007.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Марфенин Н. Н. Устойчивое развитие человечества. – Изд-во Московского ун-та, 2007.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Петров К. М. Биогеография с основами охраны биосферы: Учебник //СПб.: изд-во С-Петерб. Ун-та. – 2001.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3. Степановских А.С. Биологическая экология – теория и практика. М.: ЮНИТИ-ДАНА,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2009.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Перечень вопросов для проведения опроса 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Современный взгляд на вопросы изменения климата.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1. Бондаренко Л.В., Маслова О.В., Белкина А.В., Сухарева К.В. Глобальное изменение климата и его последствия. Вестник Российского экономического университета имени Г. В. Плеханова. 2018;(2):84-93. </w:t>
            </w:r>
            <w:r>
              <w:fldChar w:fldCharType="begin"/>
            </w:r>
            <w:r>
              <w:instrText xml:space="preserve"> HYPERLINK "https://doi.org/10.21686/2413-2829-2018-2-84-93"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https://doi.org/10.21686/2413-2829-2018-2-84-93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2. Погонышева И.А., Врабий Э.В. Актуальные проблемы изменения климата в странах Европейского союза и в России (обзор литературы. - [Электронный ресурс] – Режим доступа </w:t>
            </w:r>
            <w:r>
              <w:fldChar w:fldCharType="begin"/>
            </w:r>
            <w:r>
              <w:instrText xml:space="preserve"> HYPERLINK "https://elibrary.ru/item.asp?id=41821782"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https://elibrary.ru/item.asp?id=41821782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Оценочный доклад Межправительственной группы экспертов по проблемам изменения климата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(МГЭИК). - [Электронный ресурс] – Режим доступа </w:t>
            </w:r>
            <w:r>
              <w:fldChar w:fldCharType="begin"/>
            </w:r>
            <w:r>
              <w:instrText xml:space="preserve"> HYPERLINK "http://www.ipcc.ch"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http://www.ipcc.ch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Израэль Ю. А., Груза Г. В., Катцов В. М., Мелешко В. П. Изменения глобального климата. Роль антропогенных воздействий // Метеорология и гидрология. – 2001. – No 5. – С. 5–21.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Сорохтин О.Г. Эволюция и прогноз изменений глобального климата Земли. -М.-Ижевск: Институт компьютерных исследований, 2006.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Перечень вопросов для проведения опроса 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2.3. Глобальная роль экосистем прошедших геологических эпох в формировании современных ископаемых ресурсов.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Родзевич Н. Н. Геоэкология и природопользование: Учеб. для вузов //М.: Дрофа. – 2003.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Ясаманов Н.А. Основы геоэкологии. М.: изд. центр “Академия”, 2003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Комарова Н.Г. Геоэкология и природопользование. М.: Изд.центр “Академия”, 2007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Розанов Л.Л., Розанова А.Л. Геоэкология. 10-11 классы. Методическое пособие. М.:Дрофа, 2010.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Перечень вопросов для проведения опроса 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0" w:type="dxa"/>
            <w:gridSpan w:val="5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 xml:space="preserve">3. Биоразнообразие Северо-Западного региона как базовый компонент содержания экологического просвещения учащихся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Важнейшие орнитологические объекты Ленинградской области и их роль структуре основных экосистем нашего региона  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Храбрый В. Птицы  Петербурга. – Амфора, 2015.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Головань В. И. и др.Птицы Санкт-Петербурга. – 2015.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 Рябицев В. К. Птицы европейской части России. – 2020.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4. Тесты на сайте: </w:t>
            </w:r>
            <w:r>
              <w:fldChar w:fldCharType="begin"/>
            </w:r>
            <w:r>
              <w:instrText xml:space="preserve"> HYPERLINK "https://quiz.natureid.no/bird/eBook.php"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https://quiz.natureid.no/bird/eBook.php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5. Приложение: </w:t>
            </w:r>
            <w:r>
              <w:fldChar w:fldCharType="begin"/>
            </w:r>
            <w:r>
              <w:instrText xml:space="preserve"> HYPERLINK "https://play.google.com/store/apps/details?id=com.labs.merlinbirdid.app&amp;hl=ru&amp;gl=US&amp;pli=1"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https://play.google.com/store/apps/details?id=com.labs.merlinbirdid.app&amp;hl=ru&amp;gl=US&amp;pli=1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 HYPERLINK "https://birdwatch.ru"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https://birdwatch.ru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1. Коблик Е. А. и др. Полевой фотоопределитель всех видов птиц европейской части России. – 2015. 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Храбрый В.М., Петров С.А.   Мир птиц Ленинградской области  — Санкт-Петербург: Лема, 2021. — 160 с: ил.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 Федоров В. А. Руководство по изготовлению искусственных гнездовий и организации зимней подкормки для птиц., 2014, Издательство: Дирекция ООПТ Санкт-Петербурга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Перечень вопросов для проведения опроса 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3.2. Значение грибов, лишайников и водорослей в экосистемах нашего региона. 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1. Ивойлов А.В., Большаков С.Ю., Силаева Т.Б. 2017. Изучение видового разнообразия макромицетов. Учебное пособие.Саранск: Изд-во Мордов. ун-та.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160 c. 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2. Læssøe T., Petersen J.H. 2019. Fungi of temperate Europe. Princeton and Oxford: Princeton University Press. 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3. Knudsen H., Vesterholt J. Funga Nordica. Agaricoid, Boletoid, Clavarioid, Cyphelloid and Gastroid Genera. Copenhagen. 1083 p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fldChar w:fldCharType="begin"/>
            </w:r>
            <w:r>
              <w:instrText xml:space="preserve"> HYPERLINK "https://vk.com/planeta_gribov"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https://vk.com/planeta_gribov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fldChar w:fldCharType="begin"/>
            </w:r>
            <w:r>
              <w:instrText xml:space="preserve"> HYPERLINK "http://mycoweb-stv.ru/aphyllophorales/index.html"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http://mycoweb-stv.ru/aphyllophorales/index.html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Переведенцева Л.: Определитель грибов (агарикоидные базидиомицеты). Учебное пособие. 2015. М.: Т-во научн. изданий КМК, 119 с.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2. Переведенцева Л.Г. Микология: грибы и грибоподобные организмы: Учебник. 2 изд., испр. и доп. СПб.: Издательство «Лань», 2012. 272 с. 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 Смирнов Л.Э., Кривошеев С.В., Ганнибал Ф.Б. «Грибы Ленинградской области и Санкт-Петербурга». СПб: Региональный издательский дом, 2012, 320 с.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Сайты: </w:t>
            </w:r>
            <w:r>
              <w:fldChar w:fldCharType="begin"/>
            </w:r>
            <w:r>
              <w:instrText xml:space="preserve"> HYPERLINK "https://mycology.su"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https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://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mycology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su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Перечень заданий для слушателей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left="34" w:hanging="34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3.3. Высшие растения и их роль в экосистемах нашего региона.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 Цвелев Н.Н. Определитель сосудистых растений Северо-Западной России (Ленинградская , Псковская и Новгородская области). – СПб: Издательство СПФХА, 2000. – 781 с.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Флора мхов России. Т.2-5 / М.С. Игнатов (отв. ред.). Авторы: М.С. Игнатов, Е.А. Игнатова, В.Э. Федосов, И.В. Чернядьева, О.М. Афонина, Л. Хеденас, В.Я.  Черданцева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Москва: Товарищество научных изданий КМК. 2017-2022. 560 с.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Иллюстрированный определитель растений Ленинградской области.  Под ред. А.Л. Буданцева и Г.П.Яковлева. – М.: Товарищество научных изданий КМК, 2006. – 799с.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Сайты: 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 HYPERLINK "https://www.plantarium.ru/"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https://www.plantarium.ru/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 HYPERLINK "https://www.inaturalist.org/"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https://www.inaturalist.org/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Перечень заданий для слушателей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3.4. Важнейшие гидробиологические объекты нашего региона 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1.Кутикова Л. А., Старобогатов Я. И. (ред. ). Определитель пресноводных беспозвоночных европейской части СССР (планктон и бентос) М., 1977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Павловский Е.Н., Лепнева С.Г. Очерки из жизни пресноводных животных. М., 1948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 Тэннер О. Бобры и другие обитатели пресных вод. [Удивительный мир диких животных]. М., 1985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 Липин А.Н. Пресные воды и их жизнь. М., 1950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 Хейсин Е.М. Краткий определитель пресноводной фауны. М., 1962,</w:t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 Чертопруд М.В. Гидробиологические экскурсии в Подмосковье. М., 2005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Перечень заданий для слушателей</w:t>
            </w: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4. Методические рекомендации по разработке компонентов дополнительных общеобразовательных программ, направленных на экологическое просвещение учащихся 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Дополнительные общеобразовательные общеразвивающие программы (включая разноуровневые и модульные) / Методические рекомендации по разработке и реализации. – Новосибирск: ГАУ ДО НСО «ОЦРТДиЮ», РМЦ, 2021. – 67 с. – Режим доступа: </w:t>
            </w:r>
            <w:r>
              <w:fldChar w:fldCharType="begin"/>
            </w:r>
            <w:r>
              <w:instrText xml:space="preserve"> HYPERLINK "https://modnso.ru/upload/iblock/313/3135ed347d96944e0f16d43f6990ee74.pdf"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https://modnso.ru/upload/iblock/313/3135ed347d96944e0f16d43f6990ee74.pdf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Буйлова Л.Н. Дополнительная общеобразовательная общеразвивающая программа: как попасть в правовое поле? // ПроДОД (информационнометодический журнал). 2016. № 1 [Электронный ресурс] – Режим доступа </w:t>
            </w:r>
            <w:r>
              <w:fldChar w:fldCharType="begin"/>
            </w:r>
            <w:r>
              <w:instrText xml:space="preserve"> HYPERLINK "http://prodod.moscow/2016/01/15/дополнительная-общеобразовательная/"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http://prodod.moscow/2016/01/15/дополнительная-общеобразовательная/</w:t>
            </w:r>
            <w:r>
              <w:rPr>
                <w:rStyle w:val="4"/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1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Электронная презентация, материалы на сайте ЭБЦ «Крестовский остров» ГБНОУ «СПБ ГДТЮ»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spacing w:after="0" w:line="240" w:lineRule="auto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5. Итоговый контроль. Защита аттестационных курсовых работ 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1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  <w:sectPr>
          <w:pgSz w:w="16838" w:h="11906" w:orient="landscape"/>
          <w:pgMar w:top="851" w:right="1134" w:bottom="1701" w:left="1134" w:header="709" w:footer="709" w:gutter="0"/>
          <w:cols w:space="708" w:num="1"/>
          <w:docGrid w:linePitch="360" w:charSpace="0"/>
        </w:sectPr>
      </w:pPr>
    </w:p>
    <w:p>
      <w:pPr>
        <w:shd w:val="clear" w:color="auto" w:fill="FFFFFF"/>
        <w:tabs>
          <w:tab w:val="left" w:pos="567"/>
        </w:tabs>
        <w:spacing w:after="0" w:line="240" w:lineRule="auto"/>
        <w:ind w:firstLine="42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ИНФОРМАЦИОННЫЕ ИСТОЧНИКИ</w:t>
      </w:r>
    </w:p>
    <w:p>
      <w:pPr>
        <w:shd w:val="clear" w:color="auto" w:fill="FFFFFF"/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567"/>
        </w:tabs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Нормативные документы</w:t>
      </w:r>
    </w:p>
    <w:p>
      <w:pPr>
        <w:numPr>
          <w:ilvl w:val="0"/>
          <w:numId w:val="13"/>
        </w:numPr>
        <w:contextualSpacing/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eastAsia="ru-RU"/>
          <w14:textFill>
            <w14:solidFill>
              <w14:schemeClr w14:val="hlink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Федеральный закон «Об охране окружающей среды» (с изменениями и дополнениями, вступ. в силу с 01.09.2022)) №7-ФЗ от 10.01.02 г. – Режим доступа: </w:t>
      </w:r>
      <w:r>
        <w:fldChar w:fldCharType="begin"/>
      </w:r>
      <w:r>
        <w:instrText xml:space="preserve"> HYPERLINK "http://www.consultant.ru/document/cons_doc_LAW_34823/31cbdcc572222c93a51fed78205b68b35c0d8fe0/"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eastAsia="ru-RU"/>
          <w14:textFill>
            <w14:solidFill>
              <w14:schemeClr w14:val="hlink"/>
            </w14:solidFill>
          </w14:textFill>
        </w:rPr>
        <w:t>http://www.consultant.ru/document/cons_doc_LAW_34823/31cbdcc572222c93a51fed78205b68b35c0d8fe0/</w:t>
      </w:r>
      <w:r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eastAsia="ru-RU"/>
          <w14:textFill>
            <w14:solidFill>
              <w14:schemeClr w14:val="hlink"/>
            </w14:solidFill>
          </w14:textFill>
        </w:rPr>
        <w:fldChar w:fldCharType="end"/>
      </w:r>
    </w:p>
    <w:p>
      <w:pPr>
        <w:numPr>
          <w:ilvl w:val="0"/>
          <w:numId w:val="13"/>
        </w:numPr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Концепция развития дополнительного образования детей до 2030 года, утвержденная Распоряжением Правительства РФ от от 31 марта 2022 г. No 678-р. – Режим доступа: </w:t>
      </w:r>
      <w:r>
        <w:fldChar w:fldCharType="begin"/>
      </w:r>
      <w:r>
        <w:instrText xml:space="preserve"> HYPERLINK "http://static.government.ru/media/files/3fIgkklAJ2ENBbCFVEkA3cTOsiypicBo.pdf"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eastAsia="ru-RU"/>
          <w14:textFill>
            <w14:solidFill>
              <w14:schemeClr w14:val="hlink"/>
            </w14:solidFill>
          </w14:textFill>
        </w:rPr>
        <w:t>http://static.government.ru/media/files/3fIgkklAJ2ENBbCFVEkA3cTOsiypicBo.pdf</w:t>
      </w:r>
      <w:r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eastAsia="ru-RU"/>
          <w14:textFill>
            <w14:solidFill>
              <w14:schemeClr w14:val="hlink"/>
            </w14:solidFill>
          </w14:textFill>
        </w:rPr>
        <w:fldChar w:fldCharType="end"/>
      </w:r>
    </w:p>
    <w:p>
      <w:pPr>
        <w:numPr>
          <w:ilvl w:val="0"/>
          <w:numId w:val="13"/>
        </w:numPr>
        <w:contextualSpacing/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eastAsia="ru-RU"/>
          <w14:textFill>
            <w14:solidFill>
              <w14:schemeClr w14:val="hlink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Федеральный закон от 31 июля 2020 г. N 304-ФЗ "О внесении изменений в Федеральный закон "Об образовании в Российской Федерации" по вопросам воспитания обучающихся".– Режим доступа: </w:t>
      </w:r>
      <w:r>
        <w:fldChar w:fldCharType="begin"/>
      </w:r>
      <w:r>
        <w:instrText xml:space="preserve"> HYPERLINK "http://publication.pravo.gov.ru/Document/View/0001202007310075"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eastAsia="ru-RU"/>
          <w14:textFill>
            <w14:solidFill>
              <w14:schemeClr w14:val="hlink"/>
            </w14:solidFill>
          </w14:textFill>
        </w:rPr>
        <w:t>http://publication.pravo.gov.ru/Document/View/0001202007310075</w:t>
      </w:r>
      <w:r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eastAsia="ru-RU"/>
          <w14:textFill>
            <w14:solidFill>
              <w14:schemeClr w14:val="hlink"/>
            </w14:solidFill>
          </w14:textFill>
        </w:rPr>
        <w:fldChar w:fldCharType="end"/>
      </w:r>
    </w:p>
    <w:p>
      <w:pPr>
        <w:shd w:val="clear" w:color="auto" w:fill="FFFFFF"/>
        <w:tabs>
          <w:tab w:val="left" w:pos="567"/>
        </w:tabs>
        <w:spacing w:after="0" w:line="240" w:lineRule="auto"/>
        <w:ind w:firstLine="42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u-RU"/>
        </w:rPr>
        <w:t>Основная литература:</w:t>
      </w:r>
    </w:p>
    <w:p>
      <w:pPr>
        <w:spacing w:after="0" w:line="240" w:lineRule="auto"/>
        <w:ind w:firstLine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  <w:t>Кабаков Р. R в действии. Анализ и визуализация данных на языке R. – Litres, 2022.</w:t>
      </w:r>
    </w:p>
    <w:p>
      <w:pPr>
        <w:spacing w:after="0" w:line="240" w:lineRule="auto"/>
        <w:ind w:firstLine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  <w:t>Шипунов А. Б. и др. Наглядная статистика. Используем R! //М.: ДМК Пресс. – 2012. – Т. 298. – С. 1.</w:t>
      </w:r>
    </w:p>
    <w:p>
      <w:pPr>
        <w:spacing w:after="0" w:line="240" w:lineRule="auto"/>
        <w:ind w:firstLine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  <w:t>Золотарюк А. В. Язык и среда программирования R. – 2019.</w:t>
      </w:r>
    </w:p>
    <w:p>
      <w:pPr>
        <w:spacing w:after="0" w:line="240" w:lineRule="auto"/>
        <w:ind w:firstLine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  <w:t>Зададаев С. Математика на языке R. – Litres, 2022.</w:t>
      </w:r>
    </w:p>
    <w:p>
      <w:pPr>
        <w:spacing w:after="0" w:line="240" w:lineRule="auto"/>
        <w:ind w:firstLine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</w:pPr>
    </w:p>
    <w:p>
      <w:pPr>
        <w:spacing w:after="0" w:line="240" w:lineRule="auto"/>
        <w:ind w:firstLine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en-US"/>
        </w:rPr>
      </w:pPr>
    </w:p>
    <w:p>
      <w:pPr>
        <w:tabs>
          <w:tab w:val="left" w:pos="2280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u-RU"/>
        </w:rPr>
        <w:t>Рекомендуемая литература для самостоятельного чтения:</w:t>
      </w:r>
    </w:p>
    <w:p>
      <w:pPr>
        <w:spacing w:after="0" w:line="240" w:lineRule="auto"/>
        <w:ind w:firstLine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  <w:t>Chang W. R graphics cookbook: practical recipes for visualizing data. – O'Reilly Media, 2018.</w:t>
      </w:r>
    </w:p>
    <w:p>
      <w:pPr>
        <w:spacing w:after="0" w:line="240" w:lineRule="auto"/>
        <w:ind w:firstLine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  <w:t>Zuur A. F. et al. A Beginner's Guide to R. – New York : Springer, 2009. – С. 150.</w:t>
      </w:r>
    </w:p>
    <w:p>
      <w:pPr>
        <w:spacing w:after="0" w:line="240" w:lineRule="auto"/>
        <w:ind w:firstLine="0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eastAsia="ru-RU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highlight w:val="green"/>
          <w:shd w:val="clear" w:fill="FFFFFF"/>
        </w:rPr>
        <w:t>Xie Y. Dynamic Documents with R and knitr. – CRC Press, 2017.</w:t>
      </w:r>
    </w:p>
    <w:sectPr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ndale Sans UI">
    <w:altName w:val="Times New Roman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 PL KaitiM GB">
    <w:altName w:val="MS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Lohit Hindi">
    <w:altName w:val="MS Goth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519193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18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2188085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2E519"/>
    <w:multiLevelType w:val="singleLevel"/>
    <w:tmpl w:val="BA92E5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069059E"/>
    <w:multiLevelType w:val="singleLevel"/>
    <w:tmpl w:val="E069059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6"/>
    <w:multiLevelType w:val="singleLevel"/>
    <w:tmpl w:val="00000006"/>
    <w:lvl w:ilvl="0" w:tentative="0">
      <w:start w:val="1"/>
      <w:numFmt w:val="bullet"/>
      <w:lvlText w:val="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  <w:color w:val="000000"/>
        <w:lang w:val="ru-RU"/>
      </w:rPr>
    </w:lvl>
  </w:abstractNum>
  <w:abstractNum w:abstractNumId="3">
    <w:nsid w:val="0E0633C4"/>
    <w:multiLevelType w:val="multilevel"/>
    <w:tmpl w:val="0E0633C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036AA9"/>
    <w:multiLevelType w:val="multilevel"/>
    <w:tmpl w:val="14036AA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1AD63C76"/>
    <w:multiLevelType w:val="multilevel"/>
    <w:tmpl w:val="1AD63C7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C17727E"/>
    <w:multiLevelType w:val="multilevel"/>
    <w:tmpl w:val="3C17727E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3F4632D4"/>
    <w:multiLevelType w:val="multilevel"/>
    <w:tmpl w:val="3F4632D4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ACF7827"/>
    <w:multiLevelType w:val="multilevel"/>
    <w:tmpl w:val="5ACF782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24190"/>
    <w:multiLevelType w:val="multilevel"/>
    <w:tmpl w:val="6A924190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ind w:left="1429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207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4985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05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6763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7832" w:hanging="1800"/>
      </w:pPr>
      <w:rPr>
        <w:rFonts w:hint="default"/>
      </w:rPr>
    </w:lvl>
  </w:abstractNum>
  <w:abstractNum w:abstractNumId="10">
    <w:nsid w:val="77BB0461"/>
    <w:multiLevelType w:val="multilevel"/>
    <w:tmpl w:val="77BB04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45E80"/>
    <w:multiLevelType w:val="multilevel"/>
    <w:tmpl w:val="7AD45E80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nsid w:val="7D02036A"/>
    <w:multiLevelType w:val="multilevel"/>
    <w:tmpl w:val="7D02036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6B"/>
    <w:rsid w:val="00003EE6"/>
    <w:rsid w:val="00026E42"/>
    <w:rsid w:val="000711AA"/>
    <w:rsid w:val="000721A7"/>
    <w:rsid w:val="00082DB3"/>
    <w:rsid w:val="00091AE8"/>
    <w:rsid w:val="00097899"/>
    <w:rsid w:val="000A7C61"/>
    <w:rsid w:val="000C2EB9"/>
    <w:rsid w:val="000D3B6C"/>
    <w:rsid w:val="00102B6B"/>
    <w:rsid w:val="00104AAE"/>
    <w:rsid w:val="00113AC3"/>
    <w:rsid w:val="00124DC8"/>
    <w:rsid w:val="00132D05"/>
    <w:rsid w:val="0013513D"/>
    <w:rsid w:val="00153A5B"/>
    <w:rsid w:val="00156F7D"/>
    <w:rsid w:val="00172B4E"/>
    <w:rsid w:val="001A5D61"/>
    <w:rsid w:val="001D4828"/>
    <w:rsid w:val="001F2425"/>
    <w:rsid w:val="00211BA1"/>
    <w:rsid w:val="00226EBE"/>
    <w:rsid w:val="00247743"/>
    <w:rsid w:val="0029292B"/>
    <w:rsid w:val="002B5FB0"/>
    <w:rsid w:val="002C5125"/>
    <w:rsid w:val="00300170"/>
    <w:rsid w:val="0030021B"/>
    <w:rsid w:val="0033198E"/>
    <w:rsid w:val="003562CC"/>
    <w:rsid w:val="0036600A"/>
    <w:rsid w:val="003908F9"/>
    <w:rsid w:val="003A7E0F"/>
    <w:rsid w:val="003B60AB"/>
    <w:rsid w:val="003B6AE3"/>
    <w:rsid w:val="003F20A9"/>
    <w:rsid w:val="004235A7"/>
    <w:rsid w:val="004543B8"/>
    <w:rsid w:val="00466475"/>
    <w:rsid w:val="00496F74"/>
    <w:rsid w:val="004C4417"/>
    <w:rsid w:val="004D3D44"/>
    <w:rsid w:val="004E2393"/>
    <w:rsid w:val="00554E49"/>
    <w:rsid w:val="00573EB0"/>
    <w:rsid w:val="00577EBC"/>
    <w:rsid w:val="00587B5E"/>
    <w:rsid w:val="005E413D"/>
    <w:rsid w:val="005F24C6"/>
    <w:rsid w:val="005F62CA"/>
    <w:rsid w:val="00611447"/>
    <w:rsid w:val="00694988"/>
    <w:rsid w:val="006B64CD"/>
    <w:rsid w:val="006F5DB3"/>
    <w:rsid w:val="007800A5"/>
    <w:rsid w:val="007939B2"/>
    <w:rsid w:val="007A7B9C"/>
    <w:rsid w:val="007B2BFD"/>
    <w:rsid w:val="007F72B4"/>
    <w:rsid w:val="007F7E0C"/>
    <w:rsid w:val="00806800"/>
    <w:rsid w:val="00832FFC"/>
    <w:rsid w:val="00833A72"/>
    <w:rsid w:val="00833DBA"/>
    <w:rsid w:val="008454B2"/>
    <w:rsid w:val="00863EB4"/>
    <w:rsid w:val="00867AA7"/>
    <w:rsid w:val="00873743"/>
    <w:rsid w:val="008A679A"/>
    <w:rsid w:val="008B6BF0"/>
    <w:rsid w:val="008C46FB"/>
    <w:rsid w:val="008D365B"/>
    <w:rsid w:val="008D4787"/>
    <w:rsid w:val="008D6752"/>
    <w:rsid w:val="008E6DED"/>
    <w:rsid w:val="008F1BF1"/>
    <w:rsid w:val="00906365"/>
    <w:rsid w:val="00913896"/>
    <w:rsid w:val="00976627"/>
    <w:rsid w:val="009814C8"/>
    <w:rsid w:val="00987CFC"/>
    <w:rsid w:val="00997D88"/>
    <w:rsid w:val="009C38CC"/>
    <w:rsid w:val="009C7E2A"/>
    <w:rsid w:val="00A02386"/>
    <w:rsid w:val="00A076A0"/>
    <w:rsid w:val="00A13761"/>
    <w:rsid w:val="00A17188"/>
    <w:rsid w:val="00A17B91"/>
    <w:rsid w:val="00A3412D"/>
    <w:rsid w:val="00A63D8B"/>
    <w:rsid w:val="00A673A2"/>
    <w:rsid w:val="00AE3B03"/>
    <w:rsid w:val="00B01624"/>
    <w:rsid w:val="00B47500"/>
    <w:rsid w:val="00B47A51"/>
    <w:rsid w:val="00B736EC"/>
    <w:rsid w:val="00BB1760"/>
    <w:rsid w:val="00BD6651"/>
    <w:rsid w:val="00BF5188"/>
    <w:rsid w:val="00C07AA3"/>
    <w:rsid w:val="00C205F7"/>
    <w:rsid w:val="00C25908"/>
    <w:rsid w:val="00C51870"/>
    <w:rsid w:val="00C5236E"/>
    <w:rsid w:val="00C611A1"/>
    <w:rsid w:val="00C82CBF"/>
    <w:rsid w:val="00CA483F"/>
    <w:rsid w:val="00CC1FCB"/>
    <w:rsid w:val="00CC5557"/>
    <w:rsid w:val="00CD052E"/>
    <w:rsid w:val="00D01BB8"/>
    <w:rsid w:val="00D135BF"/>
    <w:rsid w:val="00D63345"/>
    <w:rsid w:val="00D63D04"/>
    <w:rsid w:val="00D749EF"/>
    <w:rsid w:val="00DD2097"/>
    <w:rsid w:val="00E22E8E"/>
    <w:rsid w:val="00E43AA2"/>
    <w:rsid w:val="00EC4F56"/>
    <w:rsid w:val="00EE1E5D"/>
    <w:rsid w:val="00F2261F"/>
    <w:rsid w:val="00F31852"/>
    <w:rsid w:val="00F34329"/>
    <w:rsid w:val="00F56FF3"/>
    <w:rsid w:val="00FC61A0"/>
    <w:rsid w:val="00FD52A6"/>
    <w:rsid w:val="00FF10BD"/>
    <w:rsid w:val="00FF4FBA"/>
    <w:rsid w:val="38F2639C"/>
    <w:rsid w:val="6A6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foot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qFormat/>
    <w:uiPriority w:val="5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Нижний колонтитул Знак"/>
    <w:basedOn w:val="2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Standard"/>
    <w:uiPriority w:val="0"/>
    <w:pPr>
      <w:widowControl w:val="0"/>
      <w:suppressAutoHyphens/>
      <w:spacing w:after="0" w:line="240" w:lineRule="auto"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de-DE" w:eastAsia="ja-JP" w:bidi="fa-I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6455</Words>
  <Characters>36796</Characters>
  <Lines>306</Lines>
  <Paragraphs>86</Paragraphs>
  <TotalTime>16</TotalTime>
  <ScaleCrop>false</ScaleCrop>
  <LinksUpToDate>false</LinksUpToDate>
  <CharactersWithSpaces>43165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2022-11-21T21:28:00Z</dcterms:created>
  <dc:creator>Windows User</dc:creator>
  <cp:lastModifiedBy>polyd</cp:lastModifiedBy>
  <dcterms:modified xsi:type="dcterms:W3CDTF">2023-12-02T17:44:19Z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38869F4F640B41DFB2D7F5A65B66614C_13</vt:lpwstr>
  </property>
</Properties>
</file>