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Влияние</w:t>
      </w:r>
      <w:r>
        <w:t xml:space="preserve"> </w:t>
      </w:r>
      <w:r>
        <w:t xml:space="preserve">пола,</w:t>
      </w:r>
      <w:r>
        <w:t xml:space="preserve"> </w:t>
      </w:r>
      <w:r>
        <w:t xml:space="preserve">возраста</w:t>
      </w:r>
      <w:r>
        <w:t xml:space="preserve"> </w:t>
      </w:r>
      <w:r>
        <w:t xml:space="preserve">и</w:t>
      </w:r>
      <w:r>
        <w:t xml:space="preserve"> </w:t>
      </w:r>
      <w:r>
        <w:t xml:space="preserve">курения</w:t>
      </w:r>
      <w:r>
        <w:t xml:space="preserve"> </w:t>
      </w:r>
      <w:r>
        <w:t xml:space="preserve">на</w:t>
      </w:r>
      <w:r>
        <w:t xml:space="preserve"> </w:t>
      </w:r>
      <w:r>
        <w:t xml:space="preserve">объём</w:t>
      </w:r>
      <w:r>
        <w:t xml:space="preserve"> </w:t>
      </w:r>
      <w:r>
        <w:t xml:space="preserve">форсированного</w:t>
      </w:r>
      <w:r>
        <w:t xml:space="preserve"> </w:t>
      </w:r>
      <w:r>
        <w:t xml:space="preserve">выдоха</w:t>
      </w:r>
      <w:r>
        <w:t xml:space="preserve"> </w:t>
      </w:r>
      <w:r>
        <w:t xml:space="preserve">(ОФВ)</w:t>
      </w:r>
      <w:r>
        <w:t xml:space="preserve"> </w:t>
      </w:r>
      <w:r>
        <w:t xml:space="preserve">у</w:t>
      </w:r>
      <w:r>
        <w:t xml:space="preserve"> </w:t>
      </w:r>
      <w:r>
        <w:t xml:space="preserve">детей</w:t>
      </w:r>
      <w:r>
        <w:t xml:space="preserve"> </w:t>
      </w:r>
      <w:r>
        <w:t xml:space="preserve">и</w:t>
      </w:r>
      <w:r>
        <w:t xml:space="preserve"> </w:t>
      </w:r>
      <w:r>
        <w:t xml:space="preserve">подростков</w:t>
      </w:r>
    </w:p>
    <w:p>
      <w:pPr>
        <w:pStyle w:val="Author"/>
      </w:pPr>
      <w:r>
        <w:t xml:space="preserve">Марина</w:t>
      </w:r>
    </w:p>
    <w:p>
      <w:pPr>
        <w:pStyle w:val="Date"/>
      </w:pPr>
      <w:r>
        <w:t xml:space="preserve">09.07.2026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Объём форсированного выдоха (ОФВ; англ.</w:t>
      </w:r>
      <w:r>
        <w:t xml:space="preserve"> </w:t>
      </w:r>
      <w:r>
        <w:rPr>
          <w:iCs/>
          <w:i/>
        </w:rPr>
        <w:t xml:space="preserve">forced expiratory volume</w:t>
      </w:r>
      <w:r>
        <w:t xml:space="preserve">, FEV) —</w:t>
      </w:r>
      <w:r>
        <w:t xml:space="preserve"> </w:t>
      </w:r>
      <w:r>
        <w:t xml:space="preserve">один из ключевых показателей функции внешнего дыхания. Его величина зависит</w:t>
      </w:r>
      <w:r>
        <w:t xml:space="preserve"> </w:t>
      </w:r>
      <w:r>
        <w:t xml:space="preserve">от антропометрических характеристик (рост, возраст), пола, а также от</w:t>
      </w:r>
      <w:r>
        <w:t xml:space="preserve"> </w:t>
      </w:r>
      <w:r>
        <w:t xml:space="preserve">поведенческих факторов, в первую очередь от курения. Понимание того, как эти</w:t>
      </w:r>
      <w:r>
        <w:t xml:space="preserve"> </w:t>
      </w:r>
      <w:r>
        <w:t xml:space="preserve">факторы связаны с ОФВ, важно для интерпретации спирометрических данных, тем</w:t>
      </w:r>
      <w:r>
        <w:t xml:space="preserve"> </w:t>
      </w:r>
      <w:r>
        <w:t xml:space="preserve">более что у детей и подростков разные факторы могут действовать совместно и</w:t>
      </w:r>
      <w:r>
        <w:t xml:space="preserve"> </w:t>
      </w:r>
      <w:r>
        <w:t xml:space="preserve">маскировать друг друга.</w:t>
      </w:r>
    </w:p>
    <w:p>
      <w:pPr>
        <w:pStyle w:val="BodyText"/>
      </w:pPr>
      <w:r>
        <w:t xml:space="preserve">В настоящей работе на классических данных</w:t>
      </w:r>
      <w:r>
        <w:t xml:space="preserve"> </w:t>
      </w:r>
      <w:r>
        <w:t xml:space="preserve">Tager и др. (</w:t>
      </w:r>
      <w:hyperlink w:anchor="ref-tager1979">
        <w:r>
          <w:rPr>
            <w:rStyle w:val="Hyperlink"/>
          </w:rPr>
          <w:t xml:space="preserve">1979</w:t>
        </w:r>
      </w:hyperlink>
      <w:r>
        <w:t xml:space="preserve">)</w:t>
      </w:r>
      <w:r>
        <w:t xml:space="preserve"> </w:t>
      </w:r>
      <w:r>
        <w:t xml:space="preserve">проверяются две</w:t>
      </w:r>
      <w:r>
        <w:t xml:space="preserve"> </w:t>
      </w:r>
      <w:r>
        <w:t xml:space="preserve">гипотезы:</w:t>
      </w:r>
    </w:p>
    <w:p>
      <w:pPr>
        <w:numPr>
          <w:ilvl w:val="0"/>
          <w:numId w:val="1001"/>
        </w:numPr>
        <w:pStyle w:val="Compact"/>
      </w:pPr>
      <w:r>
        <w:t xml:space="preserve">Различается ли ОФВ у мальчиков и девочек?</w:t>
      </w:r>
    </w:p>
    <w:p>
      <w:pPr>
        <w:numPr>
          <w:ilvl w:val="0"/>
          <w:numId w:val="1001"/>
        </w:numPr>
        <w:pStyle w:val="Compact"/>
      </w:pPr>
      <w:r>
        <w:t xml:space="preserve">Различается ли ОФВ в зависимости от возрастной группы и от факта курения</w:t>
      </w:r>
      <w:r>
        <w:t xml:space="preserve"> </w:t>
      </w:r>
      <w:r>
        <w:t xml:space="preserve">(двухфакторный дисперсионный анализ с проверкой взаимодействия факторов)?</w:t>
      </w:r>
    </w:p>
    <w:bookmarkEnd w:id="20"/>
    <w:bookmarkStart w:id="25" w:name="материал-и-методика"/>
    <w:p>
      <w:pPr>
        <w:pStyle w:val="Heading1"/>
      </w:pPr>
      <w:r>
        <w:t xml:space="preserve">Материал и методика</w:t>
      </w:r>
    </w:p>
    <w:bookmarkStart w:id="21" w:name="данные"/>
    <w:p>
      <w:pPr>
        <w:pStyle w:val="Heading2"/>
      </w:pPr>
      <w:r>
        <w:t xml:space="preserve">Данные</w:t>
      </w:r>
    </w:p>
    <w:p>
      <w:pPr>
        <w:pStyle w:val="FirstParagraph"/>
      </w:pPr>
      <w:r>
        <w:t xml:space="preserve">Использован набор данных</w:t>
      </w:r>
      <w:r>
        <w:t xml:space="preserve"> </w:t>
      </w:r>
      <w:r>
        <w:rPr>
          <w:rStyle w:val="VerbatimChar"/>
        </w:rPr>
        <w:t xml:space="preserve">fev</w:t>
      </w:r>
      <w:r>
        <w:t xml:space="preserve">, содержащий результаты спирометрического</w:t>
      </w:r>
      <w:r>
        <w:t xml:space="preserve"> </w:t>
      </w:r>
      <w:r>
        <w:t xml:space="preserve">обследования детей и подростков</w:t>
      </w:r>
      <w:r>
        <w:t xml:space="preserve"> </w:t>
      </w:r>
      <w:r>
        <w:t xml:space="preserve">(</w:t>
      </w:r>
      <w:hyperlink w:anchor="ref-tager1979">
        <w:r>
          <w:rPr>
            <w:rStyle w:val="Hyperlink"/>
          </w:rPr>
          <w:t xml:space="preserve">Tager и др. 1979</w:t>
        </w:r>
      </w:hyperlink>
      <w:r>
        <w:t xml:space="preserve">;</w:t>
      </w:r>
      <w:r>
        <w:t xml:space="preserve"> </w:t>
      </w:r>
      <w:hyperlink w:anchor="ref-statsci">
        <w:r>
          <w:rPr>
            <w:rStyle w:val="Hyperlink"/>
          </w:rPr>
          <w:t xml:space="preserve">OzDASL 1979</w:t>
        </w:r>
      </w:hyperlink>
      <w:r>
        <w:t xml:space="preserve">)</w:t>
      </w:r>
      <w:r>
        <w:t xml:space="preserve">. Каждая строка — один</w:t>
      </w:r>
      <w:r>
        <w:t xml:space="preserve"> </w:t>
      </w:r>
      <w:r>
        <w:t xml:space="preserve">участник; переменные приведены в таблице 1.</w:t>
      </w:r>
    </w:p>
    <w:p>
      <w:pPr>
        <w:pStyle w:val="TableCaption"/>
      </w:pPr>
      <w:r>
        <w:t xml:space="preserve">Таблица 1. Переменные набора данных.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Таблица 1. Переменные набора данных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Возраст,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форсированного выдоха, 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Рост, дюймы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 (Male / Female)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Курение (Non — некурящий, Current — курящий)</w:t>
            </w:r>
          </w:p>
        </w:tc>
      </w:tr>
    </w:tbl>
    <w:bookmarkEnd w:id="21"/>
    <w:bookmarkStart w:id="22" w:name="предобработка"/>
    <w:p>
      <w:pPr>
        <w:pStyle w:val="Heading2"/>
      </w:pPr>
      <w:r>
        <w:t xml:space="preserve">Предобработка</w:t>
      </w:r>
    </w:p>
    <w:p>
      <w:pPr>
        <w:pStyle w:val="FirstParagraph"/>
      </w:pPr>
      <w:r>
        <w:t xml:space="preserve">В двух наблюдениях есть пропуски — не указаны возраст и статус курения. Такие</w:t>
      </w:r>
      <w:r>
        <w:t xml:space="preserve"> </w:t>
      </w:r>
      <w:r>
        <w:t xml:space="preserve">строки при чтении распознаются как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и исключаются из анализа.</w:t>
      </w:r>
    </w:p>
    <w:p>
      <w:pPr>
        <w:pStyle w:val="BodyText"/>
      </w:pPr>
      <w:r>
        <w:t xml:space="preserve">Исходно 654 наблюдений; после удаления пропусков осталось</w:t>
      </w:r>
      <w:r>
        <w:t xml:space="preserve"> </w:t>
      </w:r>
      <w:r>
        <w:rPr>
          <w:bCs/>
          <w:b/>
        </w:rPr>
        <w:t xml:space="preserve">652</w:t>
      </w:r>
      <w:r>
        <w:t xml:space="preserve"> </w:t>
      </w:r>
      <w:r>
        <w:t xml:space="preserve">наблюдений.</w:t>
      </w:r>
    </w:p>
    <w:bookmarkEnd w:id="22"/>
    <w:bookmarkStart w:id="23" w:name="возрастные-группы"/>
    <w:p>
      <w:pPr>
        <w:pStyle w:val="Heading2"/>
      </w:pPr>
      <w:r>
        <w:t xml:space="preserve">Возрастные группы</w:t>
      </w:r>
    </w:p>
    <w:p>
      <w:pPr>
        <w:pStyle w:val="FirstParagraph"/>
      </w:pPr>
      <w:r>
        <w:t xml:space="preserve">Возраст участников — от 3 до 19 лет: это дети и</w:t>
      </w:r>
      <w:r>
        <w:t xml:space="preserve"> </w:t>
      </w:r>
      <w:r>
        <w:t xml:space="preserve">подростки, старше 21 года нет никого (0 наблюдений). Поэтому</w:t>
      </w:r>
      <w:r>
        <w:t xml:space="preserve"> </w:t>
      </w:r>
      <w:r>
        <w:t xml:space="preserve">деление на взрослых (старше 21 года) и молодёжь неприменимо: «взрослая» группа</w:t>
      </w:r>
      <w:r>
        <w:t xml:space="preserve"> </w:t>
      </w:r>
      <w:r>
        <w:t xml:space="preserve">была бы пустой. Чтобы выполнить двухфакторный анализ по возрасту, выборку</w:t>
      </w:r>
      <w:r>
        <w:t xml:space="preserve"> </w:t>
      </w:r>
      <w:r>
        <w:t xml:space="preserve">разделили по</w:t>
      </w:r>
      <w:r>
        <w:t xml:space="preserve"> </w:t>
      </w:r>
      <w:r>
        <w:rPr>
          <w:bCs/>
          <w:b/>
        </w:rPr>
        <w:t xml:space="preserve">медиане возраста</w:t>
      </w:r>
      <w:r>
        <w:t xml:space="preserve"> </w:t>
      </w:r>
      <w:r>
        <w:t xml:space="preserve">на младшую и старшую группы.</w:t>
      </w:r>
    </w:p>
    <w:p>
      <w:pPr>
        <w:pStyle w:val="BodyText"/>
      </w:pPr>
      <w:r>
        <w:t xml:space="preserve">Медиана возраста — 10 лет: младшая группа — участники ≤ 10</w:t>
      </w:r>
      <w:r>
        <w:t xml:space="preserve"> </w:t>
      </w:r>
      <w:r>
        <w:t xml:space="preserve">лет, старшая — старше 10 лет.</w:t>
      </w:r>
    </w:p>
    <w:bookmarkEnd w:id="23"/>
    <w:bookmarkStart w:id="24" w:name="статистические-методы"/>
    <w:p>
      <w:pPr>
        <w:pStyle w:val="Heading2"/>
      </w:pPr>
      <w:r>
        <w:t xml:space="preserve">Статистические методы</w:t>
      </w:r>
    </w:p>
    <w:p>
      <w:pPr>
        <w:pStyle w:val="FirstParagraph"/>
      </w:pPr>
      <w:r>
        <w:rPr>
          <w:bCs/>
          <w:b/>
        </w:rPr>
        <w:t xml:space="preserve">Вопрос 1.</w:t>
      </w:r>
      <w:r>
        <w:t xml:space="preserve"> </w:t>
      </w:r>
      <w:r>
        <w:t xml:space="preserve">Для сравнения ОФВ между полами применён двухвыборочный</w:t>
      </w:r>
      <w:r>
        <w:t xml:space="preserve"> </w:t>
      </w:r>
      <w:r>
        <w:rPr>
          <w:iCs/>
          <w:i/>
        </w:rPr>
        <w:t xml:space="preserve">t</w:t>
      </w:r>
      <w:r>
        <w:t xml:space="preserve">-критерий в модификации Уэлча (не требует равенства дисперсий, а они у</w:t>
      </w:r>
      <w:r>
        <w:t xml:space="preserve"> </w:t>
      </w:r>
      <w:r>
        <w:t xml:space="preserve">полов заметно различаются). Статистика критерия: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среднее, дисперсия и объём</w:t>
      </w:r>
      <w:r>
        <w:t xml:space="preserve"> </w:t>
      </w:r>
      <m:oMath>
        <m:r>
          <m:t>i</m:t>
        </m:r>
      </m:oMath>
      <w:r>
        <w:t xml:space="preserve">-й группы.</w:t>
      </w:r>
    </w:p>
    <w:p>
      <w:pPr>
        <w:pStyle w:val="BodyText"/>
      </w:pPr>
      <w:r>
        <w:rPr>
          <w:bCs/>
          <w:b/>
        </w:rPr>
        <w:t xml:space="preserve">Вопрос 2.</w:t>
      </w:r>
      <w:r>
        <w:t xml:space="preserve"> </w:t>
      </w:r>
      <w:r>
        <w:t xml:space="preserve">Совместное влияние возрастной группы и курения оценено</w:t>
      </w:r>
      <w:r>
        <w:t xml:space="preserve"> </w:t>
      </w:r>
      <w:r>
        <w:t xml:space="preserve">двухфакторным дисперсионным анализом. Модель с взаимодействием: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— ОФВ;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общее среднее;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эффект возрастной</w:t>
      </w:r>
      <w:r>
        <w:t xml:space="preserve"> </w:t>
      </w:r>
      <w:r>
        <w:t xml:space="preserve">группы;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эффект курения;</w:t>
      </w:r>
      <w:r>
        <w:t xml:space="preserve"> </w:t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  <m:r>
                  <m:t>β</m:t>
                </m:r>
              </m:e>
            </m:d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их взаимодействие;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— остаток. Значимость эффектов</w:t>
      </w:r>
      <w:r>
        <w:t xml:space="preserve"> </w:t>
      </w:r>
      <w:r>
        <w:t xml:space="preserve">проверяется через</w:t>
      </w:r>
      <w:r>
        <w:t xml:space="preserve"> </w:t>
      </w:r>
      <m:oMath>
        <m:r>
          <m:t>F</m:t>
        </m:r>
      </m:oMath>
      <w:r>
        <w:t xml:space="preserve">-отношение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эффект</m:t>
            </m:r>
          </m:sub>
        </m:sSub>
        <m:r>
          <m:rPr>
            <m:sty m:val="p"/>
          </m:rPr>
          <m:t>/</m:t>
        </m:r>
        <m:r>
          <m:t>M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остаток</m:t>
            </m:r>
          </m:sub>
        </m:sSub>
      </m:oMath>
      <w:r>
        <w:t xml:space="preserve">.</w:t>
      </w:r>
      <w:r>
        <w:t xml:space="preserve"> </w:t>
      </w:r>
      <w:r>
        <w:t xml:space="preserve">Поскольку дизайн сильно несбалансирован, использованы суммы квадратов</w:t>
      </w:r>
      <w:r>
        <w:t xml:space="preserve"> </w:t>
      </w:r>
      <w:r>
        <w:rPr>
          <w:bCs/>
          <w:b/>
        </w:rPr>
        <w:t xml:space="preserve">типа II</w:t>
      </w:r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Anova</w:t>
      </w:r>
      <w:r>
        <w:t xml:space="preserve"> </w:t>
      </w:r>
      <w:r>
        <w:t xml:space="preserve">пакета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(</w:t>
      </w:r>
      <w:hyperlink w:anchor="ref-fox2019">
        <w:r>
          <w:rPr>
            <w:rStyle w:val="Hyperlink"/>
          </w:rPr>
          <w:t xml:space="preserve">Fox и Weisberg 2019</w:t>
        </w:r>
      </w:hyperlink>
      <w:r>
        <w:t xml:space="preserve">)</w:t>
      </w:r>
      <w:r>
        <w:t xml:space="preserve">).</w:t>
      </w:r>
    </w:p>
    <w:p>
      <w:pPr>
        <w:pStyle w:val="BodyText"/>
      </w:pPr>
      <w:r>
        <w:t xml:space="preserve">Стандартные методы (двухвыборочный</w:t>
      </w:r>
      <w:r>
        <w:t xml:space="preserve"> </w:t>
      </w:r>
      <w:r>
        <w:rPr>
          <w:iCs/>
          <w:i/>
        </w:rPr>
        <w:t xml:space="preserve">t</w:t>
      </w:r>
      <w:r>
        <w:t xml:space="preserve">-критерий и дисперсионный анализ)</w:t>
      </w:r>
      <w:r>
        <w:t xml:space="preserve"> </w:t>
      </w:r>
      <w:r>
        <w:t xml:space="preserve">подробно изложены, например, в</w:t>
      </w:r>
      <w:r>
        <w:t xml:space="preserve"> </w:t>
      </w:r>
      <w:r>
        <w:t xml:space="preserve">(</w:t>
      </w:r>
      <w:hyperlink w:anchor="ref-rosner1990">
        <w:r>
          <w:rPr>
            <w:rStyle w:val="Hyperlink"/>
          </w:rPr>
          <w:t xml:space="preserve">Rosner 1990</w:t>
        </w:r>
      </w:hyperlink>
      <w:r>
        <w:t xml:space="preserve">)</w:t>
      </w:r>
      <w:r>
        <w:t xml:space="preserve">. Все вычисления выполнены</w:t>
      </w:r>
      <w:r>
        <w:t xml:space="preserve"> </w:t>
      </w:r>
      <w:r>
        <w:t xml:space="preserve">в среде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(</w:t>
      </w:r>
      <w:hyperlink w:anchor="ref-rcoreteam2024">
        <w:r>
          <w:rPr>
            <w:rStyle w:val="Hyperlink"/>
          </w:rPr>
          <w:t xml:space="preserve">R Core Team 2024</w:t>
        </w:r>
      </w:hyperlink>
      <w:r>
        <w:t xml:space="preserve">)</w:t>
      </w:r>
      <w:r>
        <w:t xml:space="preserve"> </w:t>
      </w:r>
      <w:r>
        <w:t xml:space="preserve">(версия 4.3.3)</w:t>
      </w:r>
      <w:r>
        <w:t xml:space="preserve"> </w:t>
      </w:r>
      <w:r>
        <w:t xml:space="preserve">с пакетами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knitr</w:t>
      </w:r>
      <w:r>
        <w:t xml:space="preserve">.</w:t>
      </w:r>
    </w:p>
    <w:bookmarkEnd w:id="24"/>
    <w:bookmarkEnd w:id="25"/>
    <w:bookmarkStart w:id="34" w:name="результаты"/>
    <w:p>
      <w:pPr>
        <w:pStyle w:val="Heading1"/>
      </w:pPr>
      <w:r>
        <w:t xml:space="preserve">Результаты</w:t>
      </w:r>
    </w:p>
    <w:bookmarkStart w:id="29" w:name="вопрос-1.-различие-офв-между-полами"/>
    <w:p>
      <w:pPr>
        <w:pStyle w:val="Heading2"/>
      </w:pPr>
      <w:r>
        <w:t xml:space="preserve">Вопрос 1. Различие ОФВ между полами</w:t>
      </w:r>
    </w:p>
    <w:p>
      <w:pPr>
        <w:pStyle w:val="TableCaption"/>
      </w:pPr>
      <w:r>
        <w:t xml:space="preserve">Таблица 2. Описательные статистики ОФВ по полу.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Таблица 2. Описательные статистики ОФВ по полу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Среднее, 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СО, 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Ст. 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</w:tr>
    </w:tbl>
    <w:p>
      <w:pPr>
        <w:pStyle w:val="CaptionedFigure"/>
      </w:pPr>
      <w:r>
        <w:drawing>
          <wp:inline>
            <wp:extent cx="5334000" cy="3276600"/>
            <wp:effectExtent b="0" l="0" r="0" t="0"/>
            <wp:docPr descr="Рис. 1. Распределение ОФВ у девочек и мальчиков (ящики с усами и индивидуальные наблюдения). Ромб — среднее." title="" id="27" name="Picture"/>
            <a:graphic>
              <a:graphicData uri="http://schemas.openxmlformats.org/drawingml/2006/picture">
                <pic:pic>
                  <pic:nvPicPr>
                    <pic:cNvPr descr="fev_report_files/figure-docx/sex-plot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Распределение ОФВ у девочек и мальчиков (ящики с усами и индивидуальные наблюдения). Ромб — среднее.</w:t>
      </w:r>
    </w:p>
    <w:p>
      <w:pPr>
        <w:pStyle w:val="BodyText"/>
      </w:pPr>
      <w:r>
        <w:t xml:space="preserve">Средний ОФВ у мальчиков (2.81 л) выше, чем у девочек</w:t>
      </w:r>
      <w:r>
        <w:t xml:space="preserve"> </w:t>
      </w:r>
      <w:r>
        <w:t xml:space="preserve">(2.45 л). Различие статистически значимо: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= -5.47, df = 574.7,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&lt;1e-06.</w:t>
      </w:r>
    </w:p>
    <w:bookmarkEnd w:id="29"/>
    <w:bookmarkStart w:id="33" w:name="X461879b752773b3d01e9f5819df4f6321689b72"/>
    <w:p>
      <w:pPr>
        <w:pStyle w:val="Heading2"/>
      </w:pPr>
      <w:r>
        <w:t xml:space="preserve">Вопрос 2. Возрастная группа и курение (двухфакторный ANOVA)</w:t>
      </w:r>
    </w:p>
    <w:p>
      <w:pPr>
        <w:pStyle w:val="TableCaption"/>
      </w:pPr>
      <w:r>
        <w:t xml:space="preserve">Таблица 3. Средний ОФВ по ячейкам плана «возрастная группа × курение».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Таблица 3. Средний ОФВ по ячейкам плана «возрастная группа × курение»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Возр.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 ОФВ, 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СО, 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Младшая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Младшая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</w:tr>
    </w:tbl>
    <w:p>
      <w:pPr>
        <w:pStyle w:val="CaptionedFigure"/>
      </w:pPr>
      <w:r>
        <w:drawing>
          <wp:inline>
            <wp:extent cx="5334000" cy="3276600"/>
            <wp:effectExtent b="0" l="0" r="0" t="0"/>
            <wp:docPr descr="Рис. 2. График взаимодействия: средний ОФВ (± стандартная ошибка) в зависимости от возрастной группы и статуса курения." title="" id="31" name="Picture"/>
            <a:graphic>
              <a:graphicData uri="http://schemas.openxmlformats.org/drawingml/2006/picture">
                <pic:pic>
                  <pic:nvPicPr>
                    <pic:cNvPr descr="fev_report_files/figure-docx/interaction-plo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График взаимодействия: средний ОФВ (± стандартная ошибка) в зависимости от возрастной группы и статуса курения.</w:t>
      </w:r>
    </w:p>
    <w:p>
      <w:pPr>
        <w:pStyle w:val="TableCaption"/>
      </w:pPr>
      <w:r>
        <w:t xml:space="preserve">Таблица 4. Двухфакторный дисперсионный анализ ОФВ (суммы квадратов типа II).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Таблица 4. Двухфакторный дисперсионный анализ ОФВ (суммы квадратов типа II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Сумма кв.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eta^2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Возрастная 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Взаимодействие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</w:t>
            </w:r>
          </w:p>
        </w:tc>
      </w:tr>
    </w:tbl>
    <w:p>
      <w:pPr>
        <w:pStyle w:val="BodyText"/>
      </w:pPr>
      <w:r>
        <w:t xml:space="preserve">Возрастная группа — доминирующий фактор: у старших детей ОФВ существенно выше</w:t>
      </w:r>
      <w:r>
        <w:t xml:space="preserve"> </w:t>
      </w:r>
      <w:r>
        <w:t xml:space="preserve">(</w:t>
      </w:r>
      <w:r>
        <w:rPr>
          <w:iCs/>
          <w:i/>
        </w:rPr>
        <w:t xml:space="preserve">F</w:t>
      </w:r>
      <w:r>
        <w:t xml:space="preserve"> </w:t>
      </w:r>
      <w:r>
        <w:t xml:space="preserve">= 421.1,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&lt;1e-06).</w:t>
      </w:r>
      <w:r>
        <w:t xml:space="preserve"> </w:t>
      </w:r>
      <w:r>
        <w:t xml:space="preserve">Главный эффект курения</w:t>
      </w:r>
      <w:r>
        <w:t xml:space="preserve"> </w:t>
      </w:r>
      <w:r>
        <w:rPr>
          <w:bCs/>
          <w:b/>
        </w:rPr>
        <w:t xml:space="preserve">незначим</w:t>
      </w:r>
      <w:r>
        <w:t xml:space="preserve"> </w:t>
      </w:r>
      <w:r>
        <w:t xml:space="preserve">(</w:t>
      </w:r>
      <w:r>
        <w:rPr>
          <w:iCs/>
          <w:i/>
        </w:rPr>
        <w:t xml:space="preserve">F</w:t>
      </w:r>
      <w:r>
        <w:t xml:space="preserve"> </w:t>
      </w:r>
      <w:r>
        <w:t xml:space="preserve">= 0.91,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0.34), тогда как взаимодействие</w:t>
      </w:r>
      <w:r>
        <w:t xml:space="preserve"> </w:t>
      </w:r>
      <w:r>
        <w:t xml:space="preserve">«возраст × курение» значимо</w:t>
      </w:r>
      <w:r>
        <w:t xml:space="preserve"> </w:t>
      </w:r>
      <w:r>
        <w:t xml:space="preserve">(</w:t>
      </w:r>
      <w:r>
        <w:rPr>
          <w:iCs/>
          <w:i/>
        </w:rPr>
        <w:t xml:space="preserve">F</w:t>
      </w:r>
      <w:r>
        <w:t xml:space="preserve"> </w:t>
      </w:r>
      <w:r>
        <w:t xml:space="preserve">= 6.28,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0.012): «эффект» курения</w:t>
      </w:r>
      <w:r>
        <w:t xml:space="preserve"> </w:t>
      </w:r>
      <w:r>
        <w:t xml:space="preserve">проявляется по-разному в младшей и старшей группах (рис. 2).</w:t>
      </w:r>
    </w:p>
    <w:bookmarkEnd w:id="33"/>
    <w:bookmarkEnd w:id="34"/>
    <w:bookmarkStart w:id="35" w:name="обсуждение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rPr>
          <w:bCs/>
          <w:b/>
        </w:rPr>
        <w:t xml:space="preserve">Пол.</w:t>
      </w:r>
      <w:r>
        <w:t xml:space="preserve"> </w:t>
      </w:r>
      <w:r>
        <w:t xml:space="preserve">ОФВ у мальчиков в среднем выше, чем у девочек, и различие значимо.</w:t>
      </w:r>
      <w:r>
        <w:t xml:space="preserve"> </w:t>
      </w:r>
      <w:r>
        <w:t xml:space="preserve">Однако пол в этих данных смешан с ростом и возрастом: мальчики в среднем выше,</w:t>
      </w:r>
      <w:r>
        <w:t xml:space="preserve"> </w:t>
      </w:r>
      <w:r>
        <w:t xml:space="preserve">а рост — сильнейший предиктор ОФВ. Поэтому простой</w:t>
      </w:r>
      <w:r>
        <w:t xml:space="preserve"> </w:t>
      </w:r>
      <w:r>
        <w:rPr>
          <w:iCs/>
          <w:i/>
        </w:rPr>
        <w:t xml:space="preserve">t</w:t>
      </w:r>
      <w:r>
        <w:t xml:space="preserve">-критерий фиксирует</w:t>
      </w:r>
      <w:r>
        <w:t xml:space="preserve"> </w:t>
      </w:r>
      <w:r>
        <w:t xml:space="preserve">факт различия, но не отделяет собственный вклад пола от вклада роста; для</w:t>
      </w:r>
      <w:r>
        <w:t xml:space="preserve"> </w:t>
      </w:r>
      <w:r>
        <w:t xml:space="preserve">причинного вывода потребовалась бы модель с поправкой на рост.</w:t>
      </w:r>
    </w:p>
    <w:p>
      <w:pPr>
        <w:pStyle w:val="BodyText"/>
      </w:pPr>
      <w:r>
        <w:rPr>
          <w:bCs/>
          <w:b/>
        </w:rPr>
        <w:t xml:space="preserve">Курение и возраст.</w:t>
      </w:r>
      <w:r>
        <w:t xml:space="preserve"> </w:t>
      </w:r>
      <w:r>
        <w:t xml:space="preserve">Наивное сравнение курящих и некурящих даёт</w:t>
      </w:r>
      <w:r>
        <w:t xml:space="preserve"> </w:t>
      </w:r>
      <w:r>
        <w:t xml:space="preserve">парадоксальный результат: у курящих ОФВ</w:t>
      </w:r>
      <w:r>
        <w:t xml:space="preserve"> </w:t>
      </w:r>
      <w:r>
        <w:rPr>
          <w:iCs/>
          <w:i/>
        </w:rPr>
        <w:t xml:space="preserve">выше</w:t>
      </w:r>
      <w:r>
        <w:t xml:space="preserve">, чем у некурящих. Причина —</w:t>
      </w:r>
      <w:r>
        <w:t xml:space="preserve"> </w:t>
      </w:r>
      <w:r>
        <w:t xml:space="preserve">смешивающий фактор (конфаундинг): курят почти исключительно старшие дети</w:t>
      </w:r>
      <w:r>
        <w:t xml:space="preserve"> </w:t>
      </w:r>
      <w:r>
        <w:t xml:space="preserve">(самому младшему курящему 9 лет), а у</w:t>
      </w:r>
      <w:r>
        <w:t xml:space="preserve"> </w:t>
      </w:r>
      <w:r>
        <w:t xml:space="preserve">старших детей ОФВ выше просто в силу роста и развития. Двухфакторный анализ</w:t>
      </w:r>
      <w:r>
        <w:t xml:space="preserve"> </w:t>
      </w:r>
      <w:r>
        <w:t xml:space="preserve">вскрывает эту структуру: подавляющую часть дисперсии объясняет возрастная</w:t>
      </w:r>
      <w:r>
        <w:t xml:space="preserve"> </w:t>
      </w:r>
      <w:r>
        <w:t xml:space="preserve">группа, а собственный главный эффект курения становится незначимым. Это</w:t>
      </w:r>
      <w:r>
        <w:t xml:space="preserve"> </w:t>
      </w:r>
      <w:r>
        <w:t xml:space="preserve">классический пример того, как неучтённый фактор способен создать иллюзию</w:t>
      </w:r>
      <w:r>
        <w:t xml:space="preserve"> </w:t>
      </w:r>
      <w:r>
        <w:t xml:space="preserve">«положительного» влияния курения на функцию лёгких.</w:t>
      </w:r>
    </w:p>
    <w:p>
      <w:pPr>
        <w:pStyle w:val="BodyText"/>
      </w:pPr>
      <w:r>
        <w:rPr>
          <w:bCs/>
          <w:b/>
        </w:rPr>
        <w:t xml:space="preserve">Ограничения.</w:t>
      </w:r>
      <w:r>
        <w:t xml:space="preserve"> </w:t>
      </w:r>
      <w:r>
        <w:t xml:space="preserve">Ячейка «младшие курящие» очень мала</w:t>
      </w:r>
      <w:r>
        <w:t xml:space="preserve"> </w:t>
      </w:r>
      <w:r>
        <w:t xml:space="preserve">(n = 6), что делает</w:t>
      </w:r>
      <w:r>
        <w:t xml:space="preserve"> </w:t>
      </w:r>
      <w:r>
        <w:t xml:space="preserve">оценку взаимодействия неустойчивой. Порог возрастных групп выбран по медиане,</w:t>
      </w:r>
      <w:r>
        <w:t xml:space="preserve"> </w:t>
      </w:r>
      <w:r>
        <w:t xml:space="preserve">а не по содержательному критерию (в данных нет взрослых). Наконец, дизайн</w:t>
      </w:r>
      <w:r>
        <w:t xml:space="preserve"> </w:t>
      </w:r>
      <w:r>
        <w:t xml:space="preserve">наблюдательный, поэтому выводы носят описательный, а не причинный характер.</w:t>
      </w:r>
    </w:p>
    <w:bookmarkEnd w:id="35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36" w:name="ref-fox2019"/>
    <w:p>
      <w:pPr>
        <w:pStyle w:val="Bibliography"/>
      </w:pPr>
      <w:r>
        <w:t xml:space="preserve">Fox, John, и Sanford Weisberg. 2019.</w:t>
      </w:r>
      <w:r>
        <w:t xml:space="preserve"> </w:t>
      </w:r>
      <w:r>
        <w:rPr>
          <w:iCs/>
          <w:i/>
        </w:rPr>
        <w:t xml:space="preserve">An R Companion to Applied Regression</w:t>
      </w:r>
      <w:r>
        <w:t xml:space="preserve">. 3-я изд. Thousand Oaks, CA: Sage.</w:t>
      </w:r>
    </w:p>
    <w:bookmarkEnd w:id="36"/>
    <w:bookmarkStart w:id="38" w:name="ref-statsci"/>
    <w:p>
      <w:pPr>
        <w:pStyle w:val="Bibliography"/>
      </w:pPr>
      <w:r>
        <w:t xml:space="preserve">OzDASL. 1979.</w:t>
      </w:r>
      <w:r>
        <w:t xml:space="preserve"> </w:t>
      </w:r>
      <w:r>
        <w:t xml:space="preserve">«Forced Expiratory Volume (FEV) dataset»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http://www.statsci.org/data/general/fev.html</w:t>
        </w:r>
      </w:hyperlink>
      <w:r>
        <w:t xml:space="preserve">.</w:t>
      </w:r>
    </w:p>
    <w:bookmarkEnd w:id="38"/>
    <w:bookmarkStart w:id="40" w:name="ref-rcoreteam2024"/>
    <w:p>
      <w:pPr>
        <w:pStyle w:val="Bibliography"/>
      </w:pPr>
      <w:r>
        <w:t xml:space="preserve">R Core Team. 2024.</w:t>
      </w:r>
      <w:r>
        <w:t xml:space="preserve"> </w:t>
      </w:r>
      <w:r>
        <w:rPr>
          <w:iCs/>
          <w:i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39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0"/>
    <w:bookmarkStart w:id="41" w:name="ref-rosner1990"/>
    <w:p>
      <w:pPr>
        <w:pStyle w:val="Bibliography"/>
      </w:pPr>
      <w:r>
        <w:t xml:space="preserve">Rosner, Bernard. 1990.</w:t>
      </w:r>
      <w:r>
        <w:t xml:space="preserve"> </w:t>
      </w:r>
      <w:r>
        <w:rPr>
          <w:iCs/>
          <w:i/>
        </w:rPr>
        <w:t xml:space="preserve">Fundamentals of Biostatistics</w:t>
      </w:r>
      <w:r>
        <w:t xml:space="preserve">. 3-я изд. Boston, Massachusetts: PWS-Kent.</w:t>
      </w:r>
    </w:p>
    <w:bookmarkEnd w:id="41"/>
    <w:bookmarkStart w:id="42" w:name="ref-tager1979"/>
    <w:p>
      <w:pPr>
        <w:pStyle w:val="Bibliography"/>
      </w:pPr>
      <w:r>
        <w:t xml:space="preserve">Tager, Ira B., Scott T. Weiss, Bernard Rosner, и Frank E. Speizer. 1979.</w:t>
      </w:r>
      <w:r>
        <w:t xml:space="preserve"> </w:t>
      </w:r>
      <w:r>
        <w:t xml:space="preserve">«Effect of parental cigarette smoking on pulmonary function in children»</w:t>
      </w:r>
      <w:r>
        <w:t xml:space="preserve">.</w:t>
      </w:r>
      <w:r>
        <w:t xml:space="preserve"> </w:t>
      </w:r>
      <w:r>
        <w:rPr>
          <w:iCs/>
          <w:i/>
        </w:rPr>
        <w:t xml:space="preserve">American Journal of Epidemiology</w:t>
      </w:r>
      <w:r>
        <w:t xml:space="preserve"> </w:t>
      </w:r>
      <w:r>
        <w:t xml:space="preserve">110: 15–26.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37" Target="http://www.statsci.org/data/general/fev.html" TargetMode="External" /><Relationship Type="http://schemas.openxmlformats.org/officeDocument/2006/relationships/hyperlink" Id="rId39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://www.statsci.org/data/general/fev.html" TargetMode="External" /><Relationship Type="http://schemas.openxmlformats.org/officeDocument/2006/relationships/hyperlink" Id="rId39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Влияние пола, возраста и курения на объём форсированного выдоха (ОФВ) у детей и подростков</dc:title>
  <dc:creator>Марина</dc:creator>
  <dc:language>ru</dc:language>
  <cp:keywords/>
  <dcterms:created xsi:type="dcterms:W3CDTF">2026-07-09T20:33:43Z</dcterms:created>
  <dcterms:modified xsi:type="dcterms:W3CDTF">2026-07-09T20:33:43Z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09.07.2026</vt:lpwstr>
  </property>
  <property fmtid="{D5CDD505-2E9C-101B-9397-08002B2CF9AE}" pid="4" name="link-citations">
    <vt:lpwstr>True</vt:lpwstr>
  </property>
  <property fmtid="{D5CDD505-2E9C-101B-9397-08002B2CF9AE}" pid="5" name="output">
    <vt:lpwstr/>
  </property>
</Properties>
</file>