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Анализ ёмкости лёгких у разных людей</w:t>
      </w:r>
    </w:p>
    <w:p>
      <w:pPr>
        <w:pStyle w:val="Author"/>
      </w:pPr>
      <w:r>
        <w:t xml:space="preserve">Kim Sofia</w:t>
      </w:r>
    </w:p>
    <w:p>
      <w:pPr>
        <w:pStyle w:val="Date"/>
      </w:pPr>
      <w:r>
        <w:t xml:space="preserve">2026-07-01</w:t>
      </w:r>
    </w:p>
    <w:bookmarkStart w:id="20" w:name="введение-и-актуальность"/>
    <w:p>
      <w:pPr>
        <w:pStyle w:val="Heading1"/>
      </w:pPr>
      <w:r>
        <w:t xml:space="preserve">Введение и актуальность</w:t>
      </w:r>
    </w:p>
    <w:p>
      <w:pPr>
        <w:pStyle w:val="FirstParagraph"/>
      </w:pPr>
      <w:r>
        <w:t xml:space="preserve">Одним из главных показателей функций дыхания является ёмкость лёгких - TLC - Total Lung Capacity. Он отражает максимальный объём воздуха, который лёгкие могут вместить, и зависит от множества факторов: возраста, пола, роста, физического развития, наличия заболеваний дыхательной системы и вредных привычек.</w:t>
      </w:r>
    </w:p>
    <w:p>
      <w:pPr>
        <w:pStyle w:val="BodyText"/>
      </w:pPr>
      <w:r>
        <w:t xml:space="preserve">Данные из научных статей</w:t>
      </w:r>
      <w:r>
        <w:t xml:space="preserve"> </w:t>
      </w:r>
      <w:r>
        <w:t xml:space="preserve">Miller et al. (2005)</w:t>
      </w:r>
      <w:r>
        <w:t xml:space="preserve">.</w:t>
      </w:r>
    </w:p>
    <w:p>
      <w:pPr>
        <w:pStyle w:val="BodyText"/>
      </w:pPr>
      <w:r>
        <w:t xml:space="preserve">Известно, что на величину TLC оказывают влияние такие антропометрические факторы, как рост, пол и возраст. В частности, наблюдается положительная корреляция между ростом человека и объёмом его лёгких, что объясняется анатомическими особенностями строения грудной клетки</w:t>
      </w:r>
      <w:r>
        <w:t xml:space="preserve"> </w:t>
      </w:r>
      <w:r>
        <w:t xml:space="preserve">(Hankinson, Odencrantz, and Fedan 1999)</w:t>
      </w:r>
      <w:r>
        <w:t xml:space="preserve">. Также существуют устойчивые различия между мужчинами и женщинами, обусловленные как размерами тела, так и гормональными факторами</w:t>
      </w:r>
      <w:r>
        <w:t xml:space="preserve"> </w:t>
      </w:r>
      <w:r>
        <w:t xml:space="preserve">(Pellegrino et al. 2005)</w:t>
      </w:r>
      <w:r>
        <w:t xml:space="preserve">.</w:t>
      </w:r>
    </w:p>
    <w:bookmarkEnd w:id="20"/>
    <w:bookmarkStart w:id="21" w:name="цель-исследования"/>
    <w:p>
      <w:pPr>
        <w:pStyle w:val="Heading1"/>
      </w:pPr>
      <w:r>
        <w:t xml:space="preserve">Цель исследования</w:t>
      </w:r>
    </w:p>
    <w:p>
      <w:pPr>
        <w:pStyle w:val="FirstParagraph"/>
      </w:pPr>
      <w:r>
        <w:t xml:space="preserve">Анализ ёмкости легких у мужчин и женщин, а именно:</w:t>
      </w:r>
    </w:p>
    <w:p>
      <w:pPr>
        <w:numPr>
          <w:ilvl w:val="0"/>
          <w:numId w:val="1001"/>
        </w:numPr>
      </w:pPr>
      <w:r>
        <w:t xml:space="preserve">Оценка различий в объеме легких между мужчинами и женщинами (зависимость от пола).</w:t>
      </w:r>
    </w:p>
    <w:p>
      <w:pPr>
        <w:numPr>
          <w:ilvl w:val="0"/>
          <w:numId w:val="1001"/>
        </w:numPr>
      </w:pPr>
      <w:r>
        <w:t xml:space="preserve">Построение регрессионных моделей, описывающих связь TLC с ростом для каждой группы (зависимость от роста).</w:t>
      </w:r>
    </w:p>
    <w:bookmarkEnd w:id="21"/>
    <w:bookmarkStart w:id="22" w:name="задачи-исследования"/>
    <w:p>
      <w:pPr>
        <w:pStyle w:val="Heading1"/>
      </w:pPr>
      <w:r>
        <w:t xml:space="preserve">Задачи исследования</w:t>
      </w:r>
    </w:p>
    <w:p>
      <w:pPr>
        <w:numPr>
          <w:ilvl w:val="0"/>
          <w:numId w:val="1002"/>
        </w:numPr>
      </w:pPr>
      <w:r>
        <w:t xml:space="preserve">Провести описательный анализ данных</w:t>
      </w:r>
    </w:p>
    <w:p>
      <w:pPr>
        <w:numPr>
          <w:ilvl w:val="0"/>
          <w:numId w:val="1002"/>
        </w:numPr>
      </w:pPr>
      <w:r>
        <w:t xml:space="preserve">Сравнить средние значения TLC между мужчинами и женщинами с помощью t-теста</w:t>
      </w:r>
    </w:p>
    <w:p>
      <w:pPr>
        <w:numPr>
          <w:ilvl w:val="0"/>
          <w:numId w:val="1002"/>
        </w:numPr>
      </w:pPr>
      <w:r>
        <w:t xml:space="preserve">Построить линейные регрессионные модели зависимости TLC от роста отдельно для мужчин и женщин</w:t>
      </w:r>
    </w:p>
    <w:p>
      <w:pPr>
        <w:numPr>
          <w:ilvl w:val="0"/>
          <w:numId w:val="1002"/>
        </w:numPr>
      </w:pPr>
      <w:r>
        <w:t xml:space="preserve">Визуализировать полученные результаты</w:t>
      </w:r>
    </w:p>
    <w:bookmarkEnd w:id="22"/>
    <w:bookmarkStart w:id="24" w:name="материалы-и-методы"/>
    <w:p>
      <w:pPr>
        <w:pStyle w:val="Heading1"/>
      </w:pPr>
      <w:r>
        <w:t xml:space="preserve">Материалы и методы</w:t>
      </w:r>
    </w:p>
    <w:bookmarkStart w:id="23" w:name="данные-датасет-tlc"/>
    <w:p>
      <w:pPr>
        <w:pStyle w:val="Heading2"/>
      </w:pPr>
      <w:r>
        <w:t xml:space="preserve">Данные (датасет</w:t>
      </w:r>
      <w:r>
        <w:t xml:space="preserve"> </w:t>
      </w:r>
      <w:r>
        <w:t xml:space="preserve">“tlc”</w:t>
      </w:r>
      <w:r>
        <w:t xml:space="preserve">)</w:t>
      </w:r>
    </w:p>
    <w:p>
      <w:pPr>
        <w:pStyle w:val="FirstParagraph"/>
      </w:pPr>
      <w:r>
        <w:t xml:space="preserve">Анализ выполнен на основе данных, предоставленных в файле tlc.csv. Выборка включает 32 наблюдения и содержит следующие переменные:</w:t>
      </w:r>
    </w:p>
    <w:p>
      <w:pPr>
        <w:numPr>
          <w:ilvl w:val="0"/>
          <w:numId w:val="1003"/>
        </w:numPr>
      </w:pPr>
      <w:r>
        <w:t xml:space="preserve">age – возраст.</w:t>
      </w:r>
    </w:p>
    <w:p>
      <w:pPr>
        <w:numPr>
          <w:ilvl w:val="0"/>
          <w:numId w:val="1003"/>
        </w:numPr>
      </w:pPr>
      <w:r>
        <w:t xml:space="preserve">sex – пол (1 - женский; 2 - мужской)</w:t>
      </w:r>
    </w:p>
    <w:p>
      <w:pPr>
        <w:numPr>
          <w:ilvl w:val="0"/>
          <w:numId w:val="1003"/>
        </w:numPr>
      </w:pPr>
      <w:r>
        <w:t xml:space="preserve">height – рост (см)</w:t>
      </w:r>
    </w:p>
    <w:p>
      <w:pPr>
        <w:numPr>
          <w:ilvl w:val="0"/>
          <w:numId w:val="1003"/>
        </w:numPr>
      </w:pPr>
      <w:r>
        <w:t xml:space="preserve">tlc– объем легких (л)</w:t>
      </w:r>
    </w:p>
    <w:p>
      <w:pPr>
        <w:pStyle w:val="FirstParagraph"/>
      </w:pPr>
      <w:r>
        <w:t xml:space="preserve">Выборка включает представителей различных возрастных групп, что позволяет оценить общие закономерности в популяции.</w:t>
      </w:r>
    </w:p>
    <w:p>
      <w:pPr>
        <w:pStyle w:val="SourceCode"/>
      </w:pPr>
      <w:r>
        <w:rPr>
          <w:rStyle w:val="VerbatimChar"/>
        </w:rPr>
        <w:t xml:space="preserve">## Общее число наблюдений: 32</w:t>
      </w:r>
    </w:p>
    <w:p>
      <w:pPr>
        <w:pStyle w:val="SourceCode"/>
      </w:pPr>
      <w:r>
        <w:rPr>
          <w:rStyle w:val="VerbatimChar"/>
        </w:rPr>
        <w:t xml:space="preserve">##   Женщины: 16</w:t>
      </w:r>
    </w:p>
    <w:p>
      <w:pPr>
        <w:pStyle w:val="SourceCode"/>
      </w:pPr>
      <w:r>
        <w:rPr>
          <w:rStyle w:val="VerbatimChar"/>
        </w:rPr>
        <w:t xml:space="preserve">##   Мужчины: 16</w:t>
      </w:r>
    </w:p>
    <w:bookmarkEnd w:id="23"/>
    <w:bookmarkEnd w:id="24"/>
    <w:bookmarkStart w:id="25" w:name="статистические-методы"/>
    <w:p>
      <w:pPr>
        <w:pStyle w:val="Heading1"/>
      </w:pPr>
      <w:r>
        <w:t xml:space="preserve">Статистические методы</w:t>
      </w:r>
    </w:p>
    <w:p>
      <w:pPr>
        <w:pStyle w:val="FirstParagraph"/>
      </w:pPr>
      <w:r>
        <w:t xml:space="preserve">Для достижения поставленных целей применялся следующий комплекс методов:</w:t>
      </w:r>
    </w:p>
    <w:p>
      <w:pPr>
        <w:numPr>
          <w:ilvl w:val="0"/>
          <w:numId w:val="1004"/>
        </w:numPr>
      </w:pPr>
      <w:r>
        <w:t xml:space="preserve">Описательная статистика — расчёт средних, стандартных отклонений, минимумов и максимумов с использованием пакета dplyr</w:t>
      </w:r>
      <w:r>
        <w:t xml:space="preserve"> </w:t>
      </w:r>
      <w:r>
        <w:t xml:space="preserve">(Wickham et al. 2023)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T-тест Стьюдента для независимых групп — применялся для проверки гипотезы о равенстве средних значений TLC в группах мужчин и женщин. Нулевая гипотеза утверждает отсутствие различий между группами, альтернативная — наличие значимых различий. Критический уровень значимости принят равным α = 0.05. Формула t-статистики: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numPr>
          <w:ilvl w:val="0"/>
          <w:numId w:val="1000"/>
        </w:numPr>
      </w:pPr>
      <w:r>
        <w:t xml:space="preserve">где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— средние значения в группах,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и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— дисперсии,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объёмы выборок.</w:t>
      </w:r>
    </w:p>
    <w:p>
      <w:pPr>
        <w:numPr>
          <w:ilvl w:val="0"/>
          <w:numId w:val="1004"/>
        </w:numPr>
      </w:pPr>
      <w:r>
        <w:t xml:space="preserve">Линейный регрессионный анализ — построение моделей вида</w:t>
      </w:r>
      <w:r>
        <w:t xml:space="preserve"> </w:t>
      </w:r>
      <w:r>
        <w:t xml:space="preserve">(Draper and Smith 1998)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L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h</m:t>
          </m:r>
          <m:r>
            <m:t>e</m:t>
          </m:r>
          <m:r>
            <m:t>i</m:t>
          </m:r>
          <m:r>
            <m:t>g</m:t>
          </m:r>
          <m:r>
            <m:t>h</m:t>
          </m:r>
          <m:r>
            <m:t>t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numPr>
          <w:ilvl w:val="0"/>
          <w:numId w:val="1000"/>
        </w:numPr>
      </w:pPr>
      <w:r>
        <w:t xml:space="preserve">где</w:t>
      </w:r>
      <w:r>
        <w:t xml:space="preserve"> </w:t>
      </w:r>
      <m:oMath>
        <m:r>
          <m:t>T</m:t>
        </m:r>
        <m:r>
          <m:t>L</m:t>
        </m:r>
        <m:r>
          <m:t>C</m:t>
        </m:r>
      </m:oMath>
      <w:r>
        <w:t xml:space="preserve"> </w:t>
      </w:r>
      <w:r>
        <w:t xml:space="preserve">— объём лёгких,</w:t>
      </w:r>
      <w:r>
        <w:t xml:space="preserve"> </w:t>
      </w:r>
      <m:oMath>
        <m:r>
          <m:t>h</m:t>
        </m:r>
        <m:r>
          <m:t>e</m:t>
        </m:r>
        <m:r>
          <m:t>i</m:t>
        </m:r>
        <m:r>
          <m:t>g</m:t>
        </m:r>
        <m:r>
          <m:t>h</m:t>
        </m:r>
        <m:r>
          <m:t>t</m:t>
        </m:r>
      </m:oMath>
      <w:r>
        <w:t xml:space="preserve"> </w:t>
      </w:r>
      <w:r>
        <w:t xml:space="preserve">— рост,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свободный член,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коэффициент регрессии,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— ошибка модели.</w:t>
      </w:r>
    </w:p>
    <w:p>
      <w:pPr>
        <w:pStyle w:val="FirstParagraph"/>
      </w:pPr>
      <w:r>
        <w:t xml:space="preserve">(Wickham 2016)</w:t>
      </w:r>
      <w:r>
        <w:t xml:space="preserve">.</w:t>
      </w:r>
      <w:r>
        <w:t xml:space="preserve"> </w:t>
      </w:r>
      <w:r>
        <w:t xml:space="preserve">Качество моделей оценивалось через коэффициент детерминации</w:t>
      </w:r>
      <w:r>
        <w:t xml:space="preserve"> </w:t>
      </w:r>
      <w:r>
        <w:t xml:space="preserve">R2 и статистическую значимость коэффициентов</w:t>
      </w:r>
      <w:r>
        <w:t xml:space="preserve"> </w:t>
      </w:r>
      <w:r>
        <w:t xml:space="preserve">(Draper and Smith 1998)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t xml:space="preserve">4. Визуализация — графические методы представления данных с использованием пакета ggplot2</w:t>
      </w:r>
      <w:r>
        <w:t xml:space="preserve"> </w:t>
      </w:r>
      <w:r>
        <w:t xml:space="preserve">(Wickham 2016)</w:t>
      </w:r>
      <w:r>
        <w:t xml:space="preserve">.</w:t>
      </w:r>
    </w:p>
    <w:bookmarkEnd w:id="25"/>
    <w:bookmarkStart w:id="26" w:name="результаты"/>
    <w:p>
      <w:pPr>
        <w:pStyle w:val="Heading1"/>
      </w:pPr>
      <w:r>
        <w:t xml:space="preserve">Результаты</w:t>
      </w:r>
    </w:p>
    <w:bookmarkEnd w:id="26"/>
    <w:bookmarkStart w:id="32" w:name="описательная-статистика"/>
    <w:p>
      <w:pPr>
        <w:pStyle w:val="Heading1"/>
      </w:pPr>
      <w:r>
        <w:t xml:space="preserve">1) Описательная статистика</w:t>
      </w:r>
    </w:p>
    <w:p>
      <w:pPr>
        <w:pStyle w:val="TableCaption"/>
      </w:pPr>
      <w:r>
        <w:t xml:space="preserve">Таблица 1. Описательные статистики по группам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. Описательные статистики по группам"/>
      </w:tblPr>
      <w:tblGrid>
        <w:gridCol w:w="602"/>
        <w:gridCol w:w="258"/>
        <w:gridCol w:w="1377"/>
        <w:gridCol w:w="1549"/>
        <w:gridCol w:w="1377"/>
        <w:gridCol w:w="602"/>
        <w:gridCol w:w="1033"/>
        <w:gridCol w:w="11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Средний возраст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Средний рост (см)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Средний TLC (л)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 (л)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Минимум (л)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Максимум (л)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9.45</w:t>
            </w:r>
          </w:p>
        </w:tc>
      </w:tr>
    </w:tbl>
    <w:bookmarkStart w:id="27" w:name="проверка-различий-между-группами"/>
    <w:p>
      <w:pPr>
        <w:pStyle w:val="Heading2"/>
      </w:pPr>
      <w:r>
        <w:t xml:space="preserve">Проверка различий между группами</w:t>
      </w:r>
    </w:p>
    <w:bookmarkEnd w:id="27"/>
    <w:bookmarkStart w:id="31" w:name="X5933e1fef02cd179b7634b055df0b06d23f051a"/>
    <w:p>
      <w:pPr>
        <w:pStyle w:val="Heading2"/>
      </w:pPr>
      <w:r>
        <w:t xml:space="preserve">Графическое представление сравнения групп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Kim_Sofia_MIP_Project_files/Kim_Sofia_MIP_Project_files/figure-docx/unnamed-chunk-4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End w:id="32"/>
    <w:bookmarkStart w:id="37" w:name="регрессионные-модели"/>
    <w:p>
      <w:pPr>
        <w:pStyle w:val="Heading1"/>
      </w:pPr>
      <w:r>
        <w:t xml:space="preserve">Регрессионные модели</w:t>
      </w:r>
    </w:p>
    <w:p>
      <w:pPr>
        <w:pStyle w:val="SourceCode"/>
      </w:pPr>
      <w:r>
        <w:rPr>
          <w:rStyle w:val="VerbatimChar"/>
        </w:rPr>
        <w:t xml:space="preserve">## ━━━━━━━━━━━━━━━━━━━━━━━━━━━━━━━━━━━━━━━━━━━━━━━━━━━━━━━━━━━━</w:t>
      </w:r>
    </w:p>
    <w:p>
      <w:pPr>
        <w:pStyle w:val="SourceCode"/>
      </w:pPr>
      <w:r>
        <w:rPr>
          <w:rStyle w:val="VerbatimChar"/>
        </w:rPr>
        <w:t xml:space="preserve">## РЕГРЕССИОННЫЕ МОДЕЛИ</w:t>
      </w:r>
    </w:p>
    <w:p>
      <w:pPr>
        <w:pStyle w:val="SourceCode"/>
      </w:pPr>
      <w:r>
        <w:rPr>
          <w:rStyle w:val="VerbatimChar"/>
        </w:rPr>
        <w:t xml:space="preserve">## ━━━━━━━━━━━━━━━━━━━━━━━━━━━━━━━━━━━━━━━━━━━━━━━━━━━━━━━━━━━━</w:t>
      </w:r>
    </w:p>
    <w:p>
      <w:pPr>
        <w:pStyle w:val="SourceCode"/>
      </w:pPr>
      <w:r>
        <w:rPr>
          <w:rStyle w:val="VerbatimChar"/>
        </w:rPr>
        <w:t xml:space="preserve">## МОДЕЛЬ ДЛЯ ЖЕНЩИН</w:t>
      </w:r>
    </w:p>
    <w:p>
      <w:pPr>
        <w:pStyle w:val="SourceCode"/>
      </w:pPr>
      <w:r>
        <w:rPr>
          <w:rStyle w:val="VerbatimChar"/>
        </w:rPr>
        <w:t xml:space="preserve">## TLC = -7.556 + 0.079 × рост</w:t>
      </w:r>
    </w:p>
    <w:p>
      <w:pPr>
        <w:pStyle w:val="SourceCode"/>
      </w:pPr>
      <w:r>
        <w:rPr>
          <w:rStyle w:val="VerbatimChar"/>
        </w:rPr>
        <w:t xml:space="preserve">## R² = 0.326, p(β₁) = 0.0208</w:t>
      </w:r>
    </w:p>
    <w:p>
      <w:pPr>
        <w:pStyle w:val="SourceCode"/>
      </w:pPr>
      <w:r>
        <w:rPr>
          <w:rStyle w:val="VerbatimChar"/>
        </w:rPr>
        <w:t xml:space="preserve">## МОДЕЛЬ ДЛЯ МУЖЧИН</w:t>
      </w:r>
    </w:p>
    <w:p>
      <w:pPr>
        <w:pStyle w:val="SourceCode"/>
      </w:pPr>
      <w:r>
        <w:rPr>
          <w:rStyle w:val="VerbatimChar"/>
        </w:rPr>
        <w:t xml:space="preserve">## TLC = -5.828 + 0.074 × рост</w:t>
      </w:r>
    </w:p>
    <w:p>
      <w:pPr>
        <w:pStyle w:val="SourceCode"/>
      </w:pPr>
      <w:r>
        <w:rPr>
          <w:rStyle w:val="VerbatimChar"/>
        </w:rPr>
        <w:t xml:space="preserve">## R² = 0.297, p(β₁) = 0.0289</w:t>
      </w:r>
    </w:p>
    <w:p>
      <w:pPr>
        <w:pStyle w:val="TableCaption"/>
      </w:pPr>
      <w:r>
        <w:t xml:space="preserve">Таблица 2. Коэффициенты регрессионных моделей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. Коэффициенты регрессионных моделей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Ст..ошибка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R..группы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Женщины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 (β₀)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Женщины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 (β₁)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Мужчины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 (β₀)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Мужчины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 (β₁)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0.0289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36" w:name="график-регрессионных-моделей"/>
    <w:p>
      <w:pPr>
        <w:pStyle w:val="Heading2"/>
      </w:pPr>
      <w:r>
        <w:t xml:space="preserve">График регрессионных моделей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Kim_Sofia_MIP_Project_files/Kim_Sofia_MIP_Project_files/figure-docx/unnamed-chunk-6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End w:id="37"/>
    <w:bookmarkStart w:id="38" w:name="обсуждение"/>
    <w:p>
      <w:pPr>
        <w:pStyle w:val="Heading1"/>
      </w:pPr>
      <w:r>
        <w:t xml:space="preserve">Обсуждение</w:t>
      </w:r>
    </w:p>
    <w:p>
      <w:pPr>
        <w:pStyle w:val="SourceCode"/>
      </w:pPr>
      <w:r>
        <w:rPr>
          <w:rStyle w:val="VerbatimChar"/>
        </w:rPr>
        <w:t xml:space="preserve">## Обсуждение результатов</w:t>
      </w:r>
    </w:p>
    <w:p>
      <w:pPr>
        <w:pStyle w:val="SourceCode"/>
      </w:pPr>
      <w:r>
        <w:rPr>
          <w:rStyle w:val="VerbatimChar"/>
        </w:rPr>
        <w:t xml:space="preserve">## Различия между группами</w:t>
      </w:r>
    </w:p>
    <w:p>
      <w:pPr>
        <w:pStyle w:val="SourceCode"/>
      </w:pPr>
      <w:r>
        <w:rPr>
          <w:rStyle w:val="VerbatimChar"/>
        </w:rPr>
        <w:t xml:space="preserve">## T-тест выявил статистически значимые различия в TLC между</w:t>
      </w:r>
    </w:p>
    <w:p>
      <w:pPr>
        <w:pStyle w:val="SourceCode"/>
      </w:pPr>
      <w:r>
        <w:rPr>
          <w:rStyle w:val="VerbatimChar"/>
        </w:rPr>
        <w:t xml:space="preserve">## полами (p &lt; 0.001). Средний TLC у мужчин ( 6.98  л) на  1.78  л выше, чем у женщин ( 5.2  л).</w:t>
      </w:r>
    </w:p>
    <w:p>
      <w:pPr>
        <w:pStyle w:val="SourceCode"/>
      </w:pPr>
      <w:r>
        <w:rPr>
          <w:rStyle w:val="VerbatimChar"/>
        </w:rPr>
        <w:t xml:space="preserve">## Это соответствует данным литературы [@miller2005].</w:t>
      </w:r>
    </w:p>
    <w:p>
      <w:pPr>
        <w:pStyle w:val="SourceCode"/>
      </w:pPr>
      <w:r>
        <w:rPr>
          <w:rStyle w:val="VerbatimChar"/>
        </w:rPr>
        <w:t xml:space="preserve">## Регрессионные модели</w:t>
      </w:r>
    </w:p>
    <w:p>
      <w:pPr>
        <w:pStyle w:val="SourceCode"/>
      </w:pPr>
      <w:r>
        <w:rPr>
          <w:rStyle w:val="VerbatimChar"/>
        </w:rPr>
        <w:t xml:space="preserve">## Построенные модели показали значимую связь между ростом и TLC</w:t>
      </w:r>
    </w:p>
    <w:p>
      <w:pPr>
        <w:pStyle w:val="SourceCode"/>
      </w:pPr>
      <w:r>
        <w:rPr>
          <w:rStyle w:val="VerbatimChar"/>
        </w:rPr>
        <w:t xml:space="preserve">## в обеих группах. Коэффициент регрессии для мужчин (β₁ =  0.074 ) выше, чем для женщин (β₁ =  0.079 ).</w:t>
      </w:r>
    </w:p>
    <w:p>
      <w:pPr>
        <w:pStyle w:val="SourceCode"/>
      </w:pPr>
      <w:r>
        <w:rPr>
          <w:rStyle w:val="VerbatimChar"/>
        </w:rPr>
        <w:t xml:space="preserve">## R² для мужчин составляет  0.297 , для женщин —  0.326 .</w:t>
      </w:r>
    </w:p>
    <w:p>
      <w:pPr>
        <w:pStyle w:val="SourceCode"/>
      </w:pPr>
      <w:r>
        <w:rPr>
          <w:rStyle w:val="VerbatimChar"/>
        </w:rPr>
        <w:t xml:space="preserve">## Ограничения</w:t>
      </w:r>
    </w:p>
    <w:p>
      <w:pPr>
        <w:pStyle w:val="SourceCode"/>
      </w:pPr>
      <w:r>
        <w:rPr>
          <w:rStyle w:val="VerbatimChar"/>
        </w:rPr>
        <w:t xml:space="preserve">## Ключевые ограничения: малый размер выборки (n = 32),</w:t>
      </w:r>
    </w:p>
    <w:p>
      <w:pPr>
        <w:pStyle w:val="SourceCode"/>
      </w:pPr>
      <w:r>
        <w:rPr>
          <w:rStyle w:val="VerbatimChar"/>
        </w:rPr>
        <w:t xml:space="preserve">## отсутствие учёта возраста, ИМТ и других факторов,</w:t>
      </w:r>
    </w:p>
    <w:p>
      <w:pPr>
        <w:pStyle w:val="SourceCode"/>
      </w:pPr>
      <w:r>
        <w:rPr>
          <w:rStyle w:val="VerbatimChar"/>
        </w:rPr>
        <w:t xml:space="preserve">## влияющих на TLC [@quanjer2012].</w:t>
      </w:r>
    </w:p>
    <w:bookmarkEnd w:id="38"/>
    <w:bookmarkStart w:id="52" w:name="список-литературы"/>
    <w:p>
      <w:pPr>
        <w:pStyle w:val="Heading1"/>
      </w:pPr>
      <w:r>
        <w:t xml:space="preserve">Список литературы</w:t>
      </w:r>
    </w:p>
    <w:bookmarkStart w:id="51" w:name="refs"/>
    <w:bookmarkStart w:id="39" w:name="ref-draper1998"/>
    <w:p>
      <w:pPr>
        <w:pStyle w:val="Bibliography"/>
      </w:pPr>
      <w:r>
        <w:t xml:space="preserve">Draper, N. R., and H. Smith. 1998.</w:t>
      </w:r>
      <w:r>
        <w:t xml:space="preserve"> </w:t>
      </w:r>
      <w:r>
        <w:rPr>
          <w:i/>
          <w:iCs/>
        </w:rPr>
        <w:t xml:space="preserve">Applied Regression Analysis</w:t>
      </w:r>
      <w:r>
        <w:t xml:space="preserve">. 3rd ed. John Wiley &amp; Sons.</w:t>
      </w:r>
    </w:p>
    <w:bookmarkEnd w:id="39"/>
    <w:bookmarkStart w:id="41" w:name="ref-hankinson1999"/>
    <w:p>
      <w:pPr>
        <w:pStyle w:val="Bibliography"/>
      </w:pPr>
      <w:r>
        <w:t xml:space="preserve">Hankinson, J. L., J. R. Odencrantz, and K. B. Fedan. 1999.</w:t>
      </w:r>
      <w:r>
        <w:t xml:space="preserve"> </w:t>
      </w:r>
      <w:r>
        <w:t xml:space="preserve">“Spirometric Reference Values from a Sample of the General</w:t>
      </w:r>
      <w:r>
        <w:t xml:space="preserve"> </w:t>
      </w:r>
      <w:r>
        <w:t xml:space="preserve">U.S.</w:t>
      </w:r>
      <w:r>
        <w:t xml:space="preserve"> </w:t>
      </w:r>
      <w:r>
        <w:t xml:space="preserve">Population.”</w:t>
      </w:r>
      <w:r>
        <w:t xml:space="preserve"> </w:t>
      </w:r>
      <w:r>
        <w:rPr>
          <w:i/>
          <w:iCs/>
        </w:rPr>
        <w:t xml:space="preserve">American Journal of Respiratory and Critical Care Medicine</w:t>
      </w:r>
      <w:r>
        <w:t xml:space="preserve"> </w:t>
      </w:r>
      <w:r>
        <w:t xml:space="preserve">159 (1): 179–87.</w:t>
      </w:r>
      <w:r>
        <w:t xml:space="preserve"> </w:t>
      </w:r>
      <w:hyperlink r:id="rId40">
        <w:r>
          <w:rPr>
            <w:rStyle w:val="Hyperlink"/>
          </w:rPr>
          <w:t xml:space="preserve">https://doi.org/10.1164/ajrccm.159.1.9712108</w:t>
        </w:r>
      </w:hyperlink>
      <w:r>
        <w:t xml:space="preserve">.</w:t>
      </w:r>
    </w:p>
    <w:bookmarkEnd w:id="41"/>
    <w:bookmarkStart w:id="43" w:name="ref-miller2005"/>
    <w:p>
      <w:pPr>
        <w:pStyle w:val="Bibliography"/>
      </w:pPr>
      <w:r>
        <w:t xml:space="preserve">Miller, M. R., J. Hankinson, V. Brusasco, F. Burgos, R. Casaburi, A. Coates, R. Crapo, et al. 2005.</w:t>
      </w:r>
      <w:r>
        <w:t xml:space="preserve"> </w:t>
      </w:r>
      <w:r>
        <w:t xml:space="preserve">“Standardisation of Spirometry.”</w:t>
      </w:r>
      <w:r>
        <w:t xml:space="preserve"> </w:t>
      </w:r>
      <w:r>
        <w:rPr>
          <w:i/>
          <w:iCs/>
        </w:rPr>
        <w:t xml:space="preserve">European Respiratory Journal</w:t>
      </w:r>
      <w:r>
        <w:t xml:space="preserve"> </w:t>
      </w:r>
      <w:r>
        <w:t xml:space="preserve">26 (2): 319–38.</w:t>
      </w:r>
      <w:r>
        <w:t xml:space="preserve"> </w:t>
      </w:r>
      <w:hyperlink r:id="rId42">
        <w:r>
          <w:rPr>
            <w:rStyle w:val="Hyperlink"/>
          </w:rPr>
          <w:t xml:space="preserve">https://doi.org/10.1183/09031936.05.00034805</w:t>
        </w:r>
      </w:hyperlink>
      <w:r>
        <w:t xml:space="preserve">.</w:t>
      </w:r>
    </w:p>
    <w:bookmarkEnd w:id="43"/>
    <w:bookmarkStart w:id="45" w:name="ref-pellegrino2005"/>
    <w:p>
      <w:pPr>
        <w:pStyle w:val="Bibliography"/>
      </w:pPr>
      <w:r>
        <w:t xml:space="preserve">Pellegrino, R., G. Viegi, V. Brusasco, R. O. Crapo, F. Burgos, R. Casaburi, A. Coates, et al. 2005.</w:t>
      </w:r>
      <w:r>
        <w:t xml:space="preserve"> </w:t>
      </w:r>
      <w:r>
        <w:t xml:space="preserve">“Interpretative Strategies for Lung Function Tests.”</w:t>
      </w:r>
      <w:r>
        <w:t xml:space="preserve"> </w:t>
      </w:r>
      <w:r>
        <w:rPr>
          <w:i/>
          <w:iCs/>
        </w:rPr>
        <w:t xml:space="preserve">European Respiratory Journal</w:t>
      </w:r>
      <w:r>
        <w:t xml:space="preserve"> </w:t>
      </w:r>
      <w:r>
        <w:t xml:space="preserve">26 (5): 948–68.</w:t>
      </w:r>
      <w:r>
        <w:t xml:space="preserve"> </w:t>
      </w:r>
      <w:hyperlink r:id="rId44">
        <w:r>
          <w:rPr>
            <w:rStyle w:val="Hyperlink"/>
          </w:rPr>
          <w:t xml:space="preserve">https://doi.org/10.1183/09031936.05.00035205</w:t>
        </w:r>
      </w:hyperlink>
      <w:r>
        <w:t xml:space="preserve">.</w:t>
      </w:r>
    </w:p>
    <w:bookmarkEnd w:id="45"/>
    <w:bookmarkStart w:id="47" w:name="ref-quanjer2012"/>
    <w:p>
      <w:pPr>
        <w:pStyle w:val="Bibliography"/>
      </w:pPr>
      <w:r>
        <w:t xml:space="preserve">Quanjer, P. H., S. Stanojevic, T. J. Cole, X. Baur, G. L. Hall, B. H. Culver, P. L. Enright, et al. 2012.</w:t>
      </w:r>
      <w:r>
        <w:t xml:space="preserve"> </w:t>
      </w:r>
      <w:r>
        <w:t xml:space="preserve">“Multi-Ethnic Reference Values for Spirometry for the 3-95-Yr Age Range: The Global Lung Function 2012 Equations.”</w:t>
      </w:r>
      <w:r>
        <w:t xml:space="preserve"> </w:t>
      </w:r>
      <w:r>
        <w:rPr>
          <w:i/>
          <w:iCs/>
        </w:rPr>
        <w:t xml:space="preserve">European Respiratory Journal</w:t>
      </w:r>
      <w:r>
        <w:t xml:space="preserve"> </w:t>
      </w:r>
      <w:r>
        <w:t xml:space="preserve">40 (6): 1324–43.</w:t>
      </w:r>
      <w:r>
        <w:t xml:space="preserve"> </w:t>
      </w:r>
      <w:hyperlink r:id="rId46">
        <w:r>
          <w:rPr>
            <w:rStyle w:val="Hyperlink"/>
          </w:rPr>
          <w:t xml:space="preserve">https://doi.org/10.1183/09031936.00080312</w:t>
        </w:r>
      </w:hyperlink>
      <w:r>
        <w:t xml:space="preserve">.</w:t>
      </w:r>
    </w:p>
    <w:bookmarkEnd w:id="47"/>
    <w:bookmarkStart w:id="48" w:name="ref-wickham2016"/>
    <w:p>
      <w:pPr>
        <w:pStyle w:val="Bibliography"/>
      </w:pPr>
      <w:r>
        <w:t xml:space="preserve">Wickham, H. 2016.</w:t>
      </w:r>
      <w:r>
        <w:t xml:space="preserve"> </w:t>
      </w:r>
      <w:r>
        <w:rPr>
          <w:i/>
          <w:iCs/>
        </w:rPr>
        <w:t xml:space="preserve">Ggplot2: Elegant Graphics for Data Analysis</w:t>
      </w:r>
      <w:r>
        <w:t xml:space="preserve">. Springer-Verlag.</w:t>
      </w:r>
    </w:p>
    <w:bookmarkEnd w:id="48"/>
    <w:bookmarkStart w:id="50" w:name="ref-wickham2023"/>
    <w:p>
      <w:pPr>
        <w:pStyle w:val="Bibliography"/>
      </w:pPr>
      <w:r>
        <w:t xml:space="preserve">Wickham, H., R. François, L. Henry, and K. Müller. 2023.</w:t>
      </w:r>
      <w:r>
        <w:t xml:space="preserve"> </w:t>
      </w:r>
      <w:r>
        <w:rPr>
          <w:i/>
          <w:iCs/>
        </w:rPr>
        <w:t xml:space="preserve">Dplyr: A Grammar of Data Manipulation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https://CRAN.R-project.org/package=dplyr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hyperlink" Id="rId49" Target="https://CRAN.R-project.org/package=dplyr" TargetMode="External" /><Relationship Type="http://schemas.openxmlformats.org/officeDocument/2006/relationships/hyperlink" Id="rId40" Target="https://doi.org/10.1164/ajrccm.159.1.9712108" TargetMode="External" /><Relationship Type="http://schemas.openxmlformats.org/officeDocument/2006/relationships/hyperlink" Id="rId46" Target="https://doi.org/10.1183/09031936.00080312" TargetMode="External" /><Relationship Type="http://schemas.openxmlformats.org/officeDocument/2006/relationships/hyperlink" Id="rId42" Target="https://doi.org/10.1183/09031936.05.00034805" TargetMode="External" /><Relationship Type="http://schemas.openxmlformats.org/officeDocument/2006/relationships/hyperlink" Id="rId44" Target="https://doi.org/10.1183/09031936.05.000352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CRAN.R-project.org/package=dplyr" TargetMode="External" /><Relationship Type="http://schemas.openxmlformats.org/officeDocument/2006/relationships/hyperlink" Id="rId40" Target="https://doi.org/10.1164/ajrccm.159.1.9712108" TargetMode="External" /><Relationship Type="http://schemas.openxmlformats.org/officeDocument/2006/relationships/hyperlink" Id="rId46" Target="https://doi.org/10.1183/09031936.00080312" TargetMode="External" /><Relationship Type="http://schemas.openxmlformats.org/officeDocument/2006/relationships/hyperlink" Id="rId42" Target="https://doi.org/10.1183/09031936.05.00034805" TargetMode="External" /><Relationship Type="http://schemas.openxmlformats.org/officeDocument/2006/relationships/hyperlink" Id="rId44" Target="https://doi.org/10.1183/09031936.05.0003520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ёмкости лёгких у разных людей</dc:title>
  <dc:creator>Kim Sofia</dc:creator>
  <cp:keywords/>
  <dcterms:created xsi:type="dcterms:W3CDTF">2026-07-04T15:42:47Z</dcterms:created>
  <dcterms:modified xsi:type="dcterms:W3CDTF">2026-07-04T15:42:47Z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2026-07-01</vt:lpwstr>
  </property>
  <property fmtid="{D5CDD505-2E9C-101B-9397-08002B2CF9AE}" pid="4" name="output">
    <vt:lpwstr>word_document</vt:lpwstr>
  </property>
</Properties>
</file>