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B6" w:rsidRDefault="00071152">
      <w:pPr>
        <w:pStyle w:val="a4"/>
      </w:pPr>
      <w:bookmarkStart w:id="0" w:name="_GoBack"/>
      <w:bookmarkEnd w:id="0"/>
      <w:r>
        <w:t>Project №2</w:t>
      </w:r>
    </w:p>
    <w:p w:rsidR="00D23BB6" w:rsidRDefault="00071152">
      <w:pPr>
        <w:pStyle w:val="Author"/>
      </w:pPr>
      <w:r>
        <w:t>Elizaveta Demidenko</w:t>
      </w:r>
    </w:p>
    <w:p w:rsidR="00D23BB6" w:rsidRDefault="00071152">
      <w:pPr>
        <w:pStyle w:val="a8"/>
      </w:pPr>
      <w:r>
        <w:t>2025</w:t>
      </w:r>
    </w:p>
    <w:p w:rsidR="00D23BB6" w:rsidRDefault="00071152">
      <w:pPr>
        <w:pStyle w:val="1"/>
      </w:pPr>
      <w:bookmarkStart w:id="1" w:name="введение"/>
      <w:r>
        <w:t>Введение</w:t>
      </w:r>
    </w:p>
    <w:p w:rsidR="00D23BB6" w:rsidRDefault="00071152">
      <w:pPr>
        <w:pStyle w:val="FirstParagraph"/>
      </w:pPr>
      <w:r>
        <w:t>Объём выдоха (FEV, forced expiratory volume) - это количество воздуха, которое человек может выдохнуть с максимальным усилием после глубокого вдоха. Данный показатель используется для оценки функции дыхательной системы. На значения FEV могут оказывать влия</w:t>
      </w:r>
      <w:r>
        <w:t>ние такие факторы, как пол, возраст и наличие вредных привычек, в частности курение.</w:t>
      </w:r>
    </w:p>
    <w:p w:rsidR="00D23BB6" w:rsidRDefault="00071152">
      <w:pPr>
        <w:pStyle w:val="a0"/>
      </w:pPr>
      <w:r>
        <w:t>В рамках данного исследования были поставлены две основные задачи:</w:t>
      </w:r>
    </w:p>
    <w:p w:rsidR="00D23BB6" w:rsidRDefault="00071152">
      <w:pPr>
        <w:numPr>
          <w:ilvl w:val="0"/>
          <w:numId w:val="2"/>
        </w:numPr>
      </w:pPr>
      <w:r>
        <w:t>Оценить различия в FEV между мужчинами и женщинами</w:t>
      </w:r>
    </w:p>
    <w:p w:rsidR="00D23BB6" w:rsidRDefault="00071152">
      <w:pPr>
        <w:numPr>
          <w:ilvl w:val="0"/>
          <w:numId w:val="2"/>
        </w:numPr>
      </w:pPr>
      <w:r>
        <w:t>Проанализировать FEV у представителей разных возрастн</w:t>
      </w:r>
      <w:r>
        <w:t>ых групп (≤ 21 год (Youth), 21 год &gt; (Adult)) в зависимости от наличия привычки к курению</w:t>
      </w:r>
    </w:p>
    <w:p w:rsidR="00D23BB6" w:rsidRDefault="00071152">
      <w:pPr>
        <w:pStyle w:val="1"/>
      </w:pPr>
      <w:bookmarkStart w:id="2" w:name="материалы-и-методы"/>
      <w:bookmarkEnd w:id="1"/>
      <w:r>
        <w:t>Материалы и методы</w:t>
      </w:r>
    </w:p>
    <w:p w:rsidR="00D23BB6" w:rsidRDefault="00071152">
      <w:pPr>
        <w:pStyle w:val="FirstParagraph"/>
      </w:pPr>
      <w:r>
        <w:t>Пакеты ggplot2 (Wickham 2024), dplyr (Wickham et al. 2024), car (Fox and Weisberg 2024), broom (Robinson et al. 2024).</w:t>
      </w:r>
    </w:p>
    <w:p w:rsidR="00D23BB6" w:rsidRDefault="00071152">
      <w:pPr>
        <w:pStyle w:val="a0"/>
      </w:pPr>
      <w:r>
        <w:t>Данные взяты из работы Tager</w:t>
      </w:r>
      <w:r>
        <w:t>, I. B., Weiss, S. T., Rosner, B., and Speizer, F. E. (1979). Effect of parental cigarette smoking on pulmonary function in children. American Journal of Epidemiology, 110, 15-26. Rosner, B. (1990). Fundamentals of Biostatistics, 3rd Edition. PWS-Kent, Bos</w:t>
      </w:r>
      <w:r>
        <w:t>ton, Massachusetts.</w:t>
      </w:r>
    </w:p>
    <w:p w:rsidR="00D23BB6" w:rsidRDefault="00071152">
      <w:pPr>
        <w:pStyle w:val="a0"/>
      </w:pPr>
      <w:r>
        <w:t>Анализ проводился на основе датасета fev.xls, sheet 3: tidy_data</w:t>
      </w:r>
    </w:p>
    <w:p w:rsidR="00D23BB6" w:rsidRDefault="00071152">
      <w:pPr>
        <w:pStyle w:val="2"/>
      </w:pPr>
      <w:bookmarkStart w:id="3" w:name="структура-данных"/>
      <w:r>
        <w:t>Структура данных</w:t>
      </w:r>
    </w:p>
    <w:p w:rsidR="00D23BB6" w:rsidRDefault="00071152">
      <w:pPr>
        <w:pStyle w:val="FirstParagraph"/>
      </w:pPr>
      <w:r>
        <w:t>В датасете представлены такие переменные, как:</w:t>
      </w:r>
    </w:p>
    <w:p w:rsidR="00D23BB6" w:rsidRDefault="00071152">
      <w:pPr>
        <w:pStyle w:val="a0"/>
      </w:pPr>
      <w:r>
        <w:t>Age - Возраст</w:t>
      </w:r>
    </w:p>
    <w:p w:rsidR="00D23BB6" w:rsidRDefault="00071152">
      <w:pPr>
        <w:pStyle w:val="a0"/>
      </w:pPr>
      <w:r>
        <w:t>FEV - Объем легких при выдохе (литры)</w:t>
      </w:r>
    </w:p>
    <w:p w:rsidR="00D23BB6" w:rsidRDefault="00071152">
      <w:pPr>
        <w:pStyle w:val="a0"/>
      </w:pPr>
      <w:r>
        <w:t>Height - Рост (дюймы)</w:t>
      </w:r>
    </w:p>
    <w:p w:rsidR="00D23BB6" w:rsidRDefault="00071152">
      <w:pPr>
        <w:pStyle w:val="a0"/>
      </w:pPr>
      <w:r>
        <w:t>Sex - пол (Male or Female)</w:t>
      </w:r>
    </w:p>
    <w:p w:rsidR="00D23BB6" w:rsidRDefault="00071152">
      <w:pPr>
        <w:pStyle w:val="a0"/>
      </w:pPr>
      <w:r>
        <w:t>Smoker</w:t>
      </w:r>
      <w:r>
        <w:t xml:space="preserve"> - некурящие (Non), курящие (Current)</w:t>
      </w:r>
    </w:p>
    <w:p w:rsidR="00D23BB6" w:rsidRDefault="00071152">
      <w:pPr>
        <w:pStyle w:val="2"/>
      </w:pPr>
      <w:bookmarkStart w:id="4" w:name="методика"/>
      <w:bookmarkEnd w:id="3"/>
      <w:r>
        <w:lastRenderedPageBreak/>
        <w:t>Методика</w:t>
      </w:r>
    </w:p>
    <w:p w:rsidR="00D23BB6" w:rsidRDefault="00071152">
      <w:pPr>
        <w:pStyle w:val="FirstParagraph"/>
      </w:pPr>
      <w:r>
        <w:t>Для анализа различий FEV между мужчинами и женщинами применялся двухвыборочный t-тест Уэлча. Этот тест был выбран потому как группы имеют разные размеры, независимы и могут иметь неодинаковую дисперсию.</w:t>
      </w:r>
    </w:p>
    <w:p w:rsidR="00D23BB6" w:rsidRDefault="000711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Female   Male </w:t>
      </w:r>
      <w:r>
        <w:br/>
      </w:r>
      <w:r>
        <w:rPr>
          <w:rStyle w:val="VerbatimChar"/>
        </w:rPr>
        <w:t>##    318    336</w:t>
      </w:r>
    </w:p>
    <w:p w:rsidR="00D23BB6" w:rsidRDefault="00071152">
      <w:pPr>
        <w:pStyle w:val="FirstParagraph"/>
      </w:pPr>
      <w:r>
        <w:t>Формула для статистики t-теста:</w:t>
      </w:r>
    </w:p>
    <w:p w:rsidR="00D23BB6" w:rsidRDefault="0007115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Welc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Sattert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waite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23BB6" w:rsidRDefault="00071152">
      <w:pPr>
        <w:pStyle w:val="3"/>
      </w:pPr>
      <w:bookmarkStart w:id="5" w:name="ограничения-дисперсионного-анализа"/>
      <w:r>
        <w:t>Ограничения дисперсионного анализа</w:t>
      </w:r>
    </w:p>
    <w:p w:rsidR="00D23BB6" w:rsidRDefault="00071152">
      <w:pPr>
        <w:pStyle w:val="FirstParagraph"/>
      </w:pPr>
      <w:r>
        <w:t>При подготовке данных и построении графиков обнаружилось,а зат</w:t>
      </w:r>
      <w:r>
        <w:t>ем было подтверждено проверкой, что в датасете отсутствуют данные по Adult, что является примером несбалансированных данных. Из-за чего поставленная задача (оценить влияние двух факторов (возрастной группы и курения) и их взаимодействия на FEV) не может бы</w:t>
      </w:r>
      <w:r>
        <w:t>ть выполнена. В связи с этим был проведён однофакторный анализ среди возрастной группы Youth по статусу курения.</w:t>
      </w:r>
    </w:p>
    <w:p w:rsidR="00D23BB6" w:rsidRDefault="00071152">
      <w:pPr>
        <w:pStyle w:val="1"/>
      </w:pPr>
      <w:bookmarkStart w:id="6" w:name="результаты"/>
      <w:bookmarkEnd w:id="2"/>
      <w:bookmarkEnd w:id="4"/>
      <w:bookmarkEnd w:id="5"/>
      <w:r>
        <w:t>Результаты</w:t>
      </w:r>
    </w:p>
    <w:p w:rsidR="00D23BB6" w:rsidRDefault="00071152">
      <w:pPr>
        <w:pStyle w:val="TableCaption"/>
      </w:pPr>
      <w:r>
        <w:t>Результаты t-теста (FEV у мужчин и женщин)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Результаты t-теста (FEV у мужчин и женщин)"/>
      </w:tblPr>
      <w:tblGrid>
        <w:gridCol w:w="932"/>
        <w:gridCol w:w="847"/>
        <w:gridCol w:w="846"/>
        <w:gridCol w:w="846"/>
        <w:gridCol w:w="677"/>
        <w:gridCol w:w="846"/>
        <w:gridCol w:w="931"/>
        <w:gridCol w:w="931"/>
        <w:gridCol w:w="2033"/>
        <w:gridCol w:w="1016"/>
      </w:tblGrid>
      <w:tr w:rsidR="00D23BB6" w:rsidTr="00D23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4" w:type="dxa"/>
          </w:tcPr>
          <w:p w:rsidR="00D23BB6" w:rsidRDefault="0007115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676" w:type="dxa"/>
          </w:tcPr>
          <w:p w:rsidR="00D23BB6" w:rsidRDefault="00071152">
            <w:pPr>
              <w:pStyle w:val="Compact"/>
              <w:jc w:val="right"/>
            </w:pPr>
            <w:r>
              <w:t>estimate1</w:t>
            </w:r>
          </w:p>
        </w:tc>
        <w:tc>
          <w:tcPr>
            <w:tcW w:w="676" w:type="dxa"/>
          </w:tcPr>
          <w:p w:rsidR="00D23BB6" w:rsidRDefault="00071152">
            <w:pPr>
              <w:pStyle w:val="Compact"/>
              <w:jc w:val="right"/>
            </w:pPr>
            <w:r>
              <w:t>estimate2</w:t>
            </w:r>
          </w:p>
        </w:tc>
        <w:tc>
          <w:tcPr>
            <w:tcW w:w="676" w:type="dxa"/>
          </w:tcPr>
          <w:p w:rsidR="00D23BB6" w:rsidRDefault="0007115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541" w:type="dxa"/>
          </w:tcPr>
          <w:p w:rsidR="00D23BB6" w:rsidRDefault="00071152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676" w:type="dxa"/>
          </w:tcPr>
          <w:p w:rsidR="00D23BB6" w:rsidRDefault="00071152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744" w:type="dxa"/>
          </w:tcPr>
          <w:p w:rsidR="00D23BB6" w:rsidRDefault="00071152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744" w:type="dxa"/>
          </w:tcPr>
          <w:p w:rsidR="00D23BB6" w:rsidRDefault="00071152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1624" w:type="dxa"/>
          </w:tcPr>
          <w:p w:rsidR="00D23BB6" w:rsidRDefault="00071152">
            <w:pPr>
              <w:pStyle w:val="Compact"/>
            </w:pPr>
            <w:r>
              <w:t>method</w:t>
            </w:r>
          </w:p>
        </w:tc>
        <w:tc>
          <w:tcPr>
            <w:tcW w:w="812" w:type="dxa"/>
          </w:tcPr>
          <w:p w:rsidR="00D23BB6" w:rsidRDefault="00071152">
            <w:pPr>
              <w:pStyle w:val="Compact"/>
            </w:pPr>
            <w:r>
              <w:t>alternative</w:t>
            </w:r>
          </w:p>
        </w:tc>
      </w:tr>
      <w:tr w:rsidR="00D23BB6">
        <w:tc>
          <w:tcPr>
            <w:tcW w:w="744" w:type="dxa"/>
          </w:tcPr>
          <w:p w:rsidR="00D23BB6" w:rsidRDefault="00071152">
            <w:pPr>
              <w:pStyle w:val="Compact"/>
              <w:jc w:val="right"/>
            </w:pPr>
            <w:r>
              <w:t>-0.3612766</w:t>
            </w:r>
          </w:p>
        </w:tc>
        <w:tc>
          <w:tcPr>
            <w:tcW w:w="676" w:type="dxa"/>
          </w:tcPr>
          <w:p w:rsidR="00D23BB6" w:rsidRDefault="00071152">
            <w:pPr>
              <w:pStyle w:val="Compact"/>
              <w:jc w:val="right"/>
            </w:pPr>
            <w:r>
              <w:t>2.45117</w:t>
            </w:r>
          </w:p>
        </w:tc>
        <w:tc>
          <w:tcPr>
            <w:tcW w:w="676" w:type="dxa"/>
          </w:tcPr>
          <w:p w:rsidR="00D23BB6" w:rsidRDefault="00071152">
            <w:pPr>
              <w:pStyle w:val="Compact"/>
              <w:jc w:val="right"/>
            </w:pPr>
            <w:r>
              <w:t>2.812446</w:t>
            </w:r>
          </w:p>
        </w:tc>
        <w:tc>
          <w:tcPr>
            <w:tcW w:w="676" w:type="dxa"/>
          </w:tcPr>
          <w:p w:rsidR="00D23BB6" w:rsidRDefault="00071152">
            <w:pPr>
              <w:pStyle w:val="Compact"/>
              <w:jc w:val="right"/>
            </w:pPr>
            <w:r>
              <w:t>-5.503733</w:t>
            </w:r>
          </w:p>
        </w:tc>
        <w:tc>
          <w:tcPr>
            <w:tcW w:w="541" w:type="dxa"/>
          </w:tcPr>
          <w:p w:rsidR="00D23BB6" w:rsidRDefault="00071152">
            <w:pPr>
              <w:pStyle w:val="Compact"/>
              <w:jc w:val="right"/>
            </w:pPr>
            <w:r>
              <w:t>1e-07</w:t>
            </w:r>
          </w:p>
        </w:tc>
        <w:tc>
          <w:tcPr>
            <w:tcW w:w="676" w:type="dxa"/>
          </w:tcPr>
          <w:p w:rsidR="00D23BB6" w:rsidRDefault="00071152">
            <w:pPr>
              <w:pStyle w:val="Compact"/>
              <w:jc w:val="right"/>
            </w:pPr>
            <w:r>
              <w:t>575.7531</w:t>
            </w:r>
          </w:p>
        </w:tc>
        <w:tc>
          <w:tcPr>
            <w:tcW w:w="744" w:type="dxa"/>
          </w:tcPr>
          <w:p w:rsidR="00D23BB6" w:rsidRDefault="00071152">
            <w:pPr>
              <w:pStyle w:val="Compact"/>
              <w:jc w:val="right"/>
            </w:pPr>
            <w:r>
              <w:t>-0.4902038</w:t>
            </w:r>
          </w:p>
        </w:tc>
        <w:tc>
          <w:tcPr>
            <w:tcW w:w="744" w:type="dxa"/>
          </w:tcPr>
          <w:p w:rsidR="00D23BB6" w:rsidRDefault="00071152">
            <w:pPr>
              <w:pStyle w:val="Compact"/>
              <w:jc w:val="right"/>
            </w:pPr>
            <w:r>
              <w:t>-0.2323494</w:t>
            </w:r>
          </w:p>
        </w:tc>
        <w:tc>
          <w:tcPr>
            <w:tcW w:w="1624" w:type="dxa"/>
          </w:tcPr>
          <w:p w:rsidR="00D23BB6" w:rsidRDefault="00071152">
            <w:pPr>
              <w:pStyle w:val="Compact"/>
            </w:pPr>
            <w:r>
              <w:t>Welch Two Sample t-test</w:t>
            </w:r>
          </w:p>
        </w:tc>
        <w:tc>
          <w:tcPr>
            <w:tcW w:w="812" w:type="dxa"/>
          </w:tcPr>
          <w:p w:rsidR="00D23BB6" w:rsidRDefault="00071152">
            <w:pPr>
              <w:pStyle w:val="Compact"/>
            </w:pPr>
            <w:r>
              <w:t>two.sided</w:t>
            </w:r>
          </w:p>
        </w:tc>
      </w:tr>
    </w:tbl>
    <w:p w:rsidR="00D23BB6" w:rsidRDefault="00071152">
      <w:pPr>
        <w:pStyle w:val="SourceCode"/>
      </w:pPr>
      <w:r>
        <w:rPr>
          <w:rStyle w:val="VerbatimChar"/>
        </w:rPr>
        <w:t>## p-value: 5.6e-08</w:t>
      </w:r>
    </w:p>
    <w:p w:rsidR="00D23BB6" w:rsidRDefault="00071152">
      <w:pPr>
        <w:pStyle w:val="SourceCode"/>
      </w:pPr>
      <w:r>
        <w:rPr>
          <w:rStyle w:val="VerbatimChar"/>
        </w:rPr>
        <w:t>## p &lt; 0.0001</w:t>
      </w:r>
    </w:p>
    <w:p w:rsidR="00D23BB6" w:rsidRDefault="00071152">
      <w:pPr>
        <w:pStyle w:val="SourceCode"/>
      </w:pPr>
      <w:r>
        <w:rPr>
          <w:rStyle w:val="VerbatimChar"/>
        </w:rPr>
        <w:t>## p-value &lt; 0.0001, отвергаем нулевую гипотезу, статистически значимые различия между мужчинами и женщинами по FEV</w:t>
      </w:r>
    </w:p>
    <w:p w:rsidR="00D23BB6" w:rsidRDefault="00071152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lizaveta_2_project_files/figure-docx/Визуализация%20по%20полу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B6" w:rsidRDefault="00071152">
      <w:pPr>
        <w:pStyle w:val="a0"/>
      </w:pPr>
      <w:r>
        <w:t>Средний объём FEV у женщин составил 2.45 л, у мужчин 2.81 л. Разница между группами статистически значима: p &lt; 0.0001. Таким образом, мужч</w:t>
      </w:r>
      <w:r>
        <w:t>ины имеют более высокий FEV, чем женщины.</w:t>
      </w:r>
    </w:p>
    <w:p w:rsidR="00D23BB6" w:rsidRDefault="00071152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Elizaveta_2_project_files/figure-docx/График%20дисперсионный%20анализ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B6" w:rsidRDefault="00071152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lizaveta_2_project_files/figure-docx/Постхок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B6" w:rsidRDefault="00071152">
      <w:pPr>
        <w:pStyle w:val="SourceCode"/>
      </w:pPr>
      <w:r>
        <w:rPr>
          <w:rStyle w:val="VerbatimChar"/>
        </w:rPr>
        <w:t>## [1] 624 647</w:t>
      </w:r>
    </w:p>
    <w:p w:rsidR="00D23BB6" w:rsidRDefault="00071152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FEV ~ Smoker, data = fev_youth_clean)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$Smoker</w:t>
      </w:r>
      <w:r>
        <w:br/>
      </w:r>
      <w:r>
        <w:rPr>
          <w:rStyle w:val="VerbatimChar"/>
        </w:rPr>
        <w:t>##                   diff        lw</w:t>
      </w:r>
      <w:r>
        <w:rPr>
          <w:rStyle w:val="VerbatimChar"/>
        </w:rPr>
        <w:t>r        upr p adj</w:t>
      </w:r>
      <w:r>
        <w:br/>
      </w:r>
      <w:r>
        <w:rPr>
          <w:rStyle w:val="VerbatimChar"/>
        </w:rPr>
        <w:t>## Non-Current -0.7222512 -0.9389704 -0.5055319     0</w:t>
      </w:r>
    </w:p>
    <w:p w:rsidR="00D23BB6" w:rsidRDefault="00071152">
      <w:pPr>
        <w:pStyle w:val="FirstParagraph"/>
      </w:pPr>
      <w:r>
        <w:t>Средний FEV у курящих оказывается выше, чем у некурящих.</w:t>
      </w:r>
    </w:p>
    <w:p w:rsidR="00D23BB6" w:rsidRDefault="00071152">
      <w:pPr>
        <w:pStyle w:val="1"/>
      </w:pPr>
      <w:bookmarkStart w:id="7" w:name="обсуждение-результатов"/>
      <w:bookmarkEnd w:id="6"/>
      <w:r>
        <w:t>Обсуждение результатов</w:t>
      </w:r>
    </w:p>
    <w:p w:rsidR="00D23BB6" w:rsidRDefault="00071152">
      <w:pPr>
        <w:pStyle w:val="FirstParagraph"/>
      </w:pPr>
      <w:r>
        <w:t>По результатам анализа было выявлено различие FEV между мужчинами и женщинами, что подтверждает альтерн</w:t>
      </w:r>
      <w:r>
        <w:t>ативную гипотезу. Мужчины имеют больший FEV, что обусловлено различиями в физиологии.</w:t>
      </w:r>
    </w:p>
    <w:p w:rsidR="00D23BB6" w:rsidRDefault="00071152">
      <w:pPr>
        <w:pStyle w:val="a0"/>
      </w:pPr>
      <w:r>
        <w:t>Анализ данных по статусу курения среди молодёжи неоднозначен, данные по молодежи включают широкий диапазон возрастов (5- 16 лет), что влияет на результаты. Очевидно, моло</w:t>
      </w:r>
      <w:r>
        <w:t>дежь младшего возраста скорее всего не курит и имеет обусловленный возрастом более низкий FEV, чем подростки, которые чаще курят. Это влечет за собой потенциальное смещение среднего значения FEV в группе некурящих, которое может казаться ниже, чем у курящи</w:t>
      </w:r>
      <w:r>
        <w:t>х подростков. Отсутствие данных по взрослой группе ограничивает возможность анализа влияния курения и возраста на FEV в полном объёме.</w:t>
      </w:r>
    </w:p>
    <w:p w:rsidR="00D23BB6" w:rsidRDefault="00071152">
      <w:pPr>
        <w:pStyle w:val="1"/>
      </w:pPr>
      <w:bookmarkStart w:id="8" w:name="библиография"/>
      <w:bookmarkEnd w:id="7"/>
      <w:r>
        <w:lastRenderedPageBreak/>
        <w:t>Библиография</w:t>
      </w:r>
    </w:p>
    <w:p w:rsidR="00D23BB6" w:rsidRDefault="00071152">
      <w:pPr>
        <w:pStyle w:val="a9"/>
      </w:pPr>
      <w:bookmarkStart w:id="9" w:name="ref-car"/>
      <w:bookmarkStart w:id="10" w:name="refs"/>
      <w:r>
        <w:t xml:space="preserve">Fox, John, and Sanford Weisberg. 2024. </w:t>
      </w:r>
      <w:r>
        <w:rPr>
          <w:i/>
          <w:iCs/>
        </w:rPr>
        <w:t>Car: Companion to Applied Regression</w:t>
      </w:r>
      <w:r>
        <w:t xml:space="preserve">. </w:t>
      </w:r>
      <w:hyperlink r:id="rId8">
        <w:r>
          <w:rPr>
            <w:rStyle w:val="af"/>
          </w:rPr>
          <w:t>https://cran.r-project.org/package=car</w:t>
        </w:r>
      </w:hyperlink>
      <w:r>
        <w:t>.</w:t>
      </w:r>
    </w:p>
    <w:p w:rsidR="00D23BB6" w:rsidRDefault="00071152">
      <w:pPr>
        <w:pStyle w:val="a9"/>
      </w:pPr>
      <w:bookmarkStart w:id="11" w:name="ref-broom"/>
      <w:bookmarkEnd w:id="9"/>
      <w:r>
        <w:t xml:space="preserve">Robinson, David et al. 2024. </w:t>
      </w:r>
      <w:r>
        <w:rPr>
          <w:i/>
          <w:iCs/>
        </w:rPr>
        <w:t>Broom: Convert Statistical Analysis Objects into Tidy Tibbles</w:t>
      </w:r>
      <w:r>
        <w:t xml:space="preserve">. </w:t>
      </w:r>
      <w:hyperlink r:id="rId9">
        <w:r>
          <w:rPr>
            <w:rStyle w:val="af"/>
          </w:rPr>
          <w:t>https://broom.tidymodels.org</w:t>
        </w:r>
      </w:hyperlink>
      <w:r>
        <w:t>.</w:t>
      </w:r>
    </w:p>
    <w:p w:rsidR="00D23BB6" w:rsidRDefault="00071152">
      <w:pPr>
        <w:pStyle w:val="a9"/>
      </w:pPr>
      <w:bookmarkStart w:id="12" w:name="ref-ggplot2"/>
      <w:bookmarkEnd w:id="11"/>
      <w:r>
        <w:t>Wickham, Hadley. 20</w:t>
      </w:r>
      <w:r>
        <w:t xml:space="preserve">24. </w:t>
      </w:r>
      <w:r>
        <w:rPr>
          <w:i/>
          <w:iCs/>
        </w:rPr>
        <w:t>Ggplot2: Create Elegant Data Visualisations Using the Grammar of Graphics</w:t>
      </w:r>
      <w:r>
        <w:t xml:space="preserve">. </w:t>
      </w:r>
      <w:hyperlink r:id="rId10">
        <w:r>
          <w:rPr>
            <w:rStyle w:val="af"/>
          </w:rPr>
          <w:t>https://ggplot2.tidyverse.org</w:t>
        </w:r>
      </w:hyperlink>
      <w:r>
        <w:t>.</w:t>
      </w:r>
    </w:p>
    <w:p w:rsidR="00D23BB6" w:rsidRDefault="00071152">
      <w:pPr>
        <w:pStyle w:val="a9"/>
      </w:pPr>
      <w:bookmarkStart w:id="13" w:name="ref-dplyr"/>
      <w:bookmarkEnd w:id="12"/>
      <w:r>
        <w:t xml:space="preserve">Wickham, Hadley, Romain François, Lionel Henry, and Kirill Müller. 2024. </w:t>
      </w:r>
      <w:r>
        <w:rPr>
          <w:i/>
          <w:iCs/>
        </w:rPr>
        <w:t>Dplyr: A Grammar of Data Manipulation</w:t>
      </w:r>
      <w:r>
        <w:t xml:space="preserve">. </w:t>
      </w:r>
      <w:hyperlink r:id="rId11">
        <w:r>
          <w:rPr>
            <w:rStyle w:val="af"/>
          </w:rPr>
          <w:t>https://dplyr.tidyverse.org</w:t>
        </w:r>
      </w:hyperlink>
      <w:r>
        <w:t>.</w:t>
      </w:r>
      <w:bookmarkEnd w:id="8"/>
      <w:bookmarkEnd w:id="10"/>
      <w:bookmarkEnd w:id="13"/>
    </w:p>
    <w:sectPr w:rsidR="00D23BB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8C69D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A028A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B6"/>
    <w:rsid w:val="00071152"/>
    <w:rsid w:val="00D2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F44AC-A8E0-4853-BC6C-13439006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c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plyr.tidyverse.or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gplot2.tidyvers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oom.tidymode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Project №2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№2</dc:title>
  <dc:creator>Elizaveta Demidenko</dc:creator>
  <cp:keywords/>
  <cp:lastModifiedBy>Елизавета Демиденко</cp:lastModifiedBy>
  <cp:revision>2</cp:revision>
  <dcterms:created xsi:type="dcterms:W3CDTF">2025-07-04T00:19:00Z</dcterms:created>
  <dcterms:modified xsi:type="dcterms:W3CDTF">2025-07-04T00:19:00Z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2025</vt:lpwstr>
  </property>
  <property fmtid="{D5CDD505-2E9C-101B-9397-08002B2CF9AE}" pid="4" name="output">
    <vt:lpwstr>word_document</vt:lpwstr>
  </property>
</Properties>
</file>