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Итоговая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Василькова</w:t>
      </w:r>
      <w:r>
        <w:t xml:space="preserve"> </w:t>
      </w:r>
      <w:r>
        <w:t xml:space="preserve">С.В.</w:t>
      </w:r>
    </w:p>
    <w:p>
      <w:pPr>
        <w:pStyle w:val="Date"/>
      </w:pPr>
      <w:r>
        <w:t xml:space="preserve">2025-06-01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рамках курса по математическим методам в биологии была поставлена задача изучить зависимость между объемом легких от возраста у курящих и некурящих людей с помощью полученных знаний.</w:t>
      </w:r>
    </w:p>
    <w:bookmarkEnd w:id="20"/>
    <w:bookmarkStart w:id="21" w:name="материал-и-методика"/>
    <w:p>
      <w:pPr>
        <w:pStyle w:val="Heading1"/>
      </w:pPr>
      <w:r>
        <w:t xml:space="preserve">Материал и методика</w:t>
      </w:r>
    </w:p>
    <w:p>
      <w:pPr>
        <w:pStyle w:val="FirstParagraph"/>
      </w:pPr>
      <w:r>
        <w:t xml:space="preserve">В данной работе будут использоваться данные из следующих исследований (в библиографии), а также использоваться пакеты ggplot2</w:t>
      </w:r>
      <w:r>
        <w:t xml:space="preserve"> </w:t>
      </w:r>
      <w:r>
        <w:t xml:space="preserve">(Wickham 2016)</w:t>
      </w:r>
      <w:r>
        <w:t xml:space="preserve">, dplyr</w:t>
      </w:r>
      <w:r>
        <w:t xml:space="preserve"> </w:t>
      </w:r>
      <w:r>
        <w:t xml:space="preserve">(Wickham et al. 2023)</w:t>
      </w:r>
      <w:r>
        <w:t xml:space="preserve">, car</w:t>
      </w:r>
      <w:r>
        <w:t xml:space="preserve"> </w:t>
      </w:r>
      <w:r>
        <w:t xml:space="preserve">(Fox and Weisberg 2019)</w:t>
      </w:r>
      <w:r>
        <w:t xml:space="preserve">, readxl</w:t>
      </w:r>
      <w:r>
        <w:t xml:space="preserve"> </w:t>
      </w:r>
      <w:r>
        <w:t xml:space="preserve">(Wickham and Bryan 2025)</w:t>
      </w:r>
      <w:r>
        <w:t xml:space="preserve">, broom</w:t>
      </w:r>
      <w:r>
        <w:t xml:space="preserve"> </w:t>
      </w:r>
      <w:r>
        <w:t xml:space="preserve">(Robinson, Hayes, and Couch 2024)</w:t>
      </w:r>
      <w:r>
        <w:t xml:space="preserve">, knitr (в библоиграфии). Что касается методики, то будут использоваться линейный регрессионный анализ и t-test.</w:t>
      </w:r>
    </w:p>
    <w:bookmarkEnd w:id="21"/>
    <w:bookmarkStart w:id="31" w:name="результаты-ответы-на-2-заданных-вопроса"/>
    <w:p>
      <w:pPr>
        <w:pStyle w:val="Heading1"/>
      </w:pPr>
      <w:r>
        <w:t xml:space="preserve">Результаты (ответы на 2 заданных вопроса)</w:t>
      </w:r>
    </w:p>
    <w:p>
      <w:pPr>
        <w:pStyle w:val="FirstParagraph"/>
      </w:pPr>
      <w:r>
        <w:t xml:space="preserve">Различается ли объем легких у курящих и некурящих людей?</w:t>
      </w:r>
    </w:p>
    <w:p>
      <w:pPr>
        <w:pStyle w:val="BodyText"/>
      </w:pPr>
      <w:r>
        <w:t xml:space="preserve">Нулевая гипотеза: статистически значимых отличий нет (объем легких не отличается) (т.е. средние значения равны)</w:t>
      </w:r>
      <w:r>
        <w:t xml:space="preserve"> </w:t>
      </w:r>
      <w:r>
        <w:t xml:space="preserve">Альтернативная гипотеза: статистически значимые отличия есть (наоборот, объем легких у курящих и некурящих разный) (средние значения будут отличаться)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FEV by Smoker</w:t>
      </w:r>
      <w:r>
        <w:br/>
      </w:r>
      <w:r>
        <w:rPr>
          <w:rStyle w:val="VerbatimChar"/>
        </w:rPr>
        <w:t xml:space="preserve">## t = 7.1902, df = 81.364, p-value = 2.833e-10</w:t>
      </w:r>
      <w:r>
        <w:br/>
      </w:r>
      <w:r>
        <w:rPr>
          <w:rStyle w:val="VerbatimChar"/>
        </w:rPr>
        <w:t xml:space="preserve">## alternative hypothesis: true difference in means between group Current and group Non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0.5224013 0.9221010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Current     mean in group Non </w:t>
      </w:r>
      <w:r>
        <w:br/>
      </w:r>
      <w:r>
        <w:rPr>
          <w:rStyle w:val="VerbatimChar"/>
        </w:rPr>
        <w:t xml:space="preserve">##              3.284391              2.562139</w:t>
      </w:r>
    </w:p>
    <w:p>
      <w:pPr>
        <w:pStyle w:val="SourceCode"/>
      </w:pPr>
      <w:r>
        <w:rPr>
          <w:rStyle w:val="VerbatimChar"/>
        </w:rPr>
        <w:t xml:space="preserve">## [1] Различия есть</w:t>
      </w:r>
    </w:p>
    <w:p>
      <w:pPr>
        <w:pStyle w:val="FirstParagraph"/>
      </w:pPr>
      <w:r>
        <w:t xml:space="preserve">Так как значение p-value &gt; 0,05, отвергаем H0 и принимаем H1.</w:t>
      </w:r>
    </w:p>
    <w:p>
      <w:pPr>
        <w:pStyle w:val="BodyText"/>
      </w:pPr>
      <w:r>
        <w:t xml:space="preserve">Как зависит объем легких от возраста у курящих и некурящих людей?</w:t>
      </w:r>
    </w:p>
    <w:p>
      <w:pPr>
        <w:pStyle w:val="BodyText"/>
      </w:pPr>
      <w:r>
        <w:t xml:space="preserve">Линейная модель будет следующего вида:</w:t>
      </w:r>
      <w:r>
        <w:t xml:space="preserve"> 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E</m:t>
          </m:r>
          <m:r>
            <m:t>V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A</m:t>
          </m:r>
          <m:r>
            <m:t>g</m:t>
          </m:r>
          <m:r>
            <m:t>e</m:t>
          </m:r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×</m:t>
          </m:r>
          <m:r>
            <m:t>S</m:t>
          </m:r>
          <m:r>
            <m:t>m</m:t>
          </m:r>
          <m:r>
            <m:t>o</m:t>
          </m:r>
          <m:r>
            <m:t>k</m:t>
          </m:r>
          <m:r>
            <m:t>e</m:t>
          </m:r>
          <m:r>
            <m:t>r</m:t>
          </m:r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FEV ~ Age + Smoker, data = fev)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-1.65435 -0.35325 -0.04928  0.34708  2.09387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0.375675   0.081756   4.595  5.2e-06 ***</w:t>
      </w:r>
      <w:r>
        <w:br/>
      </w:r>
      <w:r>
        <w:rPr>
          <w:rStyle w:val="VerbatimChar"/>
        </w:rPr>
        <w:t xml:space="preserve">## Age            0.229538   0.008226  27.904  &lt; 2e-16 ***</w:t>
      </w:r>
      <w:r>
        <w:br/>
      </w:r>
      <w:r>
        <w:rPr>
          <w:rStyle w:val="VerbatimChar"/>
        </w:rPr>
        <w:t xml:space="preserve">## Smokerкурящие -0.186458   0.081280  -2.294   0.0221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0.5658 on 649 degrees of freedom</w:t>
      </w:r>
      <w:r>
        <w:br/>
      </w:r>
      <w:r>
        <w:rPr>
          <w:rStyle w:val="VerbatimChar"/>
        </w:rPr>
        <w:t xml:space="preserve">## Multiple R-squared:  0.5735, Adjusted R-squared:  0.5722 </w:t>
      </w:r>
      <w:r>
        <w:br/>
      </w:r>
      <w:r>
        <w:rPr>
          <w:rStyle w:val="VerbatimChar"/>
        </w:rPr>
        <w:t xml:space="preserve">## F-statistic: 436.4 on 2 and 649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FEV ~ Age + Smoker, data = fev)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-1.65435 -0.35325 -0.04928  0.34708  2.09387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0.189217   0.131548   1.438   0.1508    </w:t>
      </w:r>
      <w:r>
        <w:br/>
      </w:r>
      <w:r>
        <w:rPr>
          <w:rStyle w:val="VerbatimChar"/>
        </w:rPr>
        <w:t xml:space="preserve">## Age             0.229538   0.008226  27.904   &lt;2e-16 ***</w:t>
      </w:r>
      <w:r>
        <w:br/>
      </w:r>
      <w:r>
        <w:rPr>
          <w:rStyle w:val="VerbatimChar"/>
        </w:rPr>
        <w:t xml:space="preserve">## Smokerнекурящие 0.186458   0.081280   2.294   0.0221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0.5658 on 649 degrees of freedom</w:t>
      </w:r>
      <w:r>
        <w:br/>
      </w:r>
      <w:r>
        <w:rPr>
          <w:rStyle w:val="VerbatimChar"/>
        </w:rPr>
        <w:t xml:space="preserve">## Multiple R-squared:  0.5735, Adjusted R-squared:  0.5722 </w:t>
      </w:r>
      <w:r>
        <w:br/>
      </w:r>
      <w:r>
        <w:rPr>
          <w:rStyle w:val="VerbatimChar"/>
        </w:rPr>
        <w:t xml:space="preserve">## F-statistic: 436.4 on 2 and 649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p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Квантильный график" title="" id="26" name="Picture"/>
            <a:graphic>
              <a:graphicData uri="http://schemas.openxmlformats.org/drawingml/2006/picture">
                <pic:pic>
                  <pic:nvPicPr>
                    <pic:cNvPr descr="pp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Квантильный график</w:t>
      </w:r>
    </w:p>
    <w:p>
      <w:pPr>
        <w:pStyle w:val="BodyText"/>
      </w:pPr>
      <w:r>
        <w:t xml:space="preserve">Отклонений от нормальности распределения почти нет.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График рассеивания остатков" title="" id="29" name="Picture"/>
            <a:graphic>
              <a:graphicData uri="http://schemas.openxmlformats.org/drawingml/2006/picture">
                <pic:pic>
                  <pic:nvPicPr>
                    <pic:cNvPr descr="pp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рассеивания остатков</w:t>
      </w:r>
    </w:p>
    <w:p>
      <w:pPr>
        <w:pStyle w:val="BodyText"/>
      </w:pPr>
      <w:r>
        <w:t xml:space="preserve">Нарушений нет.</w:t>
      </w:r>
    </w:p>
    <w:p>
      <w:pPr>
        <w:pStyle w:val="TableCaption"/>
      </w:pPr>
      <w:r>
        <w:t xml:space="preserve">Таблица 1. Параметры регрессионной модели.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. Параметры регрессионной модели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0.1315481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1.438388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0.1508060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0.2295378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0.0082259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27.904381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Smokerнекурящие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0.1864579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0.0812795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2.294032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0.0221072</w:t>
            </w:r>
          </w:p>
        </w:tc>
      </w:tr>
    </w:tbl>
    <w:p>
      <w:pPr>
        <w:pStyle w:val="BodyText"/>
      </w:pPr>
      <w:r>
        <w:t xml:space="preserve">Между изученными параметрами существует сильная связь, которая описывается следующей моделью.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E</m:t>
          </m:r>
          <m:r>
            <m:t>V</m:t>
          </m:r>
          <m:r>
            <m:rPr>
              <m:sty m:val="p"/>
            </m:rPr>
            <m:t>=</m:t>
          </m:r>
          <m:r>
            <m:t>0.189217</m:t>
          </m:r>
          <m:r>
            <m:rPr>
              <m:sty m:val="p"/>
            </m:rPr>
            <m:t>+</m:t>
          </m:r>
          <m:r>
            <m:t>0.229538</m:t>
          </m:r>
          <m:r>
            <m:rPr>
              <m:sty m:val="p"/>
            </m:rPr>
            <m:t>×</m:t>
          </m:r>
          <m:r>
            <m:t>A</m:t>
          </m:r>
          <m:r>
            <m:t>g</m:t>
          </m:r>
          <m:r>
            <m:t>e</m:t>
          </m:r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×</m:t>
          </m:r>
          <m:r>
            <m:t>S</m:t>
          </m:r>
          <m:r>
            <m:t>m</m:t>
          </m:r>
          <m:r>
            <m:t>o</m:t>
          </m:r>
          <m:r>
            <m:t>k</m:t>
          </m:r>
          <m:r>
            <m:t>e</m:t>
          </m:r>
          <m:r>
            <m:t>r</m:t>
          </m:r>
          <m:r>
            <m:rPr>
              <m:sty m:val="p"/>
            </m:rPr>
            <m:t>+</m:t>
          </m:r>
          <m:r>
            <m:t>ε</m:t>
          </m:r>
        </m:oMath>
      </m:oMathPara>
    </w:p>
    <w:bookmarkEnd w:id="31"/>
    <w:bookmarkStart w:id="32" w:name="обсуждение"/>
    <w:p>
      <w:pPr>
        <w:pStyle w:val="Heading1"/>
      </w:pPr>
      <w:r>
        <w:t xml:space="preserve">Обсуждение</w:t>
      </w:r>
    </w:p>
    <w:p>
      <w:pPr>
        <w:pStyle w:val="FirstParagraph"/>
      </w:pPr>
      <w:r>
        <w:t xml:space="preserve">Подводя итог, на графике мы явно видим, что у некурящих объем легких с возрастом беспрепятственно увеличивается, не замедляется, в отличие от курящих.</w:t>
      </w:r>
    </w:p>
    <w:bookmarkEnd w:id="32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Tager, I. B., Weiss, S. T., Rosner, B., and Speizer, F. E. (1979). Effect of parental cigarette smoking on pulmonary function in children. American Journal of Epidemiology, 110, 15-26.</w:t>
      </w:r>
    </w:p>
    <w:p>
      <w:pPr>
        <w:pStyle w:val="BodyText"/>
      </w:pPr>
      <w:r>
        <w:t xml:space="preserve">Rosner, B. (1990). Fundamentals of Biostatistics, 3rd Edition. PWS-Kent, Boston, Massachusetts.</w:t>
      </w:r>
    </w:p>
    <w:p>
      <w:pPr>
        <w:pStyle w:val="BodyText"/>
      </w:pPr>
      <w:r>
        <w:t xml:space="preserve">Xie Y (2025).</w:t>
      </w:r>
      <w:r>
        <w:t xml:space="preserve"> </w:t>
      </w:r>
      <w:r>
        <w:rPr>
          <w:i/>
          <w:iCs/>
        </w:rPr>
        <w:t xml:space="preserve">knitr: A General-Purpose Package for Dynamic Report Generation in R</w:t>
      </w:r>
      <w:r>
        <w:t xml:space="preserve">. R package version 1.50,</w:t>
      </w:r>
      <w:r>
        <w:t xml:space="preserve"> </w:t>
      </w:r>
      <w:hyperlink r:id="rId33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Start w:id="44" w:name="refs"/>
    <w:bookmarkStart w:id="35" w:name="ref-car"/>
    <w:p>
      <w:pPr>
        <w:pStyle w:val="Bibliography"/>
      </w:pPr>
      <w:r>
        <w:t xml:space="preserve">Fox, John, and Sanford Weisberg. 2019.</w:t>
      </w:r>
      <w:r>
        <w:t xml:space="preserve"> </w:t>
      </w:r>
      <w:r>
        <w:rPr>
          <w:i/>
          <w:iCs/>
        </w:rPr>
        <w:t xml:space="preserve">An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 </w:t>
      </w:r>
      <w:r>
        <w:rPr>
          <w:i/>
          <w:iCs/>
        </w:rPr>
        <w:t xml:space="preserve">Companion to Applied Regression</w:t>
      </w:r>
      <w:r>
        <w:t xml:space="preserve">. Third. Thousand Oaks</w:t>
      </w:r>
      <w:r>
        <w:t xml:space="preserve"> </w:t>
      </w:r>
      <w:r>
        <w:t xml:space="preserve">CA</w:t>
      </w:r>
      <w:r>
        <w:t xml:space="preserve">: Sage.</w:t>
      </w:r>
      <w:r>
        <w:t xml:space="preserve"> </w:t>
      </w:r>
      <w:hyperlink r:id="rId34">
        <w:r>
          <w:rPr>
            <w:rStyle w:val="Hyperlink"/>
          </w:rPr>
          <w:t xml:space="preserve">https://www.john-fox.ca/Companion/</w:t>
        </w:r>
      </w:hyperlink>
      <w:r>
        <w:t xml:space="preserve">.</w:t>
      </w:r>
    </w:p>
    <w:bookmarkEnd w:id="35"/>
    <w:bookmarkStart w:id="37" w:name="ref-broom"/>
    <w:p>
      <w:pPr>
        <w:pStyle w:val="Bibliography"/>
      </w:pPr>
      <w:r>
        <w:t xml:space="preserve">Robinson, David, Alex Hayes, and Simon Couch. 2024.</w:t>
      </w:r>
      <w:r>
        <w:t xml:space="preserve"> </w:t>
      </w:r>
      <w:r>
        <w:rPr>
          <w:i/>
          <w:iCs/>
        </w:rPr>
        <w:t xml:space="preserve">Broom: Convert Statistical Objects into Tidy Tibbles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https://CRAN.R-project.org/package=broom</w:t>
        </w:r>
      </w:hyperlink>
      <w:r>
        <w:t xml:space="preserve">.</w:t>
      </w:r>
    </w:p>
    <w:bookmarkEnd w:id="37"/>
    <w:bookmarkStart w:id="39" w:name="ref-ggplot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/>
          <w:iCs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38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39"/>
    <w:bookmarkStart w:id="41" w:name="ref-readxl"/>
    <w:p>
      <w:pPr>
        <w:pStyle w:val="Bibliography"/>
      </w:pPr>
      <w:r>
        <w:t xml:space="preserve">Wickham, Hadley, and Jennifer Bryan. 2025.</w:t>
      </w:r>
      <w:r>
        <w:t xml:space="preserve"> </w:t>
      </w:r>
      <w:r>
        <w:rPr>
          <w:i/>
          <w:iCs/>
        </w:rPr>
        <w:t xml:space="preserve">Readxl: Read Excel Files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https://CRAN.R-project.org/package=readxl</w:t>
        </w:r>
      </w:hyperlink>
      <w:r>
        <w:t xml:space="preserve">.</w:t>
      </w:r>
    </w:p>
    <w:bookmarkEnd w:id="41"/>
    <w:bookmarkStart w:id="43" w:name="ref-dplyr"/>
    <w:p>
      <w:pPr>
        <w:pStyle w:val="Bibliography"/>
      </w:pPr>
      <w:r>
        <w:t xml:space="preserve">Wickham, Hadley, Romain François, Lionel Henry, Kirill Müller, and Davis Vaughan. 2023.</w:t>
      </w:r>
      <w:r>
        <w:t xml:space="preserve"> </w:t>
      </w:r>
      <w:r>
        <w:rPr>
          <w:i/>
          <w:iCs/>
        </w:rPr>
        <w:t xml:space="preserve">Dplyr: A Grammar of Data Manipulation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6" Target="https://CRAN.R-project.org/package=broom" TargetMode="External" /><Relationship Type="http://schemas.openxmlformats.org/officeDocument/2006/relationships/hyperlink" Id="rId42" Target="https://CRAN.R-project.org/package=dplyr" TargetMode="External" /><Relationship Type="http://schemas.openxmlformats.org/officeDocument/2006/relationships/hyperlink" Id="rId40" Target="https://CRAN.R-project.org/package=readxl" TargetMode="External" /><Relationship Type="http://schemas.openxmlformats.org/officeDocument/2006/relationships/hyperlink" Id="rId38" Target="https://ggplot2.tidyverse.org" TargetMode="External" /><Relationship Type="http://schemas.openxmlformats.org/officeDocument/2006/relationships/hyperlink" Id="rId34" Target="https://www.john-fox.ca/Companion/" TargetMode="External" /><Relationship Type="http://schemas.openxmlformats.org/officeDocument/2006/relationships/hyperlink" Id="rId33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RAN.R-project.org/package=broom" TargetMode="External" /><Relationship Type="http://schemas.openxmlformats.org/officeDocument/2006/relationships/hyperlink" Id="rId42" Target="https://CRAN.R-project.org/package=dplyr" TargetMode="External" /><Relationship Type="http://schemas.openxmlformats.org/officeDocument/2006/relationships/hyperlink" Id="rId40" Target="https://CRAN.R-project.org/package=readxl" TargetMode="External" /><Relationship Type="http://schemas.openxmlformats.org/officeDocument/2006/relationships/hyperlink" Id="rId38" Target="https://ggplot2.tidyverse.org" TargetMode="External" /><Relationship Type="http://schemas.openxmlformats.org/officeDocument/2006/relationships/hyperlink" Id="rId34" Target="https://www.john-fox.ca/Companion/" TargetMode="External" /><Relationship Type="http://schemas.openxmlformats.org/officeDocument/2006/relationships/hyperlink" Id="rId33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Итоговая работа</dc:title>
  <dc:creator>Василькова С.В.</dc:creator>
  <cp:keywords/>
  <dcterms:created xsi:type="dcterms:W3CDTF">2025-06-01T23:33:18Z</dcterms:created>
  <dcterms:modified xsi:type="dcterms:W3CDTF">2025-06-01T23:33:18Z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ДЗ.bib</vt:lpwstr>
  </property>
  <property fmtid="{D5CDD505-2E9C-101B-9397-08002B2CF9AE}" pid="3" name="date">
    <vt:lpwstr>2025-06-01</vt:lpwstr>
  </property>
  <property fmtid="{D5CDD505-2E9C-101B-9397-08002B2CF9AE}" pid="4" name="output">
    <vt:lpwstr>word_document</vt:lpwstr>
  </property>
</Properties>
</file>