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480" w:lineRule="auto"/>
        <w:jc w:val="center"/>
        <w:rPr>
          <w:rFonts w:hint="default" w:ascii="Times New Roman" w:hAnsi="Times New Roman" w:cs="Times New Roman"/>
          <w:sz w:val="36"/>
          <w:szCs w:val="36"/>
        </w:rPr>
      </w:pPr>
      <w:bookmarkStart w:id="0" w:name="X9f3e04bc252c037d242a914dacb6b8c3ce9ebd4"/>
      <w:r>
        <w:rPr>
          <w:rFonts w:hint="default" w:ascii="Times New Roman" w:hAnsi="Times New Roman" w:eastAsia="TimesNewRomanPS-BoldMT" w:cs="Times New Roman"/>
          <w:b/>
          <w:bCs/>
          <w:color w:val="000000"/>
          <w:kern w:val="0"/>
          <w:sz w:val="36"/>
          <w:szCs w:val="36"/>
          <w:lang w:val="en-US" w:eastAsia="zh-CN" w:bidi="ar"/>
        </w:rPr>
        <w:t>Эколого-биологический центр “Крестовский остров”</w:t>
      </w:r>
    </w:p>
    <w:p>
      <w:pPr>
        <w:keepNext w:val="0"/>
        <w:keepLines w:val="0"/>
        <w:widowControl/>
        <w:suppressLineNumbers w:val="0"/>
        <w:spacing w:line="48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Лаборатория Экологии Морского Бентоса</w:t>
      </w:r>
    </w:p>
    <w:p>
      <w:pPr>
        <w:keepNext w:val="0"/>
        <w:keepLines w:val="0"/>
        <w:widowControl/>
        <w:suppressLineNumbers w:val="0"/>
        <w:spacing w:line="48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(гидробиологии)</w:t>
      </w:r>
    </w:p>
    <w:p>
      <w:pPr>
        <w:pStyle w:val="23"/>
        <w:ind w:left="0" w:leftChars="0" w:firstLine="0" w:firstLineChars="0"/>
        <w:jc w:val="both"/>
      </w:pPr>
    </w:p>
    <w:p/>
    <w:p/>
    <w:p>
      <w:pPr>
        <w:ind w:left="0" w:leftChars="0" w:firstLine="0" w:firstLineChars="0"/>
        <w:jc w:val="center"/>
        <w:rPr>
          <w:rFonts w:hint="default"/>
          <w:lang w:val="en-US"/>
        </w:rPr>
      </w:pPr>
      <w:r>
        <w:rPr>
          <w:rFonts w:hint="default"/>
          <w:lang w:val="en-US"/>
        </w:rPr>
        <w:drawing>
          <wp:inline distT="0" distB="0" distL="114300" distR="114300">
            <wp:extent cx="2383155" cy="2456815"/>
            <wp:effectExtent l="0" t="0" r="9525" b="12065"/>
            <wp:docPr id="2" name="Изображение 2" descr="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Герб"/>
                    <pic:cNvPicPr>
                      <a:picLocks noChangeAspect="1"/>
                    </pic:cNvPicPr>
                  </pic:nvPicPr>
                  <pic:blipFill>
                    <a:blip r:embed="rId8"/>
                    <a:stretch>
                      <a:fillRect/>
                    </a:stretch>
                  </pic:blipFill>
                  <pic:spPr>
                    <a:xfrm>
                      <a:off x="0" y="0"/>
                      <a:ext cx="2383155" cy="2456815"/>
                    </a:xfrm>
                    <a:prstGeom prst="rect">
                      <a:avLst/>
                    </a:prstGeom>
                  </pic:spPr>
                </pic:pic>
              </a:graphicData>
            </a:graphic>
          </wp:inline>
        </w:drawing>
      </w:r>
    </w:p>
    <w:p>
      <w:pPr>
        <w:jc w:val="center"/>
      </w:pPr>
      <w:r>
        <w:t>Андрей Шилонцев</w:t>
      </w:r>
    </w:p>
    <w:p>
      <w:pPr>
        <w:jc w:val="center"/>
      </w:pPr>
      <w:r>
        <w:t>2023</w:t>
      </w:r>
    </w:p>
    <w:p>
      <w:pPr>
        <w:jc w:val="center"/>
      </w:pPr>
    </w:p>
    <w:p>
      <w:pPr>
        <w:ind w:left="0" w:leftChars="0" w:firstLine="0" w:firstLineChars="0"/>
        <w:jc w:val="center"/>
        <w:rPr>
          <w:rFonts w:hint="default"/>
          <w:lang w:val="en-US"/>
        </w:rPr>
      </w:pPr>
    </w:p>
    <w:p>
      <w:pPr>
        <w:rPr>
          <w:rFonts w:hint="default"/>
          <w:lang w:val="en-US"/>
        </w:rPr>
      </w:pPr>
    </w:p>
    <w:p>
      <w:pPr>
        <w:pStyle w:val="23"/>
      </w:pPr>
    </w:p>
    <w:p>
      <w:pPr>
        <w:pStyle w:val="23"/>
      </w:pPr>
    </w:p>
    <w:p>
      <w:pPr>
        <w:pStyle w:val="23"/>
        <w:rPr>
          <w:sz w:val="28"/>
          <w:szCs w:val="28"/>
        </w:rPr>
      </w:pPr>
      <w:r>
        <w:rPr>
          <w:sz w:val="28"/>
          <w:szCs w:val="28"/>
        </w:rPr>
        <w:t>Исследование</w:t>
      </w:r>
      <w:r>
        <w:rPr>
          <w:rFonts w:hint="default"/>
          <w:sz w:val="28"/>
          <w:szCs w:val="28"/>
          <w:lang w:val="ru-RU"/>
        </w:rPr>
        <w:t xml:space="preserve"> </w:t>
      </w:r>
      <w:r>
        <w:rPr>
          <w:sz w:val="28"/>
          <w:szCs w:val="28"/>
        </w:rPr>
        <w:t>конкурентных</w:t>
      </w:r>
      <w:r>
        <w:rPr>
          <w:rFonts w:hint="default"/>
          <w:sz w:val="28"/>
          <w:szCs w:val="28"/>
          <w:lang w:val="ru-RU"/>
        </w:rPr>
        <w:t xml:space="preserve"> </w:t>
      </w:r>
      <w:r>
        <w:rPr>
          <w:sz w:val="28"/>
          <w:szCs w:val="28"/>
        </w:rPr>
        <w:t>отношений</w:t>
      </w:r>
      <w:r>
        <w:rPr>
          <w:rFonts w:hint="default"/>
          <w:sz w:val="28"/>
          <w:szCs w:val="28"/>
          <w:lang w:val="ru-RU"/>
        </w:rPr>
        <w:t xml:space="preserve"> </w:t>
      </w:r>
      <w:r>
        <w:rPr>
          <w:sz w:val="28"/>
          <w:szCs w:val="28"/>
        </w:rPr>
        <w:t>беломорских</w:t>
      </w:r>
      <w:r>
        <w:rPr>
          <w:rFonts w:hint="default"/>
          <w:sz w:val="28"/>
          <w:szCs w:val="28"/>
          <w:lang w:val="ru-RU"/>
        </w:rPr>
        <w:t xml:space="preserve"> </w:t>
      </w:r>
      <w:r>
        <w:rPr>
          <w:sz w:val="28"/>
          <w:szCs w:val="28"/>
        </w:rPr>
        <w:t>мидий</w:t>
      </w:r>
      <w:r>
        <w:rPr>
          <w:rFonts w:hint="default"/>
          <w:sz w:val="28"/>
          <w:szCs w:val="28"/>
          <w:lang w:val="ru-RU"/>
        </w:rPr>
        <w:t xml:space="preserve"> </w:t>
      </w:r>
      <w:r>
        <w:rPr>
          <w:sz w:val="28"/>
          <w:szCs w:val="28"/>
        </w:rPr>
        <w:t>Mytilus</w:t>
      </w:r>
      <w:r>
        <w:rPr>
          <w:rFonts w:hint="default"/>
          <w:sz w:val="28"/>
          <w:szCs w:val="28"/>
          <w:lang w:val="ru-RU"/>
        </w:rPr>
        <w:t xml:space="preserve"> </w:t>
      </w:r>
      <w:r>
        <w:rPr>
          <w:sz w:val="28"/>
          <w:szCs w:val="28"/>
        </w:rPr>
        <w:t>edulis</w:t>
      </w:r>
      <w:r>
        <w:rPr>
          <w:rFonts w:hint="default"/>
          <w:sz w:val="28"/>
          <w:szCs w:val="28"/>
          <w:lang w:val="ru-RU"/>
        </w:rPr>
        <w:t xml:space="preserve"> </w:t>
      </w:r>
      <w:r>
        <w:rPr>
          <w:sz w:val="28"/>
          <w:szCs w:val="28"/>
        </w:rPr>
        <w:t>и</w:t>
      </w:r>
      <w:r>
        <w:rPr>
          <w:rFonts w:hint="default"/>
          <w:sz w:val="28"/>
          <w:szCs w:val="28"/>
          <w:lang w:val="ru-RU"/>
        </w:rPr>
        <w:t xml:space="preserve"> </w:t>
      </w:r>
      <w:r>
        <w:rPr>
          <w:sz w:val="28"/>
          <w:szCs w:val="28"/>
        </w:rPr>
        <w:t>M.</w:t>
      </w:r>
      <w:r>
        <w:rPr>
          <w:rFonts w:hint="default"/>
          <w:sz w:val="28"/>
          <w:szCs w:val="28"/>
          <w:lang w:val="ru-RU"/>
        </w:rPr>
        <w:t xml:space="preserve"> </w:t>
      </w:r>
      <w:r>
        <w:rPr>
          <w:sz w:val="28"/>
          <w:szCs w:val="28"/>
        </w:rPr>
        <w:t>trossilus</w:t>
      </w:r>
    </w:p>
    <w:p/>
    <w:p/>
    <w:p/>
    <w:p>
      <w:pPr>
        <w:spacing w:line="240" w:lineRule="auto"/>
        <w:rPr>
          <w:sz w:val="18"/>
          <w:szCs w:val="18"/>
        </w:rPr>
      </w:pPr>
      <w:r>
        <w:rPr>
          <w:sz w:val="18"/>
          <w:szCs w:val="18"/>
        </w:rPr>
        <w:t>В Белом море обитает два вида мидий: Mytilus edulis (ME) и M. trossulus (MT). Считается, что ME - нативный вид, а MT - вид-вселенец. О взаимоотношениях ME и MT известно достаточно мало. Эти два вида могут формировать смешанные поселения, причем соотношение численностей двух видов может варьировать в очень широких пределах. Эта вариация может объясняться, в частности, конкурентными отношениями: в одних условиях побеждает один вид, в других - другой. В полевом эксперименте мы оценили уровень смертности двух видов в зависимости от соотношения численностей двух видов (таксономический состав) и общей плотности поселения моллюсков. Мидий рассадили в контейнеры (200х100х96мм), которые были разбиты на три категории по соотношению численностей двух видов: MT-dominated (cоотношение MT:ME 4:1), Mixed (1:1) и ME-dominated (1:4). В каждой категории садки были разделены на три группы, в соответствии с суммарным обилием двух видов (20, 60 и 120 особей на садок). Каждое сочетание было в 3 повторностях. В течение двух месяцев эти контейнеры содержались в условиях верхней сублиторали (глубина около 1 м). После окончания экспозиции мы оценили количество живых и мёртвых мидий каждого вида в каждом контейнере.</w:t>
      </w:r>
    </w:p>
    <w:p>
      <w:pPr>
        <w:spacing w:line="240" w:lineRule="auto"/>
        <w:rPr>
          <w:sz w:val="18"/>
          <w:szCs w:val="18"/>
        </w:rPr>
      </w:pPr>
      <w:r>
        <w:rPr>
          <w:sz w:val="18"/>
          <w:szCs w:val="18"/>
        </w:rPr>
        <w:t>Согласно построенной линейной модели, описывающей связь вероятности гибели мидии с ее видом, типом садка и плотностью поселения, смертность MT (в садках MT-dominated: 20.1%, Mixed: 18.0% и ME-dominated: 26.7% погибших моллюсков) оказалась статистически значимо выше, чем смертность ME (MT-dominated: 5.4%, Mixed: 4.9% и ME-dominated: 7.9%). Согласно этой модели, угловые коэффициенты регрессии, описывающей связь смертности с плотностью поселения, не отличались значимо от нуля для садков ME-domiated и MT-domiated. Однако была выявлена значимая положительная зависимость смертности как MT, так и ME, от плотности поселения в случае садков типа Mixed. То есть в условно одновидовых поселениях (ME-domiated и MT-domiated) смертность не зависела от плотности поселения, в то время как в смешанных поселениях (Mixed), по мере возрастания обилия, происходило увеличение смертности у обоих видов. Полученный результат хорошо согласуется с предположением о наличии высокой конкуренции между видами. Более сильным конкурентом, вероятно, является ME, смертность которой была значительно ниже во всех типах садков.</w:t>
      </w:r>
    </w:p>
    <w:p>
      <w:r>
        <w:br w:type="page"/>
      </w:r>
    </w:p>
    <w:bookmarkEnd w:id="0"/>
    <w:p>
      <w:pPr>
        <w:pStyle w:val="2"/>
      </w:pPr>
      <w:bookmarkStart w:id="1" w:name="введение"/>
      <w:r>
        <w:t>Введение</w:t>
      </w:r>
    </w:p>
    <w:p>
      <w:r>
        <w:t>Конкуренция - важный тип межвидовых отношений, оказывающий на сообщество не меньшее влияние чем хищничество и паразитизм (Birch 1957).</w:t>
      </w:r>
    </w:p>
    <w:p>
      <w:pPr>
        <w:pStyle w:val="4"/>
      </w:pPr>
      <w:r>
        <w:t xml:space="preserve">Представители рода </w:t>
      </w:r>
      <w:r>
        <w:rPr>
          <w:i/>
          <w:iCs/>
        </w:rPr>
        <w:t>Mytilus</w:t>
      </w:r>
      <w:r>
        <w:t xml:space="preserve">, также известные как мидии - двустворчатые моллюски широко распространеные по всему северному полушарию. Как и некоторые другие </w:t>
      </w:r>
      <w:r>
        <w:rPr>
          <w:i/>
          <w:iCs/>
        </w:rPr>
        <w:t>Bivalvia</w:t>
      </w:r>
      <w:r>
        <w:t>, мидии могут выделять биссус: прочные и липкие белковые нити (Tamarin, Lewis, and Askey 1976; Brown 1952). Скрепляясь биссусом, моллюски образуют крупные плотные поселения на литоралях и сублиторалях, которые называют мидиевми банками (Федяков 1986; Kautsky 1982). Из-за вынужденного тестного сосуществования, между мидиями на мидиевых банках проявляется сильная конкуренция. Так известно, что молодые мидии, только что осевшие на мидиевую банку, часто погибают, не выдерживая конкуренции с взрослыми особями. Это приводит к колебаниям численности мидий на банках (Kautsky 1982).</w:t>
      </w:r>
    </w:p>
    <w:p>
      <w:pPr>
        <w:pStyle w:val="4"/>
      </w:pPr>
      <w:r>
        <w:t xml:space="preserve">Однако исследования генетиков показли, что в плотных скоплениях мидий могут быть представлены особи нескольких видов мидий (Koehn 1991; McDonald, Seed, and Koehn 1991). Так, в Белом море живёт два вида мидий: </w:t>
      </w:r>
      <w:r>
        <w:rPr>
          <w:i/>
          <w:iCs/>
        </w:rPr>
        <w:t>Mytilus edulis</w:t>
      </w:r>
      <w:r>
        <w:t xml:space="preserve"> (Linnaeus, 1758) и </w:t>
      </w:r>
      <w:r>
        <w:rPr>
          <w:i/>
          <w:iCs/>
        </w:rPr>
        <w:t>M. trossulus</w:t>
      </w:r>
      <w:r>
        <w:t xml:space="preserve"> (A. Gould, 1850), которые формируют смешанные поселения. Считается, что </w:t>
      </w:r>
      <w:r>
        <w:rPr>
          <w:i/>
          <w:iCs/>
        </w:rPr>
        <w:t>M. edulis</w:t>
      </w:r>
      <w:r>
        <w:t xml:space="preserve"> - нативный вид, а </w:t>
      </w:r>
      <w:r>
        <w:rPr>
          <w:i/>
          <w:iCs/>
        </w:rPr>
        <w:t>M. trossulus</w:t>
      </w:r>
      <w:r>
        <w:t xml:space="preserve"> - инвазивный (Väinölä and Strelkov 2011). Если внутривидовая конкуренция столь сильна, то можно ожидать, что между близкими видами так же будет наблюдаться конкуренция. Однако о взаимоотношениях </w:t>
      </w:r>
      <w:r>
        <w:rPr>
          <w:i/>
          <w:iCs/>
        </w:rPr>
        <w:t>M. edulis.</w:t>
      </w:r>
      <w:r>
        <w:t xml:space="preserve"> и </w:t>
      </w:r>
      <w:r>
        <w:rPr>
          <w:i/>
          <w:iCs/>
        </w:rPr>
        <w:t>M. trossulus</w:t>
      </w:r>
      <w:r>
        <w:t xml:space="preserve"> известно немного. Есть информация, что доля </w:t>
      </w:r>
      <w:r>
        <w:rPr>
          <w:i/>
          <w:iCs/>
        </w:rPr>
        <w:t>M. trossulus</w:t>
      </w:r>
      <w:r>
        <w:t xml:space="preserve"> в поселениях может варьировать в широких пределах (Katolikova et al. 2016), что возможно связанно с межвидовой конкуренцией: в каких-то условиях побеждает </w:t>
      </w:r>
      <w:r>
        <w:rPr>
          <w:i/>
          <w:iCs/>
        </w:rPr>
        <w:t>M. edulis</w:t>
      </w:r>
      <w:r>
        <w:t xml:space="preserve">, а в других - </w:t>
      </w:r>
      <w:r>
        <w:rPr>
          <w:i/>
          <w:iCs/>
        </w:rPr>
        <w:t>M. trossulus</w:t>
      </w:r>
      <w:r>
        <w:t>. Так например, было показано прямое подавление мидиями вида-конкурента при их сосуществовании в условиях эксперимнета. Ключевую роль в подавлении играет биссусс. Мидии облепляют им особь вида-конкурнета, блокируя ей перемещение и питание (Шеламова 2022; Шалагаева 2018; Liu et al. 2011).</w:t>
      </w:r>
    </w:p>
    <w:p>
      <w:pPr>
        <w:pStyle w:val="4"/>
      </w:pPr>
      <w:r>
        <w:t xml:space="preserve">Следуя принципу конкурентного исключения, при совместном поселении двух конкурирующих видов один из них исчезает (Gause 2019). Исключение менее конкурентоспособного вида подразумевает плотностно-зависимое увеличение смертности. Вместе с тем экспериментальных исследований этого процесса в отношении совместных поселений </w:t>
      </w:r>
      <w:r>
        <w:rPr>
          <w:i/>
          <w:iCs/>
        </w:rPr>
        <w:t>M. edulis</w:t>
      </w:r>
      <w:r>
        <w:t xml:space="preserve"> и </w:t>
      </w:r>
      <w:r>
        <w:rPr>
          <w:i/>
          <w:iCs/>
        </w:rPr>
        <w:t>M. trossulus</w:t>
      </w:r>
      <w:r>
        <w:t xml:space="preserve"> до сих пор не проводилось. Мы провели эту работу, чтобы доказать, наличие конкурентных отношений между беломорскими </w:t>
      </w:r>
      <w:r>
        <w:rPr>
          <w:i/>
          <w:iCs/>
        </w:rPr>
        <w:t>M. edulis.</w:t>
      </w:r>
      <w:r>
        <w:t xml:space="preserve"> и </w:t>
      </w:r>
      <w:r>
        <w:rPr>
          <w:i/>
          <w:iCs/>
        </w:rPr>
        <w:t>M. trossulus</w:t>
      </w:r>
      <w:r>
        <w:t>.</w:t>
      </w:r>
    </w:p>
    <w:bookmarkEnd w:id="1"/>
    <w:p>
      <w:pPr>
        <w:pStyle w:val="2"/>
      </w:pPr>
      <w:bookmarkStart w:id="2" w:name="материалы-и-методы"/>
      <w:r>
        <w:t>Материалы и методы</w:t>
      </w:r>
    </w:p>
    <w:p>
      <w:pPr>
        <w:pStyle w:val="5"/>
      </w:pPr>
      <w:bookmarkStart w:id="3" w:name="подготовка-экспериментального-материала"/>
      <w:r>
        <w:t>Подготовка экспериментального материала</w:t>
      </w:r>
    </w:p>
    <w:p>
      <w:r>
        <w:t xml:space="preserve">Мидии для эксперимента собирали в двух поселениях мидий. Первая точка сбора находилась на мидиевой банке, расположенной на литорали о. Б. Ломнишный (66.97496 N, 32.62013 E). Вторая точка сбора находилась литорали Северной губв о. Ряжкова (66.97496 N, 32.62013 E), где мидий собирали с таломов фукоидов.По результатам пилотных обследований на первой точке абсолютное большинство мидий относится к </w:t>
      </w:r>
      <w:r>
        <w:rPr>
          <w:i/>
          <w:iCs/>
        </w:rPr>
        <w:t>M.edulis</w:t>
      </w:r>
      <w:r>
        <w:t xml:space="preserve">, а на второй - к </w:t>
      </w:r>
      <w:r>
        <w:rPr>
          <w:i/>
          <w:iCs/>
        </w:rPr>
        <w:t>M.trossulus</w:t>
      </w:r>
      <w:r>
        <w:t xml:space="preserve">. Для эксперимента отбирали мидий 15-40 мм длинной. На правую створку каждой мидии взятой из первой точки мы ставили метку в виде капли цианакрилатного клея с напыленным на него синим порошком-колеровщиком для акриловых красок. На левую створку мидий, собранных из второй точки, наносили аналогичную метку, но желтого цвета. По эти меткам далее производилось различение моллюсков. В данной работе мы не проводили тонкой дифференцировки мидий по их морфотипам, как это делалось в предыдущих работах (Khaitov and Lentsman 2016; Нужин, n.d.), но считали, что из первой точки собраны большей частью </w:t>
      </w:r>
      <w:r>
        <w:rPr>
          <w:i/>
          <w:iCs/>
        </w:rPr>
        <w:t>M.edulis</w:t>
      </w:r>
      <w:r>
        <w:t xml:space="preserve"> а из второй - </w:t>
      </w:r>
      <w:r>
        <w:rPr>
          <w:i/>
          <w:iCs/>
        </w:rPr>
        <w:t>M.trossulus</w:t>
      </w:r>
      <w:r>
        <w:t>.</w:t>
      </w:r>
    </w:p>
    <w:bookmarkEnd w:id="3"/>
    <w:p>
      <w:pPr>
        <w:pStyle w:val="5"/>
      </w:pPr>
      <w:bookmarkStart w:id="4" w:name="постановка-эксперимента"/>
      <w:r>
        <w:t>Постановка эксперимента</w:t>
      </w:r>
    </w:p>
    <w:p>
      <w:r>
        <w:t xml:space="preserve">Мидий рассадили в контейнеры (200х100х96мм), которые были разбиты на три категории по соотношению численностей двух видов: </w:t>
      </w:r>
      <w:r>
        <w:rPr>
          <w:i/>
          <w:iCs/>
        </w:rPr>
        <w:t>MT-dominated</w:t>
      </w:r>
      <w:r>
        <w:t xml:space="preserve"> (cоотношение </w:t>
      </w:r>
      <w:r>
        <w:rPr>
          <w:i/>
          <w:iCs/>
        </w:rPr>
        <w:t>M.trossulus</w:t>
      </w:r>
      <w:r>
        <w:t>:</w:t>
      </w:r>
      <w:r>
        <w:rPr>
          <w:i/>
          <w:iCs/>
        </w:rPr>
        <w:t>M.edulis</w:t>
      </w:r>
      <w:r>
        <w:t xml:space="preserve"> 4:1), </w:t>
      </w:r>
      <w:r>
        <w:rPr>
          <w:i/>
          <w:iCs/>
        </w:rPr>
        <w:t>Mixed</w:t>
      </w:r>
      <w:r>
        <w:t xml:space="preserve"> (1:1) и </w:t>
      </w:r>
      <w:r>
        <w:rPr>
          <w:i/>
          <w:iCs/>
        </w:rPr>
        <w:t>ME-dominated</w:t>
      </w:r>
      <w:r>
        <w:t xml:space="preserve"> (1:4).</w:t>
      </w:r>
    </w:p>
    <w:p>
      <w:pPr>
        <w:pStyle w:val="4"/>
      </w:pPr>
      <w:r>
        <w:t>Таблица 1. Содержимое экспериментальных садков.</w:t>
      </w:r>
    </w:p>
    <w:tbl>
      <w:tblPr>
        <w:tblStyle w:val="8"/>
        <w:tblW w:w="5000" w:type="pct"/>
        <w:tblInd w:w="0" w:type="dxa"/>
        <w:tblLayout w:type="autofit"/>
        <w:tblCellMar>
          <w:top w:w="0" w:type="dxa"/>
          <w:left w:w="108" w:type="dxa"/>
          <w:bottom w:w="0" w:type="dxa"/>
          <w:right w:w="108" w:type="dxa"/>
        </w:tblCellMar>
      </w:tblPr>
      <w:tblGrid>
        <w:gridCol w:w="2191"/>
        <w:gridCol w:w="2458"/>
        <w:gridCol w:w="2046"/>
        <w:gridCol w:w="3495"/>
      </w:tblGrid>
      <w:tr>
        <w:tblPrEx>
          <w:tblCellMar>
            <w:top w:w="0" w:type="dxa"/>
            <w:left w:w="108" w:type="dxa"/>
            <w:bottom w:w="0" w:type="dxa"/>
            <w:right w:w="108" w:type="dxa"/>
          </w:tblCellMar>
        </w:tblPrEx>
        <w:trPr>
          <w:tblHeader/>
        </w:trPr>
        <w:tc>
          <w:p>
            <w:pPr>
              <w:jc w:val="left"/>
            </w:pPr>
            <w:r>
              <w:t>Тип садка</w:t>
            </w:r>
          </w:p>
        </w:tc>
        <w:tc>
          <w:p>
            <w:pPr>
              <w:jc w:val="left"/>
            </w:pPr>
            <w:r>
              <w:t xml:space="preserve">Доля </w:t>
            </w:r>
            <w:r>
              <w:rPr>
                <w:i/>
                <w:iCs/>
              </w:rPr>
              <w:t>M.trossulus</w:t>
            </w:r>
          </w:p>
        </w:tc>
        <w:tc>
          <w:p>
            <w:pPr>
              <w:jc w:val="left"/>
            </w:pPr>
            <w:r>
              <w:t>Колличество</w:t>
            </w:r>
          </w:p>
        </w:tc>
        <w:tc>
          <w:p>
            <w:pPr>
              <w:jc w:val="left"/>
            </w:pPr>
            <w:r>
              <w:t>Количество повторностей</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20</w:t>
            </w:r>
          </w:p>
        </w:tc>
        <w:tc>
          <w:p>
            <w:pPr>
              <w:jc w:val="left"/>
            </w:pPr>
            <w:r>
              <w:t>3</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60</w:t>
            </w:r>
          </w:p>
        </w:tc>
        <w:tc>
          <w:p>
            <w:pPr>
              <w:jc w:val="left"/>
            </w:pPr>
            <w:r>
              <w:t>3</w:t>
            </w:r>
          </w:p>
        </w:tc>
      </w:tr>
      <w:tr>
        <w:tblPrEx>
          <w:tblCellMar>
            <w:top w:w="0" w:type="dxa"/>
            <w:left w:w="108" w:type="dxa"/>
            <w:bottom w:w="0" w:type="dxa"/>
            <w:right w:w="108" w:type="dxa"/>
          </w:tblCellMar>
        </w:tblPrEx>
        <w:tc>
          <w:p>
            <w:pPr>
              <w:jc w:val="left"/>
            </w:pPr>
            <w:r>
              <w:t>MT-dominated</w:t>
            </w:r>
          </w:p>
        </w:tc>
        <w:tc>
          <w:p>
            <w:pPr>
              <w:jc w:val="left"/>
            </w:pPr>
            <w:r>
              <w:t>0.8</w:t>
            </w:r>
          </w:p>
        </w:tc>
        <w:tc>
          <w:p>
            <w:pPr>
              <w:jc w:val="left"/>
            </w:pPr>
            <w:r>
              <w:t>120</w:t>
            </w:r>
          </w:p>
        </w:tc>
        <w:tc>
          <w:p>
            <w:pPr>
              <w:jc w:val="left"/>
            </w:pPr>
            <w:r>
              <w:t>3</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20</w:t>
            </w:r>
          </w:p>
        </w:tc>
        <w:tc>
          <w:p>
            <w:pPr>
              <w:jc w:val="left"/>
            </w:pPr>
            <w:r>
              <w:t>2</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60</w:t>
            </w:r>
          </w:p>
        </w:tc>
        <w:tc>
          <w:p>
            <w:pPr>
              <w:jc w:val="left"/>
            </w:pPr>
            <w:r>
              <w:t>2</w:t>
            </w:r>
          </w:p>
        </w:tc>
      </w:tr>
      <w:tr>
        <w:tblPrEx>
          <w:tblCellMar>
            <w:top w:w="0" w:type="dxa"/>
            <w:left w:w="108" w:type="dxa"/>
            <w:bottom w:w="0" w:type="dxa"/>
            <w:right w:w="108" w:type="dxa"/>
          </w:tblCellMar>
        </w:tblPrEx>
        <w:tc>
          <w:p>
            <w:pPr>
              <w:jc w:val="left"/>
            </w:pPr>
            <w:r>
              <w:t>Mixed</w:t>
            </w:r>
          </w:p>
        </w:tc>
        <w:tc>
          <w:p>
            <w:pPr>
              <w:jc w:val="left"/>
            </w:pPr>
            <w:r>
              <w:t>0.5</w:t>
            </w:r>
          </w:p>
        </w:tc>
        <w:tc>
          <w:p>
            <w:pPr>
              <w:jc w:val="left"/>
            </w:pPr>
            <w:r>
              <w:t>120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20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60</w:t>
            </w:r>
          </w:p>
        </w:tc>
        <w:tc>
          <w:p>
            <w:pPr>
              <w:jc w:val="left"/>
            </w:pPr>
            <w:r>
              <w:t>3</w:t>
            </w:r>
          </w:p>
        </w:tc>
      </w:tr>
      <w:tr>
        <w:tblPrEx>
          <w:tblCellMar>
            <w:top w:w="0" w:type="dxa"/>
            <w:left w:w="108" w:type="dxa"/>
            <w:bottom w:w="0" w:type="dxa"/>
            <w:right w:w="108" w:type="dxa"/>
          </w:tblCellMar>
        </w:tblPrEx>
        <w:tc>
          <w:p>
            <w:pPr>
              <w:jc w:val="left"/>
            </w:pPr>
            <w:r>
              <w:t>ME-dominated</w:t>
            </w:r>
          </w:p>
        </w:tc>
        <w:tc>
          <w:p>
            <w:pPr>
              <w:jc w:val="left"/>
            </w:pPr>
            <w:r>
              <w:t>0.2</w:t>
            </w:r>
          </w:p>
        </w:tc>
        <w:tc>
          <w:p>
            <w:pPr>
              <w:jc w:val="left"/>
            </w:pPr>
            <w:r>
              <w:t>120</w:t>
            </w:r>
          </w:p>
        </w:tc>
        <w:tc>
          <w:p>
            <w:pPr>
              <w:jc w:val="left"/>
            </w:pPr>
            <w:r>
              <w:t>3</w:t>
            </w:r>
          </w:p>
        </w:tc>
      </w:tr>
    </w:tbl>
    <w:p>
      <w:pPr>
        <w:pStyle w:val="4"/>
      </w:pPr>
      <w:r>
        <w:t>Примечание: Во время экспозиции несколько садков было утрачено.</w:t>
      </w:r>
    </w:p>
    <w:p>
      <w:pPr>
        <w:pStyle w:val="4"/>
      </w:pPr>
      <w:r>
        <w:t xml:space="preserve">Таким образом, схема нашего эксперимента подразумевает три группы контейнеров: </w:t>
      </w:r>
      <w:r>
        <w:rPr>
          <w:i/>
          <w:iCs/>
        </w:rPr>
        <w:t>MT-dominated</w:t>
      </w:r>
      <w:r>
        <w:t xml:space="preserve"> (контейнеры, где численность мидий </w:t>
      </w:r>
      <w:r>
        <w:rPr>
          <w:i/>
          <w:iCs/>
        </w:rPr>
        <w:t>M.trossulus</w:t>
      </w:r>
      <w:r>
        <w:t xml:space="preserve"> превышала численность мидий </w:t>
      </w:r>
      <w:r>
        <w:rPr>
          <w:i/>
          <w:iCs/>
        </w:rPr>
        <w:t>M.edulis</w:t>
      </w:r>
      <w:r>
        <w:t xml:space="preserve">), </w:t>
      </w:r>
      <w:r>
        <w:rPr>
          <w:i/>
          <w:iCs/>
        </w:rPr>
        <w:t>ME-dominated</w:t>
      </w:r>
      <w:r>
        <w:t xml:space="preserve"> (контейнеры, где численность </w:t>
      </w:r>
      <w:r>
        <w:rPr>
          <w:i/>
          <w:iCs/>
        </w:rPr>
        <w:t>M.edulis</w:t>
      </w:r>
      <w:r>
        <w:t xml:space="preserve"> превышала численность мидий </w:t>
      </w:r>
      <w:r>
        <w:rPr>
          <w:i/>
          <w:iCs/>
        </w:rPr>
        <w:t>M.trossulus</w:t>
      </w:r>
      <w:r>
        <w:t xml:space="preserve">), и </w:t>
      </w:r>
      <w:r>
        <w:rPr>
          <w:i/>
          <w:iCs/>
        </w:rPr>
        <w:t>Mixed</w:t>
      </w:r>
      <w:r>
        <w:t xml:space="preserve"> (контейнеры, где численность мидий двух видов примерно равна). В каждом типе контейнеров был спланирован градиент плотности поселения моллюсков: от разреженных (20 особей на садок) до очень плотных (120 особей).</w:t>
      </w:r>
    </w:p>
    <w:p>
      <w:pPr>
        <w:pStyle w:val="4"/>
      </w:pPr>
      <w:r>
        <w:t>Мы прикрепили контейнеры с помощью шурупов к 3 доскам к нижней части которых были прикреплены утяжелители (кирпичи), перемешав при этом все типы контейнеров в случайном порядке. Затем эти конструкции были опущены в сублитораль на глубину около 1.5 м во время малой воды. Эксперимент был поставлен 3 июня 2023 г. в точке с засеченными координатами 66.9753 N, 32.6265 в районе о. Б. Ломнишный.</w:t>
      </w:r>
    </w:p>
    <w:bookmarkEnd w:id="4"/>
    <w:p>
      <w:pPr>
        <w:pStyle w:val="5"/>
      </w:pPr>
      <w:bookmarkStart w:id="5" w:name="обработка-материала"/>
      <w:r>
        <w:t>Обработка материала</w:t>
      </w:r>
    </w:p>
    <w:p>
      <w:r>
        <w:t>Мы сняли эксперимент 15 августа, выйдя на точку по координатам. Конструкции были транспортированы в лабораторию, где из садков были извлечены живые моллюски и раковины погибших особей. По меткам, обнаруженным на раковинах мы относили к тем или иным видам.</w:t>
      </w:r>
    </w:p>
    <w:p>
      <w:pPr>
        <w:pStyle w:val="4"/>
      </w:pPr>
      <w:r>
        <w:t>Живых мидий сварили, и удалили мягкие ткани. После этого раковины высушили. Раковины мертвых моллюсков после отмывки от ила высушили. Далее у живых моллюсков мы измеряли длину раковины с точностью до 1 мм с помощью электронного штангенциркуля. У мертвых моллюсков мы измеряли только те створки, на которых была нанесена метка. У небольшого числа мертвых особей (17.16%) размер не определяли так как раковины были повреждены.</w:t>
      </w:r>
    </w:p>
    <w:p>
      <w:pPr>
        <w:pStyle w:val="4"/>
      </w:pPr>
      <w:r>
        <w:t>В базе данных для каждой мидии мы указывали следующие параметры: размер, статус на момент снятия эксперимента (живая или мёртвая), вид и номер контейнера. Всего было обработано 1747 мидий из 26 контейнеров.</w:t>
      </w:r>
    </w:p>
    <w:bookmarkEnd w:id="5"/>
    <w:p>
      <w:pPr>
        <w:pStyle w:val="5"/>
      </w:pPr>
      <w:bookmarkStart w:id="6" w:name="статистическая-обработка"/>
      <w:r>
        <w:t>Статистическая обработка</w:t>
      </w:r>
    </w:p>
    <w:p>
      <w:r>
        <w:t>Вся статистическая обработка проводилась с помощью функций языка статистического программирования R (R Core Team 2023).</w:t>
      </w:r>
    </w:p>
    <w:p>
      <w:pPr>
        <w:pStyle w:val="4"/>
      </w:pPr>
      <w:r>
        <w:t xml:space="preserve">Каждый контейнер был отнесен к одному из трех типов: </w:t>
      </w:r>
      <w:r>
        <w:rPr>
          <w:i/>
          <w:iCs/>
        </w:rPr>
        <w:t>MT-dominated</w:t>
      </w:r>
      <w:r>
        <w:t xml:space="preserve">, </w:t>
      </w:r>
      <w:r>
        <w:rPr>
          <w:i/>
          <w:iCs/>
        </w:rPr>
        <w:t>ME-dominated</w:t>
      </w:r>
      <w:r>
        <w:t xml:space="preserve">, </w:t>
      </w:r>
      <w:r>
        <w:rPr>
          <w:i/>
          <w:iCs/>
        </w:rPr>
        <w:t>Mixed</w:t>
      </w:r>
      <w:r>
        <w:t>. Тип контейнера далее рассматривался в качестве дискретного предиктора в линейной модели. В эту модель также в качестве предикторов были включены численность живых моллюсков, обнаруженных в конце эксперимента (эту величину мы рассматривали в качестве оценки плотности поселения мидий в контейнере), размер мидии и все возможные взаимодействия между тремя предикторами. Мидий, которые были мертвы в конце эксперимента, были маркированы как единица, а живые, как ноль. Далее этот ряд рассматаривался как бинарная зависмая переменная в линейной модели, основанной на биномиальном распределении. Таким образом, эта модель оценивала вероятность мидии оказаться мертвой в зависимости от того в каком типе садка она находилась, какова была плотность поселения, какой она имела размер и к какому виду она предположительно относилась.</w:t>
      </w:r>
      <w:r>
        <w:br w:type="textWrapping"/>
      </w:r>
      <w:r>
        <w:t>Описаннаую выше модель мы подвергли упрощению согласно алгоритму пошагового обратного отбора (backwards selection). Оптимальной считалось модель с меньшим показателем информационного критерия Акаике (AIC).</w:t>
      </w:r>
    </w:p>
    <w:p>
      <w:pPr>
        <w:pStyle w:val="4"/>
      </w:pPr>
      <w:r>
        <w:t>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 из пакета “emmeans”(Lenth 2023).</w:t>
      </w:r>
    </w:p>
    <w:bookmarkEnd w:id="2"/>
    <w:bookmarkEnd w:id="6"/>
    <w:p>
      <w:pPr>
        <w:pStyle w:val="2"/>
      </w:pPr>
      <w:bookmarkStart w:id="7" w:name="результаты"/>
      <w:r>
        <w:t>Результаты</w:t>
      </w:r>
    </w:p>
    <w:p>
      <w:r>
        <w:t>В таблице 2 представленны оценки параметров финальной модели. Из приведённых данных видно, что значимыми оказываются парные взаимодействия некоторых предикторов. Это означает, что в разных типах садков связь смертности с плотностью поселения выглядит по разному. Кроме того видно, что смертность зависит и от типа садков и от плотности поселения и от размера. Значимой так же оказалась связь смертности с размером. При том коэффициент регрессии отрицателен, следовательно чем больше мидия, тем меньше у нёё шанс погибнуть.</w:t>
      </w:r>
    </w:p>
    <w:p>
      <w:r>
        <w:t>Таблица 2. Оценки параметров финальной модели (прощедшей пошаговый обратный отбор)</w:t>
      </w:r>
    </w:p>
    <w:tbl>
      <w:tblPr>
        <w:tblStyle w:val="8"/>
        <w:tblW w:w="0" w:type="auto"/>
        <w:tblCaption w:val="Таблица 2. Оценки параметров финальной модели (прощедшей пошаговый обратный отбор)"/>
        <w:tblInd w:w="0" w:type="dxa"/>
        <w:tblLayout w:type="autofit"/>
        <w:tblCellMar>
          <w:top w:w="0" w:type="dxa"/>
          <w:left w:w="108" w:type="dxa"/>
          <w:bottom w:w="0" w:type="dxa"/>
          <w:right w:w="108" w:type="dxa"/>
        </w:tblCellMar>
      </w:tblPr>
      <w:tblGrid>
        <w:gridCol w:w="2683"/>
        <w:gridCol w:w="1676"/>
        <w:gridCol w:w="1596"/>
        <w:gridCol w:w="1556"/>
        <w:gridCol w:w="1596"/>
      </w:tblGrid>
      <w:tr>
        <w:tblPrEx>
          <w:tblCellMar>
            <w:top w:w="0" w:type="dxa"/>
            <w:left w:w="108" w:type="dxa"/>
            <w:bottom w:w="0" w:type="dxa"/>
            <w:right w:w="108" w:type="dxa"/>
          </w:tblCellMar>
        </w:tblPrEx>
        <w:trPr>
          <w:tblHeader/>
        </w:trPr>
        <w:tc>
          <w:p>
            <w:pPr>
              <w:jc w:val="left"/>
            </w:pPr>
            <w:r>
              <w:t>term</w:t>
            </w:r>
          </w:p>
        </w:tc>
        <w:tc>
          <w:p>
            <w:pPr>
              <w:jc w:val="right"/>
            </w:pPr>
            <w:r>
              <w:t>estimate</w:t>
            </w:r>
          </w:p>
        </w:tc>
        <w:tc>
          <w:p>
            <w:pPr>
              <w:jc w:val="right"/>
            </w:pPr>
            <w:r>
              <w:t>std.error</w:t>
            </w:r>
          </w:p>
        </w:tc>
        <w:tc>
          <w:p>
            <w:pPr>
              <w:jc w:val="right"/>
            </w:pPr>
            <w:r>
              <w:t>statistic</w:t>
            </w:r>
          </w:p>
        </w:tc>
        <w:tc>
          <w:p>
            <w:pPr>
              <w:jc w:val="right"/>
            </w:pPr>
            <w:r>
              <w:t>p.value</w:t>
            </w:r>
          </w:p>
        </w:tc>
      </w:tr>
      <w:tr>
        <w:tblPrEx>
          <w:tblCellMar>
            <w:top w:w="0" w:type="dxa"/>
            <w:left w:w="108" w:type="dxa"/>
            <w:bottom w:w="0" w:type="dxa"/>
            <w:right w:w="108" w:type="dxa"/>
          </w:tblCellMar>
        </w:tblPrEx>
        <w:tc>
          <w:p>
            <w:pPr>
              <w:jc w:val="left"/>
            </w:pPr>
            <w:r>
              <w:t>(Intercept)</w:t>
            </w:r>
          </w:p>
        </w:tc>
        <w:tc>
          <w:p>
            <w:pPr>
              <w:jc w:val="right"/>
            </w:pPr>
            <w:r>
              <w:t>1.3991241</w:t>
            </w:r>
          </w:p>
        </w:tc>
        <w:tc>
          <w:p>
            <w:pPr>
              <w:jc w:val="right"/>
            </w:pPr>
            <w:r>
              <w:t>1.5258856</w:t>
            </w:r>
          </w:p>
        </w:tc>
        <w:tc>
          <w:p>
            <w:pPr>
              <w:jc w:val="right"/>
            </w:pPr>
            <w:r>
              <w:t>0.916926</w:t>
            </w:r>
          </w:p>
        </w:tc>
        <w:tc>
          <w:p>
            <w:pPr>
              <w:jc w:val="right"/>
            </w:pPr>
            <w:r>
              <w:t>0.3591814</w:t>
            </w:r>
          </w:p>
        </w:tc>
      </w:tr>
      <w:tr>
        <w:tblPrEx>
          <w:tblCellMar>
            <w:top w:w="0" w:type="dxa"/>
            <w:left w:w="108" w:type="dxa"/>
            <w:bottom w:w="0" w:type="dxa"/>
            <w:right w:w="108" w:type="dxa"/>
          </w:tblCellMar>
        </w:tblPrEx>
        <w:tc>
          <w:p>
            <w:pPr>
              <w:jc w:val="left"/>
            </w:pPr>
            <w:r>
              <w:t>SpeciesMT</w:t>
            </w:r>
          </w:p>
        </w:tc>
        <w:tc>
          <w:p>
            <w:pPr>
              <w:jc w:val="right"/>
            </w:pPr>
            <w:r>
              <w:t>1.4499962</w:t>
            </w:r>
          </w:p>
        </w:tc>
        <w:tc>
          <w:p>
            <w:pPr>
              <w:jc w:val="right"/>
            </w:pPr>
            <w:r>
              <w:t>0.1888357</w:t>
            </w:r>
          </w:p>
        </w:tc>
        <w:tc>
          <w:p>
            <w:pPr>
              <w:jc w:val="right"/>
            </w:pPr>
            <w:r>
              <w:t>7.678611</w:t>
            </w:r>
          </w:p>
        </w:tc>
        <w:tc>
          <w:p>
            <w:pPr>
              <w:jc w:val="right"/>
            </w:pPr>
            <w:r>
              <w:t>0.0000000</w:t>
            </w:r>
          </w:p>
        </w:tc>
      </w:tr>
      <w:tr>
        <w:tblPrEx>
          <w:tblCellMar>
            <w:top w:w="0" w:type="dxa"/>
            <w:left w:w="108" w:type="dxa"/>
            <w:bottom w:w="0" w:type="dxa"/>
            <w:right w:w="108" w:type="dxa"/>
          </w:tblCellMar>
        </w:tblPrEx>
        <w:tc>
          <w:p>
            <w:pPr>
              <w:jc w:val="left"/>
            </w:pPr>
            <w:r>
              <w:t>N</w:t>
            </w:r>
          </w:p>
        </w:tc>
        <w:tc>
          <w:p>
            <w:pPr>
              <w:jc w:val="right"/>
            </w:pPr>
            <w:r>
              <w:t>-0.0466793</w:t>
            </w:r>
          </w:p>
        </w:tc>
        <w:tc>
          <w:p>
            <w:pPr>
              <w:jc w:val="right"/>
            </w:pPr>
            <w:r>
              <w:t>0.0169106</w:t>
            </w:r>
          </w:p>
        </w:tc>
        <w:tc>
          <w:p>
            <w:pPr>
              <w:jc w:val="right"/>
            </w:pPr>
            <w:r>
              <w:t>-2.760361</w:t>
            </w:r>
          </w:p>
        </w:tc>
        <w:tc>
          <w:p>
            <w:pPr>
              <w:jc w:val="right"/>
            </w:pPr>
            <w:r>
              <w:t>0.0057738</w:t>
            </w:r>
          </w:p>
        </w:tc>
      </w:tr>
      <w:tr>
        <w:tblPrEx>
          <w:tblCellMar>
            <w:top w:w="0" w:type="dxa"/>
            <w:left w:w="108" w:type="dxa"/>
            <w:bottom w:w="0" w:type="dxa"/>
            <w:right w:w="108" w:type="dxa"/>
          </w:tblCellMar>
        </w:tblPrEx>
        <w:tc>
          <w:p>
            <w:pPr>
              <w:jc w:val="left"/>
            </w:pPr>
            <w:r>
              <w:t>typeMixed</w:t>
            </w:r>
          </w:p>
        </w:tc>
        <w:tc>
          <w:p>
            <w:pPr>
              <w:jc w:val="right"/>
            </w:pPr>
            <w:r>
              <w:t>-2.1625382</w:t>
            </w:r>
          </w:p>
        </w:tc>
        <w:tc>
          <w:p>
            <w:pPr>
              <w:jc w:val="right"/>
            </w:pPr>
            <w:r>
              <w:t>0.6154605</w:t>
            </w:r>
          </w:p>
        </w:tc>
        <w:tc>
          <w:p>
            <w:pPr>
              <w:jc w:val="right"/>
            </w:pPr>
            <w:r>
              <w:t>-3.513691</w:t>
            </w:r>
          </w:p>
        </w:tc>
        <w:tc>
          <w:p>
            <w:pPr>
              <w:jc w:val="right"/>
            </w:pPr>
            <w:r>
              <w:t>0.0004419</w:t>
            </w:r>
          </w:p>
        </w:tc>
      </w:tr>
      <w:tr>
        <w:tblPrEx>
          <w:tblCellMar>
            <w:top w:w="0" w:type="dxa"/>
            <w:left w:w="108" w:type="dxa"/>
            <w:bottom w:w="0" w:type="dxa"/>
            <w:right w:w="108" w:type="dxa"/>
          </w:tblCellMar>
        </w:tblPrEx>
        <w:tc>
          <w:p>
            <w:pPr>
              <w:jc w:val="left"/>
            </w:pPr>
            <w:r>
              <w:t>typeMT-dominated</w:t>
            </w:r>
          </w:p>
        </w:tc>
        <w:tc>
          <w:p>
            <w:pPr>
              <w:jc w:val="right"/>
            </w:pPr>
            <w:r>
              <w:t>-1.1159008</w:t>
            </w:r>
          </w:p>
        </w:tc>
        <w:tc>
          <w:p>
            <w:pPr>
              <w:jc w:val="right"/>
            </w:pPr>
            <w:r>
              <w:t>0.5287012</w:t>
            </w:r>
          </w:p>
        </w:tc>
        <w:tc>
          <w:p>
            <w:pPr>
              <w:jc w:val="right"/>
            </w:pPr>
            <w:r>
              <w:t>-2.110645</w:t>
            </w:r>
          </w:p>
        </w:tc>
        <w:tc>
          <w:p>
            <w:pPr>
              <w:jc w:val="right"/>
            </w:pPr>
            <w:r>
              <w:t>0.0348028</w:t>
            </w:r>
          </w:p>
        </w:tc>
      </w:tr>
      <w:tr>
        <w:tblPrEx>
          <w:tblCellMar>
            <w:top w:w="0" w:type="dxa"/>
            <w:left w:w="108" w:type="dxa"/>
            <w:bottom w:w="0" w:type="dxa"/>
            <w:right w:w="108" w:type="dxa"/>
          </w:tblCellMar>
        </w:tblPrEx>
        <w:tc>
          <w:p>
            <w:pPr>
              <w:jc w:val="left"/>
            </w:pPr>
            <w:r>
              <w:t>L</w:t>
            </w:r>
          </w:p>
        </w:tc>
        <w:tc>
          <w:p>
            <w:pPr>
              <w:jc w:val="right"/>
            </w:pPr>
            <w:r>
              <w:t>-0.1258086</w:t>
            </w:r>
          </w:p>
        </w:tc>
        <w:tc>
          <w:p>
            <w:pPr>
              <w:jc w:val="right"/>
            </w:pPr>
            <w:r>
              <w:t>0.0515451</w:t>
            </w:r>
          </w:p>
        </w:tc>
        <w:tc>
          <w:p>
            <w:pPr>
              <w:jc w:val="right"/>
            </w:pPr>
            <w:r>
              <w:t>-2.440746</w:t>
            </w:r>
          </w:p>
        </w:tc>
        <w:tc>
          <w:p>
            <w:pPr>
              <w:jc w:val="right"/>
            </w:pPr>
            <w:r>
              <w:t>0.0146569</w:t>
            </w:r>
          </w:p>
        </w:tc>
      </w:tr>
      <w:tr>
        <w:tblPrEx>
          <w:tblCellMar>
            <w:top w:w="0" w:type="dxa"/>
            <w:left w:w="108" w:type="dxa"/>
            <w:bottom w:w="0" w:type="dxa"/>
            <w:right w:w="108" w:type="dxa"/>
          </w:tblCellMar>
        </w:tblPrEx>
        <w:tc>
          <w:p>
            <w:pPr>
              <w:jc w:val="left"/>
            </w:pPr>
            <w:r>
              <w:t>N:typeMixed</w:t>
            </w:r>
          </w:p>
        </w:tc>
        <w:tc>
          <w:p>
            <w:pPr>
              <w:jc w:val="right"/>
            </w:pPr>
            <w:r>
              <w:t>0.0195261</w:t>
            </w:r>
          </w:p>
        </w:tc>
        <w:tc>
          <w:p>
            <w:pPr>
              <w:jc w:val="right"/>
            </w:pPr>
            <w:r>
              <w:t>0.0064734</w:t>
            </w:r>
          </w:p>
        </w:tc>
        <w:tc>
          <w:p>
            <w:pPr>
              <w:jc w:val="right"/>
            </w:pPr>
            <w:r>
              <w:t>3.016376</w:t>
            </w:r>
          </w:p>
        </w:tc>
        <w:tc>
          <w:p>
            <w:pPr>
              <w:jc w:val="right"/>
            </w:pPr>
            <w:r>
              <w:t>0.0025582</w:t>
            </w:r>
          </w:p>
        </w:tc>
      </w:tr>
      <w:tr>
        <w:tblPrEx>
          <w:tblCellMar>
            <w:top w:w="0" w:type="dxa"/>
            <w:left w:w="108" w:type="dxa"/>
            <w:bottom w:w="0" w:type="dxa"/>
            <w:right w:w="108" w:type="dxa"/>
          </w:tblCellMar>
        </w:tblPrEx>
        <w:tc>
          <w:p>
            <w:pPr>
              <w:jc w:val="left"/>
            </w:pPr>
            <w:r>
              <w:t>N:typeMT-dominated</w:t>
            </w:r>
          </w:p>
        </w:tc>
        <w:tc>
          <w:p>
            <w:pPr>
              <w:jc w:val="right"/>
            </w:pPr>
            <w:r>
              <w:t>0.0092601</w:t>
            </w:r>
          </w:p>
        </w:tc>
        <w:tc>
          <w:p>
            <w:pPr>
              <w:jc w:val="right"/>
            </w:pPr>
            <w:r>
              <w:t>0.0061891</w:t>
            </w:r>
          </w:p>
        </w:tc>
        <w:tc>
          <w:p>
            <w:pPr>
              <w:jc w:val="right"/>
            </w:pPr>
            <w:r>
              <w:t>1.496204</w:t>
            </w:r>
          </w:p>
        </w:tc>
        <w:tc>
          <w:p>
            <w:pPr>
              <w:jc w:val="right"/>
            </w:pPr>
            <w:r>
              <w:t>0.1346004</w:t>
            </w:r>
          </w:p>
        </w:tc>
      </w:tr>
      <w:tr>
        <w:tblPrEx>
          <w:tblCellMar>
            <w:top w:w="0" w:type="dxa"/>
            <w:left w:w="108" w:type="dxa"/>
            <w:bottom w:w="0" w:type="dxa"/>
            <w:right w:w="108" w:type="dxa"/>
          </w:tblCellMar>
        </w:tblPrEx>
        <w:tc>
          <w:p>
            <w:pPr>
              <w:jc w:val="left"/>
            </w:pPr>
            <w:r>
              <w:t>N:L</w:t>
            </w:r>
          </w:p>
        </w:tc>
        <w:tc>
          <w:p>
            <w:pPr>
              <w:jc w:val="right"/>
            </w:pPr>
            <w:r>
              <w:t>0.0015234</w:t>
            </w:r>
          </w:p>
        </w:tc>
        <w:tc>
          <w:p>
            <w:pPr>
              <w:jc w:val="right"/>
            </w:pPr>
            <w:r>
              <w:t>0.0005795</w:t>
            </w:r>
          </w:p>
        </w:tc>
        <w:tc>
          <w:p>
            <w:pPr>
              <w:jc w:val="right"/>
            </w:pPr>
            <w:r>
              <w:t>2.628769</w:t>
            </w:r>
          </w:p>
        </w:tc>
        <w:tc>
          <w:p>
            <w:pPr>
              <w:jc w:val="right"/>
            </w:pPr>
            <w:r>
              <w:t>0.0085695</w:t>
            </w:r>
          </w:p>
        </w:tc>
      </w:tr>
    </w:tbl>
    <w:p>
      <w:pPr>
        <w:pStyle w:val="4"/>
      </w:pPr>
      <w:r>
        <w:t xml:space="preserve">На рис. 1 представденна визуализация финальной модели. Из преиведённх данных видно, что во всех контейнерах сертность </w:t>
      </w:r>
      <w:r>
        <w:rPr>
          <w:i/>
          <w:iCs/>
        </w:rPr>
        <w:t>M. trossulus</w:t>
      </w:r>
      <w:r>
        <w:t xml:space="preserve"> выше, чем </w:t>
      </w:r>
      <w:r>
        <w:rPr>
          <w:i/>
          <w:iCs/>
        </w:rPr>
        <w:t>M. edulis</w:t>
      </w:r>
      <w:r>
        <w:t xml:space="preserve">. Однако, оценка значимости угловых коэффициентов (таблица 3) показала, что в контейнерах типа </w:t>
      </w:r>
      <w:r>
        <w:rPr>
          <w:i/>
          <w:iCs/>
        </w:rPr>
        <w:t>ME-dominated</w:t>
      </w:r>
      <w:r>
        <w:t xml:space="preserve"> и </w:t>
      </w:r>
      <w:r>
        <w:rPr>
          <w:i/>
          <w:iCs/>
        </w:rPr>
        <w:t>MT-dominated</w:t>
      </w:r>
      <w:r>
        <w:t xml:space="preserve"> значимое отличие угловых коэффициентов от нуля нет, но в типе </w:t>
      </w:r>
      <w:r>
        <w:rPr>
          <w:i/>
          <w:iCs/>
        </w:rPr>
        <w:t>Mixed</w:t>
      </w:r>
      <w:r>
        <w:t xml:space="preserve"> смертность значимо увеличивается по мере возрастания плотности того и другого вида.</w:t>
      </w:r>
    </w:p>
    <w:p>
      <w:r>
        <w:drawing>
          <wp:inline distT="0" distB="0" distL="114300" distR="114300">
            <wp:extent cx="5543550" cy="6468110"/>
            <wp:effectExtent l="0" t="0" r="0" b="0"/>
            <wp:docPr id="28" name="Picture" descr="Рисунок 1. Зависимость вероятности гибели миди разных видов от типа садка и плотности поселения (значение размера мидии взято, как средне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Рисунок 1. Зависимость вероятности гибели миди разных видов от типа садка и плотности поселения (значение размера мидии взято, как среднее)"/>
                    <pic:cNvPicPr>
                      <a:picLocks noChangeAspect="1" noChangeArrowheads="1"/>
                    </pic:cNvPicPr>
                  </pic:nvPicPr>
                  <pic:blipFill>
                    <a:blip r:embed="rId9"/>
                    <a:stretch>
                      <a:fillRect/>
                    </a:stretch>
                  </pic:blipFill>
                  <pic:spPr>
                    <a:xfrm>
                      <a:off x="0" y="0"/>
                      <a:ext cx="5544151" cy="6468176"/>
                    </a:xfrm>
                    <a:prstGeom prst="rect">
                      <a:avLst/>
                    </a:prstGeom>
                    <a:noFill/>
                    <a:ln w="9525">
                      <a:noFill/>
                    </a:ln>
                  </pic:spPr>
                </pic:pic>
              </a:graphicData>
            </a:graphic>
          </wp:inline>
        </w:drawing>
      </w:r>
    </w:p>
    <w:p>
      <w:r>
        <w:t>Рисунок 1. Зависимость вероятности гибели миди разных видов от типа садка и плотности поселения (значение размера мидии взято, как среднее)</w:t>
      </w:r>
    </w:p>
    <w:p>
      <w:r>
        <w:t>Таблица 3. Оценка значимости угловых коэффициентов линии регресси для разных видов мидий в разных типах контейнеров.</w:t>
      </w:r>
    </w:p>
    <w:tbl>
      <w:tblPr>
        <w:tblStyle w:val="8"/>
        <w:tblW w:w="0" w:type="auto"/>
        <w:tblCaption w:val="Таблица 3. Оценка значимости угловых коэффициентов линии регресси для разных видов мидий в разных типах контейнеров."/>
        <w:tblInd w:w="0" w:type="dxa"/>
        <w:tblLayout w:type="autofit"/>
        <w:tblCellMar>
          <w:top w:w="0" w:type="dxa"/>
          <w:left w:w="108" w:type="dxa"/>
          <w:bottom w:w="0" w:type="dxa"/>
          <w:right w:w="108" w:type="dxa"/>
        </w:tblCellMar>
      </w:tblPr>
      <w:tblGrid>
        <w:gridCol w:w="2030"/>
        <w:gridCol w:w="1310"/>
        <w:gridCol w:w="1676"/>
        <w:gridCol w:w="1596"/>
        <w:gridCol w:w="1676"/>
        <w:gridCol w:w="1596"/>
      </w:tblGrid>
      <w:tr>
        <w:tblPrEx>
          <w:tblCellMar>
            <w:top w:w="0" w:type="dxa"/>
            <w:left w:w="108" w:type="dxa"/>
            <w:bottom w:w="0" w:type="dxa"/>
            <w:right w:w="108" w:type="dxa"/>
          </w:tblCellMar>
        </w:tblPrEx>
        <w:trPr>
          <w:tblHeader/>
        </w:trPr>
        <w:tc>
          <w:p>
            <w:pPr>
              <w:jc w:val="left"/>
            </w:pPr>
            <w:r>
              <w:t>type</w:t>
            </w:r>
          </w:p>
        </w:tc>
        <w:tc>
          <w:p>
            <w:pPr>
              <w:jc w:val="left"/>
            </w:pPr>
            <w:r>
              <w:t>Species</w:t>
            </w:r>
          </w:p>
        </w:tc>
        <w:tc>
          <w:p>
            <w:pPr>
              <w:jc w:val="right"/>
            </w:pPr>
            <w:r>
              <w:t>N.trend</w:t>
            </w:r>
          </w:p>
        </w:tc>
        <w:tc>
          <w:p>
            <w:pPr>
              <w:jc w:val="right"/>
            </w:pPr>
            <w:r>
              <w:t>std.error</w:t>
            </w:r>
          </w:p>
        </w:tc>
        <w:tc>
          <w:p>
            <w:pPr>
              <w:jc w:val="right"/>
            </w:pPr>
            <w:r>
              <w:t>statistic</w:t>
            </w:r>
          </w:p>
        </w:tc>
        <w:tc>
          <w:p>
            <w:pPr>
              <w:jc w:val="right"/>
            </w:pPr>
            <w:r>
              <w:t>p.value</w:t>
            </w:r>
          </w:p>
        </w:tc>
      </w:tr>
      <w:tr>
        <w:tblPrEx>
          <w:tblCellMar>
            <w:top w:w="0" w:type="dxa"/>
            <w:left w:w="108" w:type="dxa"/>
            <w:bottom w:w="0" w:type="dxa"/>
            <w:right w:w="108" w:type="dxa"/>
          </w:tblCellMar>
        </w:tblPrEx>
        <w:tc>
          <w:p>
            <w:pPr>
              <w:jc w:val="left"/>
            </w:pPr>
            <w:r>
              <w:t>ME-dominated</w:t>
            </w:r>
          </w:p>
        </w:tc>
        <w:tc>
          <w:p>
            <w:pPr>
              <w:jc w:val="left"/>
            </w:pPr>
            <w:r>
              <w:t>ME</w:t>
            </w:r>
          </w:p>
        </w:tc>
        <w:tc>
          <w:p>
            <w:pPr>
              <w:jc w:val="right"/>
            </w:pPr>
            <w:r>
              <w:t>-0.0049433</w:t>
            </w:r>
          </w:p>
        </w:tc>
        <w:tc>
          <w:p>
            <w:pPr>
              <w:jc w:val="right"/>
            </w:pPr>
            <w:r>
              <w:t>0.0039152</w:t>
            </w:r>
          </w:p>
        </w:tc>
        <w:tc>
          <w:p>
            <w:pPr>
              <w:jc w:val="right"/>
            </w:pPr>
            <w:r>
              <w:t>-1.2625810</w:t>
            </w:r>
          </w:p>
        </w:tc>
        <w:tc>
          <w:p>
            <w:pPr>
              <w:jc w:val="right"/>
            </w:pPr>
            <w:r>
              <w:t>0.2067398</w:t>
            </w:r>
          </w:p>
        </w:tc>
      </w:tr>
      <w:tr>
        <w:tblPrEx>
          <w:tblCellMar>
            <w:top w:w="0" w:type="dxa"/>
            <w:left w:w="108" w:type="dxa"/>
            <w:bottom w:w="0" w:type="dxa"/>
            <w:right w:w="108" w:type="dxa"/>
          </w:tblCellMar>
        </w:tblPrEx>
        <w:tc>
          <w:p>
            <w:pPr>
              <w:jc w:val="left"/>
            </w:pPr>
            <w:r>
              <w:t>Mixed</w:t>
            </w:r>
          </w:p>
        </w:tc>
        <w:tc>
          <w:p>
            <w:pPr>
              <w:jc w:val="left"/>
            </w:pPr>
            <w:r>
              <w:t>ME</w:t>
            </w:r>
          </w:p>
        </w:tc>
        <w:tc>
          <w:p>
            <w:pPr>
              <w:jc w:val="right"/>
            </w:pPr>
            <w:r>
              <w:t>0.0145828</w:t>
            </w:r>
          </w:p>
        </w:tc>
        <w:tc>
          <w:p>
            <w:pPr>
              <w:jc w:val="right"/>
            </w:pPr>
            <w:r>
              <w:t>0.0050991</w:t>
            </w:r>
          </w:p>
        </w:tc>
        <w:tc>
          <w:p>
            <w:pPr>
              <w:jc w:val="right"/>
            </w:pPr>
            <w:r>
              <w:t>2.8598560</w:t>
            </w:r>
          </w:p>
        </w:tc>
        <w:tc>
          <w:p>
            <w:pPr>
              <w:jc w:val="right"/>
            </w:pPr>
            <w:r>
              <w:t>0.0042383</w:t>
            </w:r>
          </w:p>
        </w:tc>
      </w:tr>
      <w:tr>
        <w:tblPrEx>
          <w:tblCellMar>
            <w:top w:w="0" w:type="dxa"/>
            <w:left w:w="108" w:type="dxa"/>
            <w:bottom w:w="0" w:type="dxa"/>
            <w:right w:w="108" w:type="dxa"/>
          </w:tblCellMar>
        </w:tblPrEx>
        <w:tc>
          <w:p>
            <w:pPr>
              <w:jc w:val="left"/>
            </w:pPr>
            <w:r>
              <w:t>MT-dominated</w:t>
            </w:r>
          </w:p>
        </w:tc>
        <w:tc>
          <w:p>
            <w:pPr>
              <w:jc w:val="left"/>
            </w:pPr>
            <w:r>
              <w:t>ME</w:t>
            </w:r>
          </w:p>
        </w:tc>
        <w:tc>
          <w:p>
            <w:pPr>
              <w:jc w:val="right"/>
            </w:pPr>
            <w:r>
              <w:t>0.0043168</w:t>
            </w:r>
          </w:p>
        </w:tc>
        <w:tc>
          <w:p>
            <w:pPr>
              <w:jc w:val="right"/>
            </w:pPr>
            <w:r>
              <w:t>0.0047113</w:t>
            </w:r>
          </w:p>
        </w:tc>
        <w:tc>
          <w:p>
            <w:pPr>
              <w:jc w:val="right"/>
            </w:pPr>
            <w:r>
              <w:t>0.9162577</w:t>
            </w:r>
          </w:p>
        </w:tc>
        <w:tc>
          <w:p>
            <w:pPr>
              <w:jc w:val="right"/>
            </w:pPr>
            <w:r>
              <w:t>0.3595318</w:t>
            </w:r>
          </w:p>
        </w:tc>
      </w:tr>
      <w:tr>
        <w:tblPrEx>
          <w:tblCellMar>
            <w:top w:w="0" w:type="dxa"/>
            <w:left w:w="108" w:type="dxa"/>
            <w:bottom w:w="0" w:type="dxa"/>
            <w:right w:w="108" w:type="dxa"/>
          </w:tblCellMar>
        </w:tblPrEx>
        <w:tc>
          <w:p>
            <w:pPr>
              <w:jc w:val="left"/>
            </w:pPr>
            <w:r>
              <w:t>ME-dominated</w:t>
            </w:r>
          </w:p>
        </w:tc>
        <w:tc>
          <w:p>
            <w:pPr>
              <w:jc w:val="left"/>
            </w:pPr>
            <w:r>
              <w:t>MT</w:t>
            </w:r>
          </w:p>
        </w:tc>
        <w:tc>
          <w:p>
            <w:pPr>
              <w:jc w:val="right"/>
            </w:pPr>
            <w:r>
              <w:t>-0.0049433</w:t>
            </w:r>
          </w:p>
        </w:tc>
        <w:tc>
          <w:p>
            <w:pPr>
              <w:jc w:val="right"/>
            </w:pPr>
            <w:r>
              <w:t>0.0039152</w:t>
            </w:r>
          </w:p>
        </w:tc>
        <w:tc>
          <w:p>
            <w:pPr>
              <w:jc w:val="right"/>
            </w:pPr>
            <w:r>
              <w:t>-1.2625810</w:t>
            </w:r>
          </w:p>
        </w:tc>
        <w:tc>
          <w:p>
            <w:pPr>
              <w:jc w:val="right"/>
            </w:pPr>
            <w:r>
              <w:t>0.2067398</w:t>
            </w:r>
          </w:p>
        </w:tc>
      </w:tr>
      <w:tr>
        <w:tblPrEx>
          <w:tblCellMar>
            <w:top w:w="0" w:type="dxa"/>
            <w:left w:w="108" w:type="dxa"/>
            <w:bottom w:w="0" w:type="dxa"/>
            <w:right w:w="108" w:type="dxa"/>
          </w:tblCellMar>
        </w:tblPrEx>
        <w:tc>
          <w:p>
            <w:pPr>
              <w:jc w:val="left"/>
            </w:pPr>
            <w:r>
              <w:t>Mixed</w:t>
            </w:r>
          </w:p>
        </w:tc>
        <w:tc>
          <w:p>
            <w:pPr>
              <w:jc w:val="left"/>
            </w:pPr>
            <w:r>
              <w:t>MT</w:t>
            </w:r>
          </w:p>
        </w:tc>
        <w:tc>
          <w:p>
            <w:pPr>
              <w:jc w:val="right"/>
            </w:pPr>
            <w:r>
              <w:t>0.0145828</w:t>
            </w:r>
          </w:p>
        </w:tc>
        <w:tc>
          <w:p>
            <w:pPr>
              <w:jc w:val="right"/>
            </w:pPr>
            <w:r>
              <w:t>0.0050991</w:t>
            </w:r>
          </w:p>
        </w:tc>
        <w:tc>
          <w:p>
            <w:pPr>
              <w:jc w:val="right"/>
            </w:pPr>
            <w:r>
              <w:t>2.8598560</w:t>
            </w:r>
          </w:p>
        </w:tc>
        <w:tc>
          <w:p>
            <w:pPr>
              <w:jc w:val="right"/>
            </w:pPr>
            <w:r>
              <w:t>0.0042383</w:t>
            </w:r>
          </w:p>
        </w:tc>
      </w:tr>
      <w:tr>
        <w:tblPrEx>
          <w:tblCellMar>
            <w:top w:w="0" w:type="dxa"/>
            <w:left w:w="108" w:type="dxa"/>
            <w:bottom w:w="0" w:type="dxa"/>
            <w:right w:w="108" w:type="dxa"/>
          </w:tblCellMar>
        </w:tblPrEx>
        <w:tc>
          <w:p>
            <w:pPr>
              <w:jc w:val="left"/>
            </w:pPr>
            <w:r>
              <w:t>MT-dominated</w:t>
            </w:r>
          </w:p>
        </w:tc>
        <w:tc>
          <w:p>
            <w:pPr>
              <w:jc w:val="left"/>
            </w:pPr>
            <w:r>
              <w:t>MT</w:t>
            </w:r>
          </w:p>
        </w:tc>
        <w:tc>
          <w:p>
            <w:pPr>
              <w:jc w:val="right"/>
            </w:pPr>
            <w:r>
              <w:t>0.0043168</w:t>
            </w:r>
          </w:p>
        </w:tc>
        <w:tc>
          <w:p>
            <w:pPr>
              <w:jc w:val="right"/>
            </w:pPr>
            <w:r>
              <w:t>0.0047113</w:t>
            </w:r>
          </w:p>
        </w:tc>
        <w:tc>
          <w:p>
            <w:pPr>
              <w:jc w:val="right"/>
            </w:pPr>
            <w:r>
              <w:t>0.9162577</w:t>
            </w:r>
          </w:p>
        </w:tc>
        <w:tc>
          <w:p>
            <w:pPr>
              <w:jc w:val="right"/>
            </w:pPr>
            <w:r>
              <w:t>0.3595318</w:t>
            </w:r>
          </w:p>
        </w:tc>
      </w:tr>
      <w:bookmarkEnd w:id="7"/>
    </w:tbl>
    <w:p>
      <w:pPr>
        <w:pStyle w:val="2"/>
      </w:pPr>
      <w:bookmarkStart w:id="8" w:name="обсуждение-результатов"/>
    </w:p>
    <w:p>
      <w:pPr>
        <w:pStyle w:val="2"/>
      </w:pPr>
      <w:bookmarkStart w:id="28" w:name="_GoBack"/>
      <w:bookmarkEnd w:id="28"/>
      <w:r>
        <w:t>Обсуждение результатов</w:t>
      </w:r>
    </w:p>
    <w:p>
      <w:r>
        <w:t xml:space="preserve">Смертность мидий в контейнерах типов </w:t>
      </w:r>
      <w:r>
        <w:rPr>
          <w:i/>
          <w:iCs/>
        </w:rPr>
        <w:t>ME-dominated</w:t>
      </w:r>
      <w:r>
        <w:t xml:space="preserve"> и </w:t>
      </w:r>
      <w:r>
        <w:rPr>
          <w:i/>
          <w:iCs/>
        </w:rPr>
        <w:t>ME-dominated</w:t>
      </w:r>
      <w:r>
        <w:t xml:space="preserve"> не зависит от плотности, но смертность в контейнерах типа </w:t>
      </w:r>
      <w:r>
        <w:rPr>
          <w:i/>
          <w:iCs/>
        </w:rPr>
        <w:t>Mixed</w:t>
      </w:r>
      <w:r>
        <w:t xml:space="preserve"> - возростают с увеличнием плотности. Это значит, что повеление мидий в контейнерах типа </w:t>
      </w:r>
      <w:r>
        <w:rPr>
          <w:i/>
          <w:iCs/>
        </w:rPr>
        <w:t>Mixed</w:t>
      </w:r>
      <w:r>
        <w:t xml:space="preserve"> отличается от поведения мидий в других контейнерах. А так как контейнеры отличаются по таксономическому составу, можно с уверенностью сказать, что поведение мидий зависит от таксономического состава поселения. Это доказывает, что между </w:t>
      </w:r>
      <w:r>
        <w:rPr>
          <w:i/>
          <w:iCs/>
        </w:rPr>
        <w:t>M. edulis</w:t>
      </w:r>
      <w:r>
        <w:t xml:space="preserve"> и </w:t>
      </w:r>
      <w:r>
        <w:rPr>
          <w:i/>
          <w:iCs/>
        </w:rPr>
        <w:t>M. trossulus</w:t>
      </w:r>
      <w:r>
        <w:t xml:space="preserve"> есть конкуренция.</w:t>
      </w:r>
    </w:p>
    <w:p>
      <w:pPr>
        <w:pStyle w:val="4"/>
      </w:pPr>
      <w:r>
        <w:t xml:space="preserve">При том, </w:t>
      </w:r>
      <w:r>
        <w:rPr>
          <w:i/>
          <w:iCs/>
        </w:rPr>
        <w:t>M. trossulus</w:t>
      </w:r>
      <w:r>
        <w:t xml:space="preserve"> менее кокурентоспособен. Ведь его смертность во всех контейнерах выше, чем смернтность </w:t>
      </w:r>
      <w:r>
        <w:rPr>
          <w:i/>
          <w:iCs/>
        </w:rPr>
        <w:t>M. edulis</w:t>
      </w:r>
      <w:r>
        <w:t xml:space="preserve">. Так же в контейнерах типа </w:t>
      </w:r>
      <w:r>
        <w:rPr>
          <w:i/>
          <w:iCs/>
        </w:rPr>
        <w:t>Mixed</w:t>
      </w:r>
      <w:r>
        <w:t xml:space="preserve"> с увеличением плотности смертность </w:t>
      </w:r>
      <w:r>
        <w:rPr>
          <w:i/>
          <w:iCs/>
        </w:rPr>
        <w:t>M. trossulus</w:t>
      </w:r>
      <w:r>
        <w:t xml:space="preserve"> расёт быстрее, чем смертность </w:t>
      </w:r>
      <w:r>
        <w:rPr>
          <w:i/>
          <w:iCs/>
        </w:rPr>
        <w:t>M. edulis</w:t>
      </w:r>
      <w:r>
        <w:t>. Важно помнить, что данные, полученные в ходе эксперимента, справедливы только для смоделированного поселения - мидиевой банки.</w:t>
      </w:r>
    </w:p>
    <w:bookmarkEnd w:id="8"/>
    <w:p>
      <w:pPr>
        <w:pStyle w:val="2"/>
      </w:pPr>
      <w:bookmarkStart w:id="9" w:name="список-литературы"/>
      <w:r>
        <w:t>Список литературы</w:t>
      </w:r>
    </w:p>
    <w:p>
      <w:bookmarkStart w:id="10" w:name="ref-birch1957meanings"/>
      <w:bookmarkStart w:id="11" w:name="refs"/>
      <w:r>
        <w:t xml:space="preserve">Birch, L Charles. 1957. “The Meanings of Competition.” </w:t>
      </w:r>
      <w:r>
        <w:rPr>
          <w:i/>
          <w:iCs/>
        </w:rPr>
        <w:t>The American Naturalist</w:t>
      </w:r>
      <w:r>
        <w:t xml:space="preserve"> 91 (856): 5–18.</w:t>
      </w:r>
    </w:p>
    <w:bookmarkEnd w:id="10"/>
    <w:p>
      <w:bookmarkStart w:id="12" w:name="ref-brown1952some"/>
      <w:r>
        <w:t xml:space="preserve">Brown, CH. 1952. “Some Structural Proteins of Mytilus Edulis.” </w:t>
      </w:r>
      <w:r>
        <w:rPr>
          <w:i/>
          <w:iCs/>
        </w:rPr>
        <w:t>Journal of Cell Science</w:t>
      </w:r>
      <w:r>
        <w:t xml:space="preserve"> 3 (24): 487–502.</w:t>
      </w:r>
    </w:p>
    <w:bookmarkEnd w:id="12"/>
    <w:p>
      <w:bookmarkStart w:id="13" w:name="ref-gause2019struggle"/>
      <w:r>
        <w:t xml:space="preserve">Gause, George Francis. 2019. </w:t>
      </w:r>
      <w:r>
        <w:rPr>
          <w:i/>
          <w:iCs/>
        </w:rPr>
        <w:t>The Struggle for Existence: A Classic of Mathematical Biology and Ecology</w:t>
      </w:r>
      <w:r>
        <w:t>. Courier Dover Publications.</w:t>
      </w:r>
    </w:p>
    <w:bookmarkEnd w:id="13"/>
    <w:p>
      <w:bookmarkStart w:id="14" w:name="ref-katolikova2016genetic"/>
      <w: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t xml:space="preserve"> 11 (4): e0152963.</w:t>
      </w:r>
    </w:p>
    <w:bookmarkEnd w:id="14"/>
    <w:p>
      <w:bookmarkStart w:id="15" w:name="ref-kautsky1982growth"/>
      <w:r>
        <w:t xml:space="preserve">Kautsky, N. 1982. “Growth and Size Structure in a Baltic Mytilus Edulis Population.” </w:t>
      </w:r>
      <w:r>
        <w:rPr>
          <w:i/>
          <w:iCs/>
        </w:rPr>
        <w:t>Marine Biology</w:t>
      </w:r>
      <w:r>
        <w:t xml:space="preserve"> 68: 117–33.</w:t>
      </w:r>
    </w:p>
    <w:bookmarkEnd w:id="15"/>
    <w:p>
      <w:bookmarkStart w:id="16" w:name="ref-khaitov2016cycle"/>
      <w:r>
        <w:t xml:space="preserve">Khaitov, Vadim M, and Natalia V Lentsman. 2016. “The Cycle of Mussels: Long-Term Dynamics of Mussel Beds on Intertidal Soft Bottoms at the White Sea.” </w:t>
      </w:r>
      <w:r>
        <w:rPr>
          <w:i/>
          <w:iCs/>
        </w:rPr>
        <w:t>Hydrobiologia</w:t>
      </w:r>
      <w:r>
        <w:t xml:space="preserve"> 781: 161–80.</w:t>
      </w:r>
    </w:p>
    <w:bookmarkEnd w:id="16"/>
    <w:p>
      <w:bookmarkStart w:id="17" w:name="ref-koehn1991genetics"/>
      <w:r>
        <w:t xml:space="preserve">Koehn, Richard K. 1991. “The Genetics and Taxonomy of Species in the Genus Mytilus.” </w:t>
      </w:r>
      <w:r>
        <w:rPr>
          <w:i/>
          <w:iCs/>
        </w:rPr>
        <w:t>Aquaculture</w:t>
      </w:r>
      <w:r>
        <w:t xml:space="preserve"> 94 (2-3): 125–45.</w:t>
      </w:r>
    </w:p>
    <w:bookmarkEnd w:id="17"/>
    <w:p>
      <w:bookmarkStart w:id="18" w:name="ref-emmeans"/>
      <w:r>
        <w:t xml:space="preserve">Lenth, Russell V. 2023. </w:t>
      </w:r>
      <w:r>
        <w:rPr>
          <w:i/>
          <w:iCs/>
        </w:rPr>
        <w:t>Emmeans: Estimated Marginal Means, Aka Least-Squares Means</w:t>
      </w:r>
      <w:r>
        <w:t xml:space="preserve">. </w:t>
      </w:r>
      <w:r>
        <w:fldChar w:fldCharType="begin"/>
      </w:r>
      <w:r>
        <w:instrText xml:space="preserve"> HYPERLINK "https://CRAN.R-project.org/package=emmeans" \h </w:instrText>
      </w:r>
      <w:r>
        <w:fldChar w:fldCharType="separate"/>
      </w:r>
      <w:r>
        <w:rPr>
          <w:rStyle w:val="12"/>
        </w:rPr>
        <w:t>https://CRAN.R-project.org/package=emmeans</w:t>
      </w:r>
      <w:r>
        <w:rPr>
          <w:rStyle w:val="12"/>
        </w:rPr>
        <w:fldChar w:fldCharType="end"/>
      </w:r>
      <w:r>
        <w:t>.</w:t>
      </w:r>
    </w:p>
    <w:bookmarkEnd w:id="18"/>
    <w:p>
      <w:bookmarkStart w:id="19" w:name="ref-liu2011aggregational"/>
      <w:r>
        <w:t xml:space="preserve">Liu, Guangxu, Erin Stapleton, David Innes, and Raymond Thompson. 2011. “Aggregational Behavior of the Blue Mussels Mytilus Edulis and Mytilus Trossulus: A Potential Pre-Zygotic Reproductive Isolation Mechanism.” </w:t>
      </w:r>
      <w:r>
        <w:rPr>
          <w:i/>
          <w:iCs/>
        </w:rPr>
        <w:t>Marine Ecology</w:t>
      </w:r>
      <w:r>
        <w:t xml:space="preserve"> 32 (4): 480–87.</w:t>
      </w:r>
    </w:p>
    <w:bookmarkEnd w:id="19"/>
    <w:p>
      <w:bookmarkStart w:id="20" w:name="ref-mcdonald1991allozymes"/>
      <w:r>
        <w:t xml:space="preserve">McDonald, JH, Ray Seed, and RK Koehn. 1991. “Allozymes and Morphometric Characters of Three Species of Mytilus in the Northern and Southern Hemispheres.” </w:t>
      </w:r>
      <w:r>
        <w:rPr>
          <w:i/>
          <w:iCs/>
        </w:rPr>
        <w:t>Marine Biology</w:t>
      </w:r>
      <w:r>
        <w:t xml:space="preserve"> 111: 323–33.</w:t>
      </w:r>
    </w:p>
    <w:bookmarkEnd w:id="20"/>
    <w:p>
      <w:bookmarkStart w:id="21" w:name="ref-Rstatistics"/>
      <w:r>
        <w:t xml:space="preserve">R Core Team. 2023. </w:t>
      </w:r>
      <w:r>
        <w:rPr>
          <w:i/>
          <w:iCs/>
        </w:rPr>
        <w:t>R: A Language and Environment for Statistical Computing</w:t>
      </w:r>
      <w:r>
        <w:t xml:space="preserve">. Vienna, Austria: R Foundation for Statistical Computing. </w:t>
      </w:r>
      <w:r>
        <w:fldChar w:fldCharType="begin"/>
      </w:r>
      <w:r>
        <w:instrText xml:space="preserve"> HYPERLINK "https://www.R-project.org/" \h </w:instrText>
      </w:r>
      <w:r>
        <w:fldChar w:fldCharType="separate"/>
      </w:r>
      <w:r>
        <w:rPr>
          <w:rStyle w:val="12"/>
        </w:rPr>
        <w:t>https://www.R-project.org/</w:t>
      </w:r>
      <w:r>
        <w:rPr>
          <w:rStyle w:val="12"/>
        </w:rPr>
        <w:fldChar w:fldCharType="end"/>
      </w:r>
      <w:r>
        <w:t>.</w:t>
      </w:r>
    </w:p>
    <w:bookmarkEnd w:id="21"/>
    <w:p>
      <w:bookmarkStart w:id="22" w:name="ref-tamarin1976structure"/>
      <w:r>
        <w:t xml:space="preserve">Tamarin, Arnold, Pathicia Lewis, and Joan Askey. 1976. “The Structure and Formation of the Byssus Attachment Plaque in Mytilus.” </w:t>
      </w:r>
      <w:r>
        <w:rPr>
          <w:i/>
          <w:iCs/>
        </w:rPr>
        <w:t>Journal of Morphology</w:t>
      </w:r>
      <w:r>
        <w:t xml:space="preserve"> 149 (2): 199–221.</w:t>
      </w:r>
    </w:p>
    <w:bookmarkEnd w:id="22"/>
    <w:p>
      <w:bookmarkStart w:id="23" w:name="ref-vainola2011mytilus"/>
      <w:r>
        <w:t xml:space="preserve">Väinölä, Risto, and Petr Strelkov. 2011. “Mytilus Trossulus in Northern Europe.” </w:t>
      </w:r>
      <w:r>
        <w:rPr>
          <w:i/>
          <w:iCs/>
        </w:rPr>
        <w:t>Marine Biology</w:t>
      </w:r>
      <w:r>
        <w:t xml:space="preserve"> 158: 817–33.</w:t>
      </w:r>
    </w:p>
    <w:bookmarkEnd w:id="23"/>
    <w:p>
      <w:bookmarkStart w:id="24" w:name="ref-nuzhin2021"/>
      <w:r>
        <w:t>Нужин, Илья. n.d. “Избирательность Морских Звезд Asterias Rubens При Нападении На Мидий Mytilus Edulis и Mytilus Trossulus в Кандалакшском Заливе Белого Моря.”</w:t>
      </w:r>
    </w:p>
    <w:bookmarkEnd w:id="24"/>
    <w:p>
      <w:bookmarkStart w:id="25" w:name="ref-fediakov1986"/>
      <w:r>
        <w:t xml:space="preserve">Федяков, Вячеслав Викторович. 1986. </w:t>
      </w:r>
      <w:r>
        <w:rPr>
          <w:i/>
          <w:iCs/>
        </w:rPr>
        <w:t>Закономерности Распределения Моллюсков Белого Моря</w:t>
      </w:r>
      <w:r>
        <w:t>. Akademija nauk SSSR Zoologicheskij Institut.</w:t>
      </w:r>
    </w:p>
    <w:bookmarkEnd w:id="25"/>
    <w:p>
      <w:bookmarkStart w:id="26" w:name="ref-shalagaeva"/>
      <w:r>
        <w:t xml:space="preserve">Шалагаева, М. 2018. “Биссусные Прикрепления Mytilus Edulis Linnaeus, 1758 и m. Trossulus Gould, 1850: Механизм Подавления Конкурента.” </w:t>
      </w:r>
      <w:r>
        <w:rPr>
          <w:i/>
          <w:iCs/>
        </w:rPr>
        <w:t>Работа Депонирована в Библиотеке Лаборатории Экологии Морского Бентоса (Гидробиологии)</w:t>
      </w:r>
      <w:r>
        <w:t>.</w:t>
      </w:r>
    </w:p>
    <w:bookmarkEnd w:id="26"/>
    <w:p>
      <w:bookmarkStart w:id="27" w:name="ref-shelamova2022"/>
      <w:r>
        <w:t>Шеламова, В. 2022. “Механизм Конкуренции Мидий Mytilus Edulis Linnaeus, 1758иM. Trossulus Gould, 1850.”</w:t>
      </w:r>
    </w:p>
    <w:bookmarkEnd w:id="9"/>
    <w:bookmarkEnd w:id="11"/>
    <w:bookmarkEnd w:id="27"/>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3"/>
      </w:rPr>
    </w:pPr>
    <w:r>
      <w:rPr>
        <w:rStyle w:val="13"/>
      </w:rPr>
      <w:fldChar w:fldCharType="begin"/>
    </w:r>
    <w:r>
      <w:rPr>
        <w:rStyle w:val="13"/>
      </w:rPr>
      <w:instrText xml:space="preserve">PAGE  </w:instrText>
    </w:r>
    <w:r>
      <w:rPr>
        <w:rStyle w:val="13"/>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360"/>
      </w:pPr>
      <w:r>
        <w:separator/>
      </w:r>
    </w:p>
  </w:footnote>
  <w:footnote w:type="continuationSeparator" w:id="1">
    <w:p>
      <w:pPr>
        <w:spacing w:before="0" w:after="0" w:line="360" w:lineRule="auto"/>
        <w:ind w:firstLine="3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2453C"/>
    <w:rsid w:val="6E4533BB"/>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360" w:lineRule="auto"/>
      <w:ind w:firstLine="360" w:firstLineChars="15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4"/>
    <w:link w:val="30"/>
    <w:qFormat/>
    <w:uiPriority w:val="0"/>
    <w:pPr>
      <w:keepNext/>
      <w:widowControl w:val="0"/>
      <w:autoSpaceDE w:val="0"/>
      <w:autoSpaceDN w:val="0"/>
      <w:adjustRightInd w:val="0"/>
      <w:spacing w:before="360" w:after="180"/>
      <w:ind w:firstLine="600" w:firstLineChars="250"/>
      <w:jc w:val="center"/>
      <w:outlineLvl w:val="1"/>
    </w:pPr>
    <w:rPr>
      <w:rFonts w:ascii="Times New Roman" w:hAnsi="Times New Roman" w:eastAsia="Times New Roman" w:cs="Cambria"/>
      <w:b/>
      <w:bCs/>
      <w:iCs/>
      <w:sz w:val="28"/>
      <w:szCs w:val="28"/>
    </w:rPr>
  </w:style>
  <w:style w:type="paragraph" w:styleId="5">
    <w:name w:val="heading 3"/>
    <w:basedOn w:val="4"/>
    <w:next w:val="4"/>
    <w:unhideWhenUsed/>
    <w:qFormat/>
    <w:uiPriority w:val="9"/>
    <w:pPr>
      <w:keepNext/>
      <w:widowControl/>
      <w:spacing w:before="240" w:after="60"/>
      <w:jc w:val="center"/>
      <w:outlineLvl w:val="2"/>
    </w:pPr>
    <w:rPr>
      <w:rFonts w:ascii="Arial" w:hAnsi="Arial" w:eastAsia="Times New Roman" w:cs="Arial"/>
      <w:bCs/>
      <w:i/>
      <w:szCs w:val="24"/>
    </w:rPr>
  </w:style>
  <w:style w:type="paragraph" w:styleId="6">
    <w:name w:val="heading 4"/>
    <w:basedOn w:val="1"/>
    <w:next w:val="1"/>
    <w:qFormat/>
    <w:uiPriority w:val="0"/>
    <w:pPr>
      <w:keepNext/>
      <w:spacing w:before="240" w:after="60"/>
      <w:ind w:firstLine="0"/>
      <w:outlineLvl w:val="3"/>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34"/>
    <w:qFormat/>
    <w:uiPriority w:val="0"/>
    <w:pPr>
      <w:jc w:val="both"/>
    </w:pPr>
    <w:rPr>
      <w:rFonts w:ascii="Times New Roman" w:hAnsi="Times New Roman" w:eastAsia="Times New Roman"/>
    </w:rPr>
  </w:style>
  <w:style w:type="character" w:styleId="9">
    <w:name w:val="FollowedHyperlink"/>
    <w:basedOn w:val="7"/>
    <w:qFormat/>
    <w:uiPriority w:val="0"/>
    <w:rPr>
      <w:color w:val="800080"/>
      <w:u w:val="single"/>
    </w:rPr>
  </w:style>
  <w:style w:type="character" w:styleId="10">
    <w:name w:val="footnote reference"/>
    <w:basedOn w:val="7"/>
    <w:semiHidden/>
    <w:qFormat/>
    <w:uiPriority w:val="0"/>
    <w:rPr>
      <w:vertAlign w:val="superscript"/>
    </w:rPr>
  </w:style>
  <w:style w:type="character" w:styleId="11">
    <w:name w:val="Emphasis"/>
    <w:basedOn w:val="7"/>
    <w:qFormat/>
    <w:uiPriority w:val="0"/>
    <w:rPr>
      <w:b/>
      <w:bCs/>
    </w:rPr>
  </w:style>
  <w:style w:type="character" w:styleId="12">
    <w:name w:val="Hyperlink"/>
    <w:basedOn w:val="7"/>
    <w:qFormat/>
    <w:uiPriority w:val="0"/>
    <w:rPr>
      <w:color w:val="0000FF"/>
      <w:u w:val="single"/>
    </w:rPr>
  </w:style>
  <w:style w:type="character" w:styleId="13">
    <w:name w:val="page number"/>
    <w:basedOn w:val="7"/>
    <w:qFormat/>
    <w:uiPriority w:val="0"/>
  </w:style>
  <w:style w:type="character" w:styleId="14">
    <w:name w:val="line number"/>
    <w:basedOn w:val="7"/>
    <w:semiHidden/>
    <w:unhideWhenUsed/>
    <w:qFormat/>
    <w:uiPriority w:val="99"/>
  </w:style>
  <w:style w:type="character" w:styleId="15">
    <w:name w:val="Strong"/>
    <w:basedOn w:val="7"/>
    <w:qFormat/>
    <w:uiPriority w:val="0"/>
    <w:rPr>
      <w:b/>
      <w:bCs/>
    </w:rPr>
  </w:style>
  <w:style w:type="paragraph" w:styleId="16">
    <w:name w:val="Balloon Text"/>
    <w:basedOn w:val="1"/>
    <w:link w:val="39"/>
    <w:semiHidden/>
    <w:qFormat/>
    <w:uiPriority w:val="0"/>
    <w:pPr>
      <w:widowControl w:val="0"/>
      <w:autoSpaceDE w:val="0"/>
      <w:autoSpaceDN w:val="0"/>
      <w:adjustRightInd w:val="0"/>
    </w:pPr>
    <w:rPr>
      <w:sz w:val="0"/>
      <w:szCs w:val="0"/>
    </w:rPr>
  </w:style>
  <w:style w:type="paragraph" w:styleId="17">
    <w:name w:val="Body Text 2"/>
    <w:basedOn w:val="1"/>
    <w:qFormat/>
    <w:uiPriority w:val="0"/>
    <w:pPr>
      <w:spacing w:after="240"/>
      <w:ind w:firstLine="0"/>
    </w:pPr>
    <w:rPr>
      <w:sz w:val="28"/>
    </w:rPr>
  </w:style>
  <w:style w:type="paragraph" w:styleId="18">
    <w:name w:val="Plain Text"/>
    <w:basedOn w:val="1"/>
    <w:qFormat/>
    <w:uiPriority w:val="0"/>
    <w:pPr>
      <w:ind w:firstLine="0"/>
    </w:pPr>
    <w:rPr>
      <w:rFonts w:ascii="Courier New" w:hAnsi="Courier New"/>
      <w:sz w:val="20"/>
    </w:rPr>
  </w:style>
  <w:style w:type="paragraph" w:styleId="19">
    <w:name w:val="Body Text Indent 3"/>
    <w:basedOn w:val="1"/>
    <w:qFormat/>
    <w:uiPriority w:val="0"/>
    <w:pPr>
      <w:ind w:left="283"/>
    </w:pPr>
    <w:rPr>
      <w:sz w:val="16"/>
      <w:szCs w:val="16"/>
    </w:rPr>
  </w:style>
  <w:style w:type="paragraph" w:styleId="20">
    <w:name w:val="footnote text"/>
    <w:basedOn w:val="1"/>
    <w:link w:val="44"/>
    <w:semiHidden/>
    <w:qFormat/>
    <w:uiPriority w:val="0"/>
    <w:pPr>
      <w:ind w:firstLine="0"/>
    </w:pPr>
    <w:rPr>
      <w:sz w:val="20"/>
    </w:rPr>
  </w:style>
  <w:style w:type="paragraph" w:styleId="21">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2">
    <w:name w:val="Body Text Indent"/>
    <w:basedOn w:val="1"/>
    <w:link w:val="33"/>
    <w:qFormat/>
    <w:uiPriority w:val="0"/>
    <w:pPr>
      <w:ind w:left="283" w:firstLine="0"/>
    </w:pPr>
  </w:style>
  <w:style w:type="paragraph" w:styleId="23">
    <w:name w:val="Title"/>
    <w:basedOn w:val="2"/>
    <w:link w:val="46"/>
    <w:qFormat/>
    <w:uiPriority w:val="0"/>
  </w:style>
  <w:style w:type="paragraph" w:styleId="24">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2147483648" w:beforeAutospacing="1" w:after="-2147483648" w:afterAutospacing="1"/>
      <w:ind w:firstLine="0"/>
      <w:jc w:val="both"/>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qFormat/>
    <w:uiPriority w:val="0"/>
    <w:pPr>
      <w:ind w:left="283"/>
    </w:pPr>
  </w:style>
  <w:style w:type="table" w:styleId="28">
    <w:name w:val="Table Grid"/>
    <w:basedOn w:val="8"/>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7"/>
    <w:link w:val="2"/>
    <w:qFormat/>
    <w:uiPriority w:val="0"/>
    <w:rPr>
      <w:rFonts w:ascii="Arial" w:hAnsi="Arial" w:eastAsia="Times New Roman" w:cs="Arial"/>
      <w:b/>
      <w:sz w:val="32"/>
      <w:szCs w:val="32"/>
    </w:rPr>
  </w:style>
  <w:style w:type="character" w:customStyle="1" w:styleId="30">
    <w:name w:val="Заголовок 2 Знак"/>
    <w:basedOn w:val="7"/>
    <w:link w:val="3"/>
    <w:qFormat/>
    <w:locked/>
    <w:uiPriority w:val="0"/>
    <w:rPr>
      <w:rFonts w:ascii="Times New Roman" w:hAnsi="Times New Roman" w:eastAsia="Times New Roman" w:cs="Cambria"/>
      <w:b/>
      <w:bCs/>
      <w:iCs/>
      <w:sz w:val="28"/>
      <w:szCs w:val="28"/>
    </w:rPr>
  </w:style>
  <w:style w:type="paragraph" w:customStyle="1" w:styleId="31">
    <w:name w:val="Дерюгин 2"/>
    <w:basedOn w:val="1"/>
    <w:qFormat/>
    <w:uiPriority w:val="0"/>
    <w:rPr>
      <w:b/>
    </w:rPr>
  </w:style>
  <w:style w:type="character" w:customStyle="1" w:styleId="32">
    <w:name w:val="Основной текст с отступом 2 Знак"/>
    <w:basedOn w:val="7"/>
    <w:link w:val="27"/>
    <w:semiHidden/>
    <w:qFormat/>
    <w:uiPriority w:val="0"/>
    <w:rPr>
      <w:sz w:val="24"/>
      <w:lang w:val="ru-RU" w:eastAsia="ru-RU" w:bidi="ar-SA"/>
    </w:rPr>
  </w:style>
  <w:style w:type="character" w:customStyle="1" w:styleId="33">
    <w:name w:val="Основной текст с отступом Знак"/>
    <w:basedOn w:val="7"/>
    <w:link w:val="22"/>
    <w:semiHidden/>
    <w:qFormat/>
    <w:uiPriority w:val="0"/>
    <w:rPr>
      <w:sz w:val="24"/>
      <w:szCs w:val="24"/>
      <w:lang w:val="ru-RU" w:eastAsia="ru-RU" w:bidi="ar-SA"/>
    </w:rPr>
  </w:style>
  <w:style w:type="character" w:customStyle="1" w:styleId="34">
    <w:name w:val="Основной текст Знак"/>
    <w:basedOn w:val="7"/>
    <w:link w:val="4"/>
    <w:qFormat/>
    <w:uiPriority w:val="0"/>
    <w:rPr>
      <w:rFonts w:ascii="Times New Roman" w:hAnsi="Times New Roman" w:eastAsia="Times New Roman"/>
      <w:sz w:val="24"/>
      <w:szCs w:val="24"/>
    </w:rPr>
  </w:style>
  <w:style w:type="character" w:customStyle="1" w:styleId="35">
    <w:name w:val="Heading 2 Char"/>
    <w:basedOn w:val="7"/>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7"/>
    <w:link w:val="24"/>
    <w:qFormat/>
    <w:locked/>
    <w:uiPriority w:val="99"/>
    <w:rPr>
      <w:rFonts w:ascii="Courier New" w:hAnsi="Courier New" w:cs="Courier New"/>
      <w:sz w:val="24"/>
      <w:szCs w:val="24"/>
      <w:lang w:val="ru-RU" w:eastAsia="ru-RU" w:bidi="ar-SA"/>
    </w:rPr>
  </w:style>
  <w:style w:type="character" w:customStyle="1" w:styleId="37">
    <w:name w:val="Footer Char"/>
    <w:basedOn w:val="7"/>
    <w:semiHidden/>
    <w:qFormat/>
    <w:uiPriority w:val="0"/>
    <w:rPr>
      <w:rFonts w:ascii="Courier New" w:hAnsi="Courier New" w:cs="Courier New"/>
      <w:sz w:val="24"/>
      <w:szCs w:val="24"/>
    </w:rPr>
  </w:style>
  <w:style w:type="character" w:customStyle="1" w:styleId="38">
    <w:name w:val="Верхний колонтитул Знак"/>
    <w:basedOn w:val="7"/>
    <w:link w:val="21"/>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7"/>
    <w:link w:val="16"/>
    <w:semiHidden/>
    <w:qFormat/>
    <w:uiPriority w:val="0"/>
    <w:rPr>
      <w:sz w:val="0"/>
      <w:szCs w:val="0"/>
      <w:lang w:val="ru-RU" w:eastAsia="ru-RU" w:bidi="ar-SA"/>
    </w:rPr>
  </w:style>
  <w:style w:type="character" w:customStyle="1" w:styleId="40">
    <w:name w:val="Знак4"/>
    <w:basedOn w:val="7"/>
    <w:qFormat/>
    <w:locked/>
    <w:uiPriority w:val="0"/>
    <w:rPr>
      <w:sz w:val="28"/>
      <w:szCs w:val="28"/>
    </w:rPr>
  </w:style>
  <w:style w:type="character" w:customStyle="1" w:styleId="41">
    <w:name w:val="Знак3"/>
    <w:basedOn w:val="7"/>
    <w:qFormat/>
    <w:locked/>
    <w:uiPriority w:val="0"/>
    <w:rPr>
      <w:rFonts w:ascii="Courier New" w:hAnsi="Courier New" w:cs="Courier New"/>
      <w:sz w:val="24"/>
      <w:szCs w:val="24"/>
    </w:rPr>
  </w:style>
  <w:style w:type="character" w:customStyle="1" w:styleId="42">
    <w:name w:val="Знак2"/>
    <w:basedOn w:val="7"/>
    <w:semiHidden/>
    <w:qFormat/>
    <w:locked/>
    <w:uiPriority w:val="0"/>
    <w:rPr>
      <w:rFonts w:ascii="Courier New" w:hAnsi="Courier New" w:cs="Courier New"/>
      <w:sz w:val="24"/>
      <w:szCs w:val="24"/>
    </w:rPr>
  </w:style>
  <w:style w:type="character" w:customStyle="1" w:styleId="43">
    <w:name w:val="Знак9"/>
    <w:basedOn w:val="7"/>
    <w:qFormat/>
    <w:locked/>
    <w:uiPriority w:val="0"/>
    <w:rPr>
      <w:b/>
      <w:bCs/>
    </w:rPr>
  </w:style>
  <w:style w:type="character" w:customStyle="1" w:styleId="44">
    <w:name w:val="Текст сноски Знак"/>
    <w:basedOn w:val="7"/>
    <w:link w:val="20"/>
    <w:semiHidden/>
    <w:qFormat/>
    <w:locked/>
    <w:uiPriority w:val="0"/>
    <w:rPr>
      <w:lang w:val="ru-RU" w:eastAsia="ru-RU" w:bidi="ar-SA"/>
    </w:rPr>
  </w:style>
  <w:style w:type="character" w:customStyle="1" w:styleId="45">
    <w:name w:val="Footnote Text Char"/>
    <w:basedOn w:val="7"/>
    <w:semiHidden/>
    <w:qFormat/>
    <w:uiPriority w:val="0"/>
    <w:rPr>
      <w:rFonts w:ascii="Courier New" w:hAnsi="Courier New" w:cs="Courier New"/>
      <w:sz w:val="20"/>
      <w:szCs w:val="20"/>
    </w:rPr>
  </w:style>
  <w:style w:type="character" w:customStyle="1" w:styleId="46">
    <w:name w:val="Название Знак"/>
    <w:basedOn w:val="7"/>
    <w:link w:val="23"/>
    <w:qFormat/>
    <w:locked/>
    <w:uiPriority w:val="0"/>
    <w:rPr>
      <w:rFonts w:ascii="Arial" w:hAnsi="Arial" w:eastAsia="Times New Roman"/>
      <w:sz w:val="36"/>
    </w:rPr>
  </w:style>
  <w:style w:type="character" w:customStyle="1" w:styleId="47">
    <w:name w:val="Title Char"/>
    <w:basedOn w:val="7"/>
    <w:qFormat/>
    <w:uiPriority w:val="0"/>
    <w:rPr>
      <w:rFonts w:ascii="Cambria" w:hAnsi="Cambria" w:eastAsia="Times New Roman" w:cs="Times New Roman"/>
      <w:b/>
      <w:bCs/>
      <w:kern w:val="28"/>
      <w:sz w:val="32"/>
      <w:szCs w:val="32"/>
    </w:rPr>
  </w:style>
  <w:style w:type="character" w:customStyle="1" w:styleId="48">
    <w:name w:val="spelle"/>
    <w:basedOn w:val="7"/>
    <w:qFormat/>
    <w:uiPriority w:val="0"/>
  </w:style>
  <w:style w:type="character" w:customStyle="1" w:styleId="49">
    <w:name w:val="grame"/>
    <w:basedOn w:val="7"/>
    <w:qFormat/>
    <w:uiPriority w:val="0"/>
  </w:style>
  <w:style w:type="character" w:customStyle="1" w:styleId="50">
    <w:name w:val="ref-journal"/>
    <w:basedOn w:val="7"/>
    <w:qFormat/>
    <w:uiPriority w:val="0"/>
  </w:style>
  <w:style w:type="character" w:customStyle="1" w:styleId="51">
    <w:name w:val="ref-vol"/>
    <w:basedOn w:val="7"/>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6"/>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8"/>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7"/>
    <w:qFormat/>
    <w:uiPriority w:val="0"/>
    <w:rPr>
      <w:rFonts w:ascii="Arial" w:hAnsi="Arial"/>
      <w:sz w:val="32"/>
    </w:rPr>
  </w:style>
  <w:style w:type="table" w:styleId="61">
    <w:name w:val="Light Shading"/>
    <w:basedOn w:val="8"/>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TotalTime>
  <ScaleCrop>false</ScaleCrop>
  <LinksUpToDate>false</LinksUpToDate>
  <CharactersWithSpaces>3680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2024-01-13T13:23:00Z</dcterms:created>
  <dc:creator>Андрей Шилонцев</dc:creator>
  <cp:lastModifiedBy>Andrey Shilontsev</cp:lastModifiedBy>
  <dcterms:modified xsi:type="dcterms:W3CDTF">2024-01-13T13:26:00Z</dcterms:modified>
  <dc:title>Исследование-конкурентных-отношений-беломорских-мидий-Mytilus-edulis-и-M.-trossilus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Materials/references_Mytred2023.bib</vt:lpwstr>
  </property>
  <property fmtid="{D5CDD505-2E9C-101B-9397-08002B2CF9AE}" pid="3" name="date">
    <vt:lpwstr>2023-12-20</vt:lpwstr>
  </property>
  <property fmtid="{D5CDD505-2E9C-101B-9397-08002B2CF9AE}" pid="4" name="html_document">
    <vt:lpwstr/>
  </property>
  <property fmtid="{D5CDD505-2E9C-101B-9397-08002B2CF9AE}" pid="5" name="output">
    <vt:lpwstr/>
  </property>
  <property fmtid="{D5CDD505-2E9C-101B-9397-08002B2CF9AE}" pid="6" name="KSOProductBuildVer">
    <vt:lpwstr>1049-12.2.0.13412</vt:lpwstr>
  </property>
  <property fmtid="{D5CDD505-2E9C-101B-9397-08002B2CF9AE}" pid="7" name="ICV">
    <vt:lpwstr>CDBCDB3FA14C49088CF219D381178477_12</vt:lpwstr>
  </property>
</Properties>
</file>