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AA640">
      <w:pPr>
        <w:widowControl w:val="0"/>
        <w:autoSpaceDE w:val="0"/>
        <w:autoSpaceDN w:val="0"/>
        <w:adjustRightInd w:val="0"/>
        <w:spacing w:after="0" w:line="240" w:lineRule="auto"/>
        <w:ind w:left="4253"/>
        <w:jc w:val="both"/>
        <w:rPr>
          <w:rFonts w:ascii="Times New Roman" w:hAnsi="Times New Roman" w:cs="Times New Roman"/>
          <w:sz w:val="24"/>
          <w:szCs w:val="24"/>
        </w:rPr>
      </w:pPr>
    </w:p>
    <w:p w14:paraId="75108E44">
      <w:pPr>
        <w:shd w:val="clear" w:color="auto" w:fill="FFFFFF"/>
        <w:spacing w:after="0" w:line="240" w:lineRule="auto"/>
        <w:jc w:val="center"/>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Постгляциальная палеосукцессия локального сообщества бентоса в Белом море</w:t>
      </w:r>
    </w:p>
    <w:p w14:paraId="2DD75C74">
      <w:pPr>
        <w:shd w:val="clear" w:color="auto" w:fill="FFFFFF"/>
        <w:spacing w:after="0" w:line="240" w:lineRule="auto"/>
        <w:jc w:val="center"/>
        <w:rPr>
          <w:rFonts w:ascii="Times New Roman" w:hAnsi="Times New Roman" w:eastAsia="Times New Roman" w:cs="Times New Roman"/>
          <w:sz w:val="24"/>
          <w:szCs w:val="24"/>
          <w:lang w:eastAsia="ru-RU"/>
        </w:rPr>
      </w:pPr>
    </w:p>
    <w:p w14:paraId="1F492B0B">
      <w:pPr>
        <w:widowControl w:val="0"/>
        <w:autoSpaceDE w:val="0"/>
        <w:autoSpaceDN w:val="0"/>
        <w:adjustRightInd w:val="0"/>
        <w:spacing w:after="0" w:line="240" w:lineRule="auto"/>
        <w:jc w:val="both"/>
        <w:rPr>
          <w:rFonts w:hint="default" w:ascii="Times New Roman" w:hAnsi="Times New Roman" w:cs="Times New Roman"/>
          <w:b w:val="0"/>
          <w:bCs/>
          <w:i/>
          <w:iCs/>
          <w:sz w:val="24"/>
          <w:szCs w:val="24"/>
          <w:lang w:val="ru-RU"/>
        </w:rPr>
      </w:pPr>
      <w:r>
        <w:rPr>
          <w:rFonts w:ascii="Times New Roman" w:hAnsi="Times New Roman" w:cs="Times New Roman"/>
          <w:b w:val="0"/>
          <w:bCs/>
          <w:i/>
          <w:iCs/>
          <w:sz w:val="24"/>
          <w:szCs w:val="24"/>
        </w:rPr>
        <w:t>Башилов К</w:t>
      </w:r>
      <w:r>
        <w:rPr>
          <w:rFonts w:hint="default" w:ascii="Times New Roman" w:hAnsi="Times New Roman" w:cs="Times New Roman"/>
          <w:b w:val="0"/>
          <w:bCs/>
          <w:i/>
          <w:iCs/>
          <w:sz w:val="24"/>
          <w:szCs w:val="24"/>
          <w:lang w:val="ru-RU"/>
        </w:rPr>
        <w:t>.</w:t>
      </w:r>
      <w:r>
        <w:rPr>
          <w:rFonts w:ascii="Times New Roman" w:hAnsi="Times New Roman" w:cs="Times New Roman"/>
          <w:b w:val="0"/>
          <w:bCs/>
          <w:i/>
          <w:iCs/>
          <w:sz w:val="24"/>
          <w:szCs w:val="24"/>
        </w:rPr>
        <w:t xml:space="preserve"> В</w:t>
      </w:r>
      <w:r>
        <w:rPr>
          <w:rFonts w:hint="default" w:ascii="Times New Roman" w:hAnsi="Times New Roman" w:cs="Times New Roman"/>
          <w:b w:val="0"/>
          <w:bCs/>
          <w:i/>
          <w:iCs/>
          <w:sz w:val="24"/>
          <w:szCs w:val="24"/>
          <w:lang w:val="ru-RU"/>
        </w:rPr>
        <w:t>.</w:t>
      </w:r>
      <w:r>
        <w:rPr>
          <w:i/>
          <w:sz w:val="22"/>
          <w:vertAlign w:val="superscript"/>
        </w:rPr>
        <w:t>1</w:t>
      </w:r>
      <w:r>
        <w:rPr>
          <w:i/>
          <w:sz w:val="22"/>
        </w:rPr>
        <w:t>*,</w:t>
      </w:r>
      <w:r>
        <w:rPr>
          <w:i/>
          <w:sz w:val="22"/>
          <w:lang w:val="ru-RU"/>
        </w:rPr>
        <w:t>Хайтов</w:t>
      </w:r>
      <w:r>
        <w:rPr>
          <w:rFonts w:hint="default"/>
          <w:i/>
          <w:sz w:val="22"/>
          <w:lang w:val="ru-RU"/>
        </w:rPr>
        <w:t xml:space="preserve"> В. М. </w:t>
      </w:r>
      <w:r>
        <w:rPr>
          <w:rFonts w:hint="default"/>
          <w:i/>
          <w:sz w:val="22"/>
          <w:vertAlign w:val="superscript"/>
          <w:lang w:val="ru-RU"/>
        </w:rPr>
        <w:t>1,2</w:t>
      </w:r>
    </w:p>
    <w:p w14:paraId="334D39C7">
      <w:pPr>
        <w:shd w:val="clear" w:color="auto" w:fill="FFFFFF"/>
        <w:spacing w:after="0" w:line="240" w:lineRule="auto"/>
        <w:jc w:val="center"/>
        <w:rPr>
          <w:rFonts w:ascii="Times New Roman" w:hAnsi="Times New Roman" w:eastAsia="Times New Roman" w:cs="Times New Roman"/>
          <w:sz w:val="24"/>
          <w:szCs w:val="24"/>
          <w:lang w:eastAsia="ru-RU"/>
        </w:rPr>
      </w:pPr>
    </w:p>
    <w:p w14:paraId="74F1D9F9">
      <w:pPr>
        <w:autoSpaceDE w:val="0"/>
        <w:autoSpaceDN w:val="0"/>
        <w:adjustRightInd w:val="0"/>
        <w:spacing w:after="0" w:line="360" w:lineRule="auto"/>
        <w:rPr>
          <w:rFonts w:hint="default"/>
          <w:sz w:val="22"/>
          <w:vertAlign w:val="baseline"/>
          <w:lang w:val="ru-RU"/>
        </w:rPr>
      </w:pPr>
      <w:r>
        <w:rPr>
          <w:sz w:val="22"/>
          <w:vertAlign w:val="superscript"/>
        </w:rPr>
        <w:t>1</w:t>
      </w:r>
      <w:r>
        <w:rPr>
          <w:rFonts w:hint="default"/>
          <w:sz w:val="22"/>
          <w:vertAlign w:val="superscript"/>
          <w:lang w:val="ru-RU"/>
        </w:rPr>
        <w:t xml:space="preserve"> </w:t>
      </w:r>
      <w:r>
        <w:rPr>
          <w:rFonts w:hint="default"/>
          <w:sz w:val="22"/>
          <w:vertAlign w:val="baseline"/>
          <w:lang w:val="ru-RU"/>
        </w:rPr>
        <w:t xml:space="preserve">Лаборатория экологии морского бентоса (гидробиологии). ЭБЦ «Крестовский остров» </w:t>
      </w:r>
    </w:p>
    <w:p w14:paraId="0F31D6FE">
      <w:pPr>
        <w:autoSpaceDE w:val="0"/>
        <w:autoSpaceDN w:val="0"/>
        <w:adjustRightInd w:val="0"/>
        <w:spacing w:after="0" w:line="360" w:lineRule="auto"/>
        <w:rPr>
          <w:sz w:val="22"/>
        </w:rPr>
      </w:pPr>
      <w:r>
        <w:rPr>
          <w:sz w:val="22"/>
          <w:vertAlign w:val="superscript"/>
        </w:rPr>
        <w:t>2</w:t>
      </w:r>
      <w:r>
        <w:rPr>
          <w:sz w:val="22"/>
        </w:rPr>
        <w:t xml:space="preserve">  Санкт-Петербургский государственный университет, кафедра зоологии беспозвоночных, Санкт-Петербург</w:t>
      </w:r>
    </w:p>
    <w:p w14:paraId="3B3A4C92">
      <w:pPr>
        <w:autoSpaceDE w:val="0"/>
        <w:autoSpaceDN w:val="0"/>
        <w:adjustRightInd w:val="0"/>
        <w:spacing w:after="0" w:line="360" w:lineRule="auto"/>
        <w:rPr>
          <w:rFonts w:hint="default"/>
          <w:sz w:val="22"/>
          <w:lang w:val="ru-RU"/>
        </w:rPr>
      </w:pPr>
      <w:r>
        <w:rPr>
          <w:sz w:val="22"/>
          <w:lang w:val="en-US"/>
        </w:rPr>
        <w:t>e</w:t>
      </w:r>
      <w:r>
        <w:rPr>
          <w:sz w:val="22"/>
        </w:rPr>
        <w:t>-</w:t>
      </w:r>
      <w:r>
        <w:rPr>
          <w:sz w:val="22"/>
          <w:lang w:val="en-US"/>
        </w:rPr>
        <w:t>mail</w:t>
      </w:r>
      <w:r>
        <w:rPr>
          <w:sz w:val="22"/>
        </w:rPr>
        <w:t xml:space="preserve">: </w:t>
      </w:r>
      <w:r>
        <w:rPr>
          <w:rFonts w:hint="default"/>
          <w:sz w:val="22"/>
          <w:lang w:val="ru-RU"/>
        </w:rPr>
        <w:t>+++++</w:t>
      </w:r>
    </w:p>
    <w:p w14:paraId="59FEAA01">
      <w:pPr>
        <w:shd w:val="clear" w:color="auto" w:fill="FFFFFF"/>
        <w:spacing w:after="0" w:line="240" w:lineRule="auto"/>
        <w:jc w:val="center"/>
        <w:rPr>
          <w:rFonts w:ascii="Times New Roman" w:hAnsi="Times New Roman" w:eastAsia="Times New Roman" w:cs="Times New Roman"/>
          <w:sz w:val="24"/>
          <w:szCs w:val="24"/>
          <w:lang w:eastAsia="ru-RU"/>
        </w:rPr>
      </w:pPr>
    </w:p>
    <w:p w14:paraId="6355FABE">
      <w:pPr>
        <w:spacing w:after="0" w:line="240" w:lineRule="auto"/>
        <w:rPr>
          <w:rFonts w:hint="default" w:ascii="Times New Roman" w:hAnsi="Times New Roman" w:cs="Times New Roman"/>
          <w:sz w:val="24"/>
          <w:szCs w:val="24"/>
          <w:lang w:val="ru-RU"/>
        </w:rPr>
      </w:pPr>
      <w:r>
        <w:rPr>
          <w:rFonts w:ascii="Times New Roman" w:hAnsi="Times New Roman" w:cs="Times New Roman"/>
          <w:sz w:val="24"/>
          <w:szCs w:val="24"/>
        </w:rPr>
        <w:t xml:space="preserve">В данной работе рассматривается смена биологических сообществ в гренландском ярусе голоцена четвертичного периода, обусловленная началом межледникового, регрессией Белого моря и подъемом Балтийского щита. В ходе работы был выполнен разрез комплекса флювиогляциальных отложений. Из полученного разреза произведён сбор образцов на местонахождении </w:t>
      </w:r>
      <w:r>
        <w:rPr>
          <w:rFonts w:ascii="Times New Roman" w:hAnsi="Times New Roman" w:cs="Times New Roman"/>
          <w:sz w:val="24"/>
          <w:szCs w:val="24"/>
          <w:lang w:val="ru-RU"/>
        </w:rPr>
        <w:t>рядом</w:t>
      </w:r>
      <w:r>
        <w:rPr>
          <w:rFonts w:hint="default" w:ascii="Times New Roman" w:hAnsi="Times New Roman" w:cs="Times New Roman"/>
          <w:sz w:val="24"/>
          <w:szCs w:val="24"/>
          <w:lang w:val="ru-RU"/>
        </w:rPr>
        <w:t xml:space="preserve"> с</w:t>
      </w:r>
      <w:r>
        <w:rPr>
          <w:rFonts w:ascii="Times New Roman" w:hAnsi="Times New Roman" w:cs="Times New Roman"/>
          <w:sz w:val="24"/>
          <w:szCs w:val="24"/>
        </w:rPr>
        <w:t xml:space="preserve"> посёлком Колвица Мурманской области. Местонахождение представляет собой карьер с комплексом флювиогляциальных отложений.</w:t>
      </w:r>
      <w:r>
        <w:rPr>
          <w:rFonts w:ascii="Times New Roman" w:hAnsi="Times New Roman" w:eastAsia="Times New Roman" w:cs="Times New Roman"/>
          <w:bCs/>
          <w:sz w:val="28"/>
          <w:szCs w:val="28"/>
          <w:lang w:eastAsia="ru-RU"/>
        </w:rPr>
        <w:t xml:space="preserve"> </w:t>
      </w:r>
      <w:r>
        <w:rPr>
          <w:rFonts w:ascii="Times New Roman" w:hAnsi="Times New Roman" w:cs="Times New Roman"/>
          <w:sz w:val="24"/>
          <w:szCs w:val="24"/>
        </w:rPr>
        <w:t>Карьер</w:t>
      </w:r>
      <w:r>
        <w:rPr>
          <w:rFonts w:ascii="Times New Roman" w:hAnsi="Times New Roman" w:eastAsia="Times New Roman" w:cs="Times New Roman"/>
          <w:bCs/>
          <w:sz w:val="28"/>
          <w:szCs w:val="28"/>
          <w:lang w:eastAsia="ru-RU"/>
        </w:rPr>
        <w:t xml:space="preserve"> </w:t>
      </w:r>
      <w:r>
        <w:rPr>
          <w:rFonts w:ascii="Times New Roman" w:hAnsi="Times New Roman" w:cs="Times New Roman"/>
          <w:sz w:val="24"/>
          <w:szCs w:val="24"/>
        </w:rPr>
        <w:t>находится в 2,7 км восточнее пос. Колвица по трассе Кандалакша – Умба.</w:t>
      </w:r>
      <w:r>
        <w:rPr>
          <w:rFonts w:hint="default" w:ascii="Times New Roman" w:hAnsi="Times New Roman" w:cs="Times New Roman"/>
          <w:sz w:val="24"/>
          <w:szCs w:val="24"/>
          <w:lang w:val="ru-RU"/>
        </w:rPr>
        <w:t xml:space="preserve"> Мы рассмотрели состав остатков морской фауны, сохранившейся в отложениях, датируемых</w:t>
      </w:r>
      <w:r>
        <w:rPr>
          <w:rFonts w:ascii="Times New Roman" w:hAnsi="Times New Roman" w:cs="Times New Roman"/>
          <w:sz w:val="24"/>
          <w:szCs w:val="24"/>
        </w:rPr>
        <w:t xml:space="preserve"> 9 – 6.8 тыс лет.</w:t>
      </w:r>
      <w:r>
        <w:rPr>
          <w:rFonts w:hint="default" w:ascii="Times New Roman" w:hAnsi="Times New Roman" w:cs="Times New Roman"/>
          <w:sz w:val="24"/>
          <w:szCs w:val="24"/>
          <w:lang w:val="ru-RU"/>
        </w:rPr>
        <w:t xml:space="preserve"> Разрез описан на глубину </w:t>
      </w:r>
      <w:r>
        <w:rPr>
          <w:rFonts w:ascii="Times New Roman" w:hAnsi="Times New Roman" w:cs="Times New Roman"/>
          <w:sz w:val="24"/>
          <w:szCs w:val="24"/>
        </w:rPr>
        <w:t>2 метра</w:t>
      </w:r>
      <w:r>
        <w:rPr>
          <w:rFonts w:hint="default" w:ascii="Times New Roman" w:hAnsi="Times New Roman" w:cs="Times New Roman"/>
          <w:sz w:val="24"/>
          <w:szCs w:val="24"/>
          <w:lang w:val="ru-RU"/>
        </w:rPr>
        <w:t xml:space="preserve">, отложения быыли разобраны послойно с шагом 10-15 см. </w:t>
      </w:r>
      <w:r>
        <w:rPr>
          <w:rFonts w:ascii="Times New Roman" w:hAnsi="Times New Roman" w:cs="Times New Roman"/>
          <w:sz w:val="24"/>
          <w:szCs w:val="24"/>
        </w:rPr>
        <w:t xml:space="preserve">На основе полученного материала рассматриваются процессы перехода от сублиторали к литорали в раннем голоцене. </w:t>
      </w:r>
      <w:r>
        <w:rPr>
          <w:rFonts w:ascii="Times New Roman" w:hAnsi="Times New Roman" w:cs="Times New Roman"/>
          <w:sz w:val="24"/>
          <w:szCs w:val="24"/>
          <w:lang w:val="ru-RU"/>
        </w:rPr>
        <w:t>Было</w:t>
      </w:r>
      <w:r>
        <w:rPr>
          <w:rFonts w:hint="default" w:ascii="Times New Roman" w:hAnsi="Times New Roman" w:cs="Times New Roman"/>
          <w:sz w:val="24"/>
          <w:szCs w:val="24"/>
          <w:lang w:val="ru-RU"/>
        </w:rPr>
        <w:t xml:space="preserve"> показано, что в сублиторальных отложениях представлены хорошо прослеживаемые слои, образованные скоплениями трубок полихет, которые надежно определяются как трубки овениид </w:t>
      </w:r>
      <w:r>
        <w:rPr>
          <w:rFonts w:hint="default" w:ascii="Times New Roman" w:hAnsi="Times New Roman"/>
          <w:i/>
          <w:iCs/>
          <w:sz w:val="24"/>
          <w:szCs w:val="24"/>
          <w:lang w:val="en-US"/>
        </w:rPr>
        <w:t>Galathowenia oculata</w:t>
      </w:r>
      <w:r>
        <w:rPr>
          <w:rFonts w:hint="default" w:ascii="Times New Roman" w:hAnsi="Times New Roman"/>
          <w:sz w:val="24"/>
          <w:szCs w:val="24"/>
          <w:lang w:val="en-US"/>
        </w:rPr>
        <w:t xml:space="preserve"> (Zachs, 1923).</w:t>
      </w:r>
      <w:r>
        <w:rPr>
          <w:rFonts w:hint="default" w:ascii="Times New Roman" w:hAnsi="Times New Roman"/>
          <w:sz w:val="24"/>
          <w:szCs w:val="24"/>
          <w:lang w:val="ru-RU"/>
        </w:rPr>
        <w:t xml:space="preserve"> В верхней части отложений повышается обилие двустворок рода </w:t>
      </w:r>
      <w:r>
        <w:rPr>
          <w:rFonts w:hint="default" w:ascii="Times New Roman" w:hAnsi="Times New Roman"/>
          <w:i/>
          <w:iCs/>
          <w:sz w:val="24"/>
          <w:szCs w:val="24"/>
          <w:lang w:val="en-US"/>
        </w:rPr>
        <w:t>Portlandia</w:t>
      </w:r>
      <w:r>
        <w:rPr>
          <w:rFonts w:hint="default" w:ascii="Times New Roman" w:hAnsi="Times New Roman"/>
          <w:sz w:val="24"/>
          <w:szCs w:val="24"/>
          <w:lang w:val="en-US"/>
        </w:rPr>
        <w:t xml:space="preserve">. </w:t>
      </w:r>
      <w:r>
        <w:rPr>
          <w:rFonts w:hint="default" w:ascii="Times New Roman" w:hAnsi="Times New Roman"/>
          <w:sz w:val="24"/>
          <w:szCs w:val="24"/>
          <w:lang w:val="ru-RU"/>
        </w:rPr>
        <w:t xml:space="preserve">В самой верхней части разреза отчетливо прослеживаются слои мидиевой ракуши, характерные для современных мидевых банок. Совместно с мидиями были отмечены осколки раковин </w:t>
      </w:r>
      <w:r>
        <w:rPr>
          <w:rFonts w:hint="default" w:ascii="Times New Roman" w:hAnsi="Times New Roman"/>
          <w:i/>
          <w:iCs/>
          <w:sz w:val="24"/>
          <w:szCs w:val="24"/>
          <w:lang w:val="en-US"/>
        </w:rPr>
        <w:t>Littorina</w:t>
      </w:r>
      <w:r>
        <w:rPr>
          <w:rFonts w:hint="default" w:ascii="Times New Roman" w:hAnsi="Times New Roman"/>
          <w:sz w:val="24"/>
          <w:szCs w:val="24"/>
          <w:lang w:val="en-US"/>
        </w:rPr>
        <w:t>.</w:t>
      </w:r>
      <w:r>
        <w:rPr>
          <w:rFonts w:hint="default" w:ascii="Times New Roman" w:hAnsi="Times New Roman"/>
          <w:sz w:val="24"/>
          <w:szCs w:val="24"/>
          <w:lang w:val="ru-RU"/>
        </w:rPr>
        <w:t xml:space="preserve"> Выше слоя мидиевой ракуши морских отложений не обнаружено. Послеженная палеосукцессия была вызвана постепенным обмелением акватории, заселенной сообществом арктических видов. Обмеление происходило за счет постглациального подъема уровня суши.На фоне этого происходило формирование литорального плотного поселения мидий, которые лишь недавно заселили акваторию Белого моря. </w:t>
      </w:r>
    </w:p>
    <w:p w14:paraId="245EEC54">
      <w:pPr>
        <w:spacing w:after="0" w:line="240" w:lineRule="auto"/>
        <w:rPr>
          <w:rFonts w:ascii="Times New Roman" w:hAnsi="Times New Roman" w:cs="Times New Roman"/>
          <w:sz w:val="24"/>
          <w:szCs w:val="24"/>
          <w:shd w:val="clear" w:color="auto" w:fill="FFFFFF"/>
        </w:rPr>
      </w:pPr>
    </w:p>
    <w:p w14:paraId="2082E1DE">
      <w:pPr>
        <w:spacing w:after="0" w:line="240" w:lineRule="auto"/>
        <w:rPr>
          <w:rFonts w:hint="default" w:ascii="Times New Roman" w:hAnsi="Times New Roman"/>
          <w:sz w:val="24"/>
          <w:szCs w:val="24"/>
          <w:shd w:val="clear" w:color="auto" w:fill="FFFFFF"/>
        </w:rPr>
      </w:pPr>
      <w:r>
        <w:rPr>
          <w:rFonts w:hint="default" w:ascii="Times New Roman" w:hAnsi="Times New Roman"/>
          <w:b/>
          <w:bCs/>
          <w:sz w:val="24"/>
          <w:szCs w:val="24"/>
          <w:shd w:val="clear" w:color="auto" w:fill="FFFFFF"/>
        </w:rPr>
        <w:t xml:space="preserve">Postglacial paleosuccession of the local benthic community in the White </w:t>
      </w:r>
      <w:r>
        <w:rPr>
          <w:rFonts w:hint="default" w:ascii="Times New Roman" w:hAnsi="Times New Roman"/>
          <w:sz w:val="24"/>
          <w:szCs w:val="24"/>
          <w:shd w:val="clear" w:color="auto" w:fill="FFFFFF"/>
        </w:rPr>
        <w:t>Sea</w:t>
      </w:r>
    </w:p>
    <w:p w14:paraId="58EA035C">
      <w:pPr>
        <w:spacing w:after="0" w:line="240" w:lineRule="auto"/>
        <w:rPr>
          <w:rFonts w:hint="default" w:ascii="Times New Roman" w:hAnsi="Times New Roman"/>
          <w:sz w:val="24"/>
          <w:szCs w:val="24"/>
          <w:shd w:val="clear" w:color="auto" w:fill="FFFFFF"/>
        </w:rPr>
      </w:pPr>
    </w:p>
    <w:p w14:paraId="7B371539">
      <w:pPr>
        <w:autoSpaceDE w:val="0"/>
        <w:autoSpaceDN w:val="0"/>
        <w:adjustRightInd w:val="0"/>
        <w:rPr>
          <w:i/>
          <w:sz w:val="22"/>
          <w:lang w:val="en-US"/>
        </w:rPr>
      </w:pPr>
      <w:r>
        <w:rPr>
          <w:rFonts w:hint="default"/>
          <w:i/>
          <w:sz w:val="22"/>
          <w:lang w:val="en-US"/>
        </w:rPr>
        <w:t>Bashilov K</w:t>
      </w:r>
      <w:r>
        <w:rPr>
          <w:i/>
          <w:sz w:val="22"/>
          <w:lang w:val="en-US"/>
        </w:rPr>
        <w:t>.</w:t>
      </w:r>
      <w:r>
        <w:rPr>
          <w:i/>
          <w:sz w:val="22"/>
          <w:vertAlign w:val="superscript"/>
          <w:lang w:val="en-US"/>
        </w:rPr>
        <w:t>1</w:t>
      </w:r>
      <w:r>
        <w:rPr>
          <w:i/>
          <w:sz w:val="22"/>
          <w:lang w:val="en-US"/>
        </w:rPr>
        <w:t xml:space="preserve">*, </w:t>
      </w:r>
      <w:r>
        <w:rPr>
          <w:rFonts w:hint="default"/>
          <w:i/>
          <w:sz w:val="22"/>
          <w:lang w:val="en-US"/>
        </w:rPr>
        <w:t>Khaitov V.</w:t>
      </w:r>
      <w:r>
        <w:rPr>
          <w:i/>
          <w:sz w:val="22"/>
          <w:vertAlign w:val="superscript"/>
          <w:lang w:val="en-US"/>
        </w:rPr>
        <w:t>1,</w:t>
      </w:r>
      <w:bookmarkStart w:id="0" w:name="_GoBack"/>
      <w:bookmarkEnd w:id="0"/>
      <w:r>
        <w:rPr>
          <w:i/>
          <w:sz w:val="22"/>
          <w:vertAlign w:val="superscript"/>
          <w:lang w:val="en-US"/>
        </w:rPr>
        <w:t>2</w:t>
      </w:r>
    </w:p>
    <w:p w14:paraId="0B3621B9">
      <w:pPr>
        <w:autoSpaceDE w:val="0"/>
        <w:autoSpaceDN w:val="0"/>
        <w:adjustRightInd w:val="0"/>
        <w:spacing w:line="240" w:lineRule="auto"/>
        <w:rPr>
          <w:sz w:val="22"/>
          <w:lang w:val="en-US"/>
        </w:rPr>
      </w:pPr>
      <w:r>
        <w:rPr>
          <w:sz w:val="22"/>
          <w:vertAlign w:val="superscript"/>
          <w:lang w:val="en-US"/>
        </w:rPr>
        <w:t>1</w:t>
      </w:r>
      <w:r>
        <w:rPr>
          <w:sz w:val="22"/>
          <w:lang w:val="en-US"/>
        </w:rPr>
        <w:t xml:space="preserve"> </w:t>
      </w:r>
      <w:r>
        <w:rPr>
          <w:rFonts w:hint="default"/>
          <w:sz w:val="22"/>
          <w:lang w:val="en-US"/>
        </w:rPr>
        <w:t>Laboratory of marine benthic ecology</w:t>
      </w:r>
      <w:r>
        <w:rPr>
          <w:sz w:val="22"/>
          <w:lang w:val="en-US"/>
        </w:rPr>
        <w:t>, Saint Petersburg</w:t>
      </w:r>
    </w:p>
    <w:p w14:paraId="0A74D12B">
      <w:pPr>
        <w:autoSpaceDE w:val="0"/>
        <w:autoSpaceDN w:val="0"/>
        <w:adjustRightInd w:val="0"/>
        <w:spacing w:line="240" w:lineRule="auto"/>
        <w:rPr>
          <w:rFonts w:hint="default"/>
          <w:sz w:val="22"/>
          <w:lang w:val="en-US"/>
        </w:rPr>
      </w:pPr>
      <w:r>
        <w:rPr>
          <w:sz w:val="22"/>
          <w:vertAlign w:val="superscript"/>
          <w:lang w:val="en-US"/>
        </w:rPr>
        <w:t>2</w:t>
      </w:r>
      <w:r>
        <w:rPr>
          <w:sz w:val="22"/>
          <w:lang w:val="en-US"/>
        </w:rPr>
        <w:t xml:space="preserve"> </w:t>
      </w:r>
      <w:r>
        <w:rPr>
          <w:rFonts w:hint="default"/>
          <w:sz w:val="22"/>
          <w:lang w:val="en-US"/>
        </w:rPr>
        <w:t>Dept. of Invertebrate zoology, Biological faculty, Saint Petersburg State university.</w:t>
      </w:r>
    </w:p>
    <w:p w14:paraId="5C39AA8E">
      <w:pPr>
        <w:autoSpaceDE w:val="0"/>
        <w:autoSpaceDN w:val="0"/>
        <w:adjustRightInd w:val="0"/>
        <w:spacing w:line="240" w:lineRule="auto"/>
        <w:rPr>
          <w:rFonts w:hint="default"/>
          <w:sz w:val="22"/>
          <w:lang w:val="en-US"/>
        </w:rPr>
      </w:pPr>
      <w:r>
        <w:rPr>
          <w:sz w:val="22"/>
          <w:lang w:val="en-US"/>
        </w:rPr>
        <w:t xml:space="preserve">* e-mail: </w:t>
      </w:r>
      <w:r>
        <w:rPr>
          <w:rFonts w:hint="default"/>
          <w:sz w:val="22"/>
          <w:lang w:val="en-US"/>
        </w:rPr>
        <w:t>++++++</w:t>
      </w:r>
    </w:p>
    <w:p w14:paraId="06CD6F34">
      <w:pPr>
        <w:spacing w:after="0" w:line="240" w:lineRule="auto"/>
        <w:rPr>
          <w:rFonts w:hint="default" w:ascii="Times New Roman" w:hAnsi="Times New Roman"/>
          <w:sz w:val="24"/>
          <w:szCs w:val="24"/>
          <w:shd w:val="clear" w:color="auto" w:fill="FFFFFF"/>
        </w:rPr>
      </w:pPr>
    </w:p>
    <w:p w14:paraId="06A2EBFC">
      <w:pPr>
        <w:spacing w:after="0" w:line="240" w:lineRule="auto"/>
        <w:rPr>
          <w:rFonts w:hint="default" w:ascii="Times New Roman" w:hAnsi="Times New Roman"/>
          <w:sz w:val="24"/>
          <w:szCs w:val="24"/>
          <w:shd w:val="clear" w:color="auto" w:fill="FFFFFF"/>
        </w:rPr>
      </w:pPr>
      <w:r>
        <w:rPr>
          <w:rFonts w:hint="default" w:ascii="Times New Roman" w:hAnsi="Times New Roman"/>
          <w:sz w:val="24"/>
          <w:szCs w:val="24"/>
          <w:shd w:val="clear" w:color="auto" w:fill="FFFFFF"/>
        </w:rPr>
        <w:t xml:space="preserve">The geological section located in the vicinity of Kolvitsa Bay traces the gradual transformation of the sublittoral community into a littoral one. At the initial stages, the community was represented by arctic </w:t>
      </w:r>
      <w:r>
        <w:rPr>
          <w:rFonts w:hint="default" w:ascii="Times New Roman" w:hAnsi="Times New Roman"/>
          <w:sz w:val="24"/>
          <w:szCs w:val="24"/>
          <w:shd w:val="clear" w:color="auto" w:fill="FFFFFF"/>
          <w:lang w:val="en-US"/>
        </w:rPr>
        <w:t>s</w:t>
      </w:r>
      <w:r>
        <w:rPr>
          <w:rFonts w:hint="default" w:ascii="Times New Roman" w:hAnsi="Times New Roman"/>
          <w:sz w:val="24"/>
          <w:szCs w:val="24"/>
          <w:shd w:val="clear" w:color="auto" w:fill="FFFFFF"/>
        </w:rPr>
        <w:t>ubtidal polychaete (</w:t>
      </w:r>
      <w:r>
        <w:rPr>
          <w:rFonts w:hint="default" w:ascii="Times New Roman" w:hAnsi="Times New Roman"/>
          <w:i/>
          <w:iCs/>
          <w:sz w:val="24"/>
          <w:szCs w:val="24"/>
          <w:lang w:val="en-US"/>
        </w:rPr>
        <w:t>Galathowenia oculata</w:t>
      </w:r>
      <w:r>
        <w:rPr>
          <w:rFonts w:hint="default" w:ascii="Times New Roman" w:hAnsi="Times New Roman"/>
          <w:sz w:val="24"/>
          <w:szCs w:val="24"/>
          <w:shd w:val="clear" w:color="auto" w:fill="FFFFFF"/>
        </w:rPr>
        <w:t xml:space="preserve">) and </w:t>
      </w:r>
      <w:r>
        <w:rPr>
          <w:rFonts w:hint="default" w:ascii="Times New Roman" w:hAnsi="Times New Roman"/>
          <w:sz w:val="24"/>
          <w:szCs w:val="24"/>
          <w:shd w:val="clear" w:color="auto" w:fill="FFFFFF"/>
          <w:lang w:val="en-US"/>
        </w:rPr>
        <w:t>clams</w:t>
      </w:r>
      <w:r>
        <w:rPr>
          <w:rFonts w:hint="default" w:ascii="Times New Roman" w:hAnsi="Times New Roman"/>
          <w:sz w:val="24"/>
          <w:szCs w:val="24"/>
          <w:shd w:val="clear" w:color="auto" w:fill="FFFFFF"/>
        </w:rPr>
        <w:t xml:space="preserve"> (</w:t>
      </w:r>
      <w:r>
        <w:rPr>
          <w:rFonts w:hint="default" w:ascii="Times New Roman" w:hAnsi="Times New Roman"/>
          <w:i/>
          <w:iCs/>
          <w:sz w:val="24"/>
          <w:szCs w:val="24"/>
          <w:lang w:val="en-US"/>
        </w:rPr>
        <w:t>Portlandia</w:t>
      </w:r>
      <w:r>
        <w:rPr>
          <w:rFonts w:hint="default" w:ascii="Times New Roman" w:hAnsi="Times New Roman"/>
          <w:sz w:val="24"/>
          <w:szCs w:val="24"/>
          <w:shd w:val="clear" w:color="auto" w:fill="FFFFFF"/>
        </w:rPr>
        <w:t>) species. At the final stage, the intertidal mussel bed community was formed.</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8F"/>
    <w:rsid w:val="00086E2D"/>
    <w:rsid w:val="00171944"/>
    <w:rsid w:val="00327823"/>
    <w:rsid w:val="00351F52"/>
    <w:rsid w:val="0052264B"/>
    <w:rsid w:val="006928D8"/>
    <w:rsid w:val="006E25C6"/>
    <w:rsid w:val="007E27B6"/>
    <w:rsid w:val="0080612C"/>
    <w:rsid w:val="009078F2"/>
    <w:rsid w:val="00977CF3"/>
    <w:rsid w:val="009A3DB2"/>
    <w:rsid w:val="00A8262C"/>
    <w:rsid w:val="00B90B5D"/>
    <w:rsid w:val="00BC2F20"/>
    <w:rsid w:val="00C30233"/>
    <w:rsid w:val="00CC63BF"/>
    <w:rsid w:val="00E730CD"/>
    <w:rsid w:val="00ED6C8F"/>
    <w:rsid w:val="5BB575F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paragraph" w:styleId="6">
    <w:name w:val="List Paragraph"/>
    <w:basedOn w:val="1"/>
    <w:qFormat/>
    <w:uiPriority w:val="34"/>
    <w:pPr>
      <w:spacing w:after="200" w:line="276" w:lineRule="auto"/>
      <w:ind w:left="720"/>
      <w:contextualSpacing/>
    </w:pPr>
    <w:rPr>
      <w:rFonts w:ascii="Calibri" w:hAnsi="Calibri" w:eastAsia="Calibri" w:cs="Times New Roman"/>
    </w:rPr>
  </w:style>
  <w:style w:type="character" w:customStyle="1" w:styleId="7">
    <w:name w:val="cite-bracket"/>
    <w:basedOn w:val="2"/>
    <w:uiPriority w:val="0"/>
  </w:style>
  <w:style w:type="character" w:customStyle="1" w:styleId="8">
    <w:name w:val="ts-fix-text"/>
    <w:basedOn w:val="2"/>
    <w:uiPriority w:val="0"/>
  </w:style>
  <w:style w:type="character" w:customStyle="1" w:styleId="9">
    <w:name w:val="fld_title"/>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HSE SPBSTU</Company>
  <Pages>1</Pages>
  <Words>482</Words>
  <Characters>2751</Characters>
  <Lines>22</Lines>
  <Paragraphs>6</Paragraphs>
  <TotalTime>5</TotalTime>
  <ScaleCrop>false</ScaleCrop>
  <LinksUpToDate>false</LinksUpToDate>
  <CharactersWithSpaces>3227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2024-11-28T11:00:00Z</dcterms:created>
  <dc:creator>Maria P. Batakovskaya</dc:creator>
  <cp:lastModifiedBy>polyd</cp:lastModifiedBy>
  <dcterms:modified xsi:type="dcterms:W3CDTF">2024-12-01T19:35:53Z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F01E3085A70D4C1E9539894D43BF2EF5_13</vt:lpwstr>
  </property>
</Properties>
</file>