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42.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02bf2fd33f87f55533b6013c918a3587fd6a00"/>
    <w:p>
      <w:pPr>
        <w:pStyle w:val="Heading1"/>
      </w:pPr>
      <w:r>
        <w:t xml:space="preserve">Эколого-биологический центр</w:t>
      </w:r>
      <w:r>
        <w:t xml:space="preserve"> </w:t>
      </w:r>
      <w:r>
        <w:t xml:space="preserve">“</w:t>
      </w:r>
      <w:r>
        <w:t xml:space="preserve">Крестовский остров</w:t>
      </w:r>
      <w:r>
        <w:t xml:space="preserve">”</w:t>
      </w:r>
    </w:p>
    <w:bookmarkEnd w:id="20"/>
    <w:bookmarkStart w:id="21" w:name="лаборатория-экологии-морского-бентоса"/>
    <w:p>
      <w:pPr>
        <w:pStyle w:val="Heading1"/>
      </w:pPr>
      <w:r>
        <w:t xml:space="preserve">Лаборатория Экологии Морского Бентоса</w:t>
      </w:r>
    </w:p>
    <w:bookmarkEnd w:id="21"/>
    <w:bookmarkStart w:id="25" w:name="гидробиологии"/>
    <w:p>
      <w:pPr>
        <w:pStyle w:val="Heading1"/>
      </w:pPr>
      <w:r>
        <w:t xml:space="preserve">(гидробиологии)</w:t>
      </w:r>
    </w:p>
    <w:p>
      <w:pPr>
        <w:pStyle w:val="FirstParagraph"/>
      </w:pPr>
      <w:r>
        <w:t xml:space="preserve"> </w:t>
      </w:r>
    </w:p>
    <w:p>
      <w:pPr>
        <w:pStyle w:val="BodyText"/>
      </w:pPr>
      <w:r>
        <w:t xml:space="preserve"> </w:t>
      </w:r>
    </w:p>
    <w:p>
      <w:pPr>
        <w:pStyle w:val="BodyText"/>
      </w:pPr>
      <w:r>
        <w:drawing>
          <wp:inline>
            <wp:extent cx="2382981" cy="2456872"/>
            <wp:effectExtent b="0" l="0" r="0" t="0"/>
            <wp:docPr descr="" title="" id="23" name="Picture"/>
            <a:graphic>
              <a:graphicData uri="http://schemas.openxmlformats.org/drawingml/2006/picture">
                <pic:pic>
                  <pic:nvPicPr>
                    <pic:cNvPr descr="Figures/Logotype.jpg" id="24" name="Picture"/>
                    <pic:cNvPicPr>
                      <a:picLocks noChangeArrowheads="1" noChangeAspect="1"/>
                    </pic:cNvPicPr>
                  </pic:nvPicPr>
                  <pic:blipFill>
                    <a:blip r:embed="rId22"/>
                    <a:stretch>
                      <a:fillRect/>
                    </a:stretch>
                  </pic:blipFill>
                  <pic:spPr bwMode="auto">
                    <a:xfrm>
                      <a:off x="0" y="0"/>
                      <a:ext cx="2382981" cy="2456872"/>
                    </a:xfrm>
                    <a:prstGeom prst="rect">
                      <a:avLst/>
                    </a:prstGeom>
                    <a:noFill/>
                    <a:ln w="9525">
                      <a:noFill/>
                      <a:headEnd/>
                      <a:tailEnd/>
                    </a:ln>
                  </pic:spPr>
                </pic:pic>
              </a:graphicData>
            </a:graphic>
          </wp:inline>
        </w:drawing>
      </w:r>
    </w:p>
    <w:p>
      <w:pPr>
        <w:pStyle w:val="BodyText"/>
      </w:pPr>
      <w:r>
        <w:t xml:space="preserve"> </w:t>
      </w:r>
    </w:p>
    <w:bookmarkEnd w:id="25"/>
    <w:bookmarkStart w:id="26" w:name="к.-федорова"/>
    <w:p>
      <w:pPr>
        <w:pStyle w:val="Heading1"/>
      </w:pPr>
      <w:r>
        <w:t xml:space="preserve">К. Федорова</w:t>
      </w:r>
    </w:p>
    <w:bookmarkEnd w:id="26"/>
    <w:bookmarkStart w:id="27" w:name="Xa970c42f081d40558643167fa0d2bae69b32ddd"/>
    <w:p>
      <w:pPr>
        <w:pStyle w:val="Heading1"/>
      </w:pPr>
      <w:r>
        <w:t xml:space="preserve">Характеристика смешанных поселений беломоских мидий на литоральных фукоидах</w:t>
      </w:r>
    </w:p>
    <w:p>
      <w:pPr>
        <w:pStyle w:val="FirstParagraph"/>
      </w:pPr>
      <w:r>
        <w:t xml:space="preserve"> </w:t>
      </w:r>
    </w:p>
    <w:p>
      <w:pPr>
        <w:pStyle w:val="BodyText"/>
      </w:pPr>
      <w:r>
        <w:t xml:space="preserve"> </w:t>
      </w:r>
    </w:p>
    <w:bookmarkEnd w:id="27"/>
    <w:bookmarkStart w:id="28" w:name="санкт-петербург"/>
    <w:p>
      <w:pPr>
        <w:pStyle w:val="Heading1"/>
      </w:pPr>
      <w:r>
        <w:t xml:space="preserve">Санкт-Петербург</w:t>
      </w:r>
    </w:p>
    <w:bookmarkEnd w:id="28"/>
    <w:bookmarkStart w:id="29" w:name="section"/>
    <w:p>
      <w:pPr>
        <w:pStyle w:val="Heading1"/>
      </w:pPr>
      <w:r>
        <w:t xml:space="preserve">2024</w:t>
      </w:r>
    </w:p>
    <w:p>
      <w:r>
        <w:br w:type="page"/>
      </w:r>
    </w:p>
    <w:p>
      <w:pPr>
        <w:pStyle w:val="FirstParagraph"/>
      </w:pPr>
      <w:r>
        <w:t xml:space="preserve">В данной работе был проанализирован таксономический состав</w:t>
      </w:r>
      <w:r>
        <w:t xml:space="preserve"> </w:t>
      </w:r>
      <w:r>
        <w:rPr>
          <w:i/>
          <w:iCs/>
        </w:rPr>
        <w:t xml:space="preserve">Mytilus trossulus</w:t>
      </w:r>
      <w:r>
        <w:t xml:space="preserve"> </w:t>
      </w:r>
      <w:r>
        <w:t xml:space="preserve">и</w:t>
      </w:r>
      <w:r>
        <w:t xml:space="preserve"> </w:t>
      </w:r>
      <w:r>
        <w:rPr>
          <w:i/>
          <w:iCs/>
        </w:rPr>
        <w:t xml:space="preserve">Mytilus edulis</w:t>
      </w:r>
      <w:r>
        <w:t xml:space="preserve"> </w:t>
      </w:r>
      <w:r>
        <w:t xml:space="preserve">на фукоидах, мы смотрели на степень прибойности, вид фукоида а так же плотности поселения. Мы выяснили, что оба вида предпочитают жить в затишных местах, на</w:t>
      </w:r>
      <w:r>
        <w:t xml:space="preserve"> </w:t>
      </w:r>
      <w:r>
        <w:rPr>
          <w:i/>
          <w:iCs/>
        </w:rPr>
        <w:t xml:space="preserve">Ascophyllum nodosum</w:t>
      </w:r>
      <w:r>
        <w:t xml:space="preserve"> </w:t>
      </w:r>
      <w:r>
        <w:t xml:space="preserve">расхождения ниш не было, однако на</w:t>
      </w:r>
      <w:r>
        <w:t xml:space="preserve"> </w:t>
      </w:r>
      <w:r>
        <w:rPr>
          <w:i/>
          <w:iCs/>
        </w:rPr>
        <w:t xml:space="preserve">Fucus vesiculosus</w:t>
      </w:r>
      <w:r>
        <w:t xml:space="preserve"> </w:t>
      </w:r>
      <w:r>
        <w:t xml:space="preserve">прибойность сильно влияет на преобладание того или иного вида. Сами фукоиды влияют лишь опосредованно, и как отдельный фактор не влияют на мидий.</w:t>
      </w:r>
    </w:p>
    <w:bookmarkEnd w:id="29"/>
    <w:bookmarkStart w:id="30" w:name="введение"/>
    <w:p>
      <w:pPr>
        <w:pStyle w:val="Heading1"/>
      </w:pPr>
      <w:r>
        <w:t xml:space="preserve">Введение</w:t>
      </w:r>
    </w:p>
    <w:p>
      <w:pPr>
        <w:pStyle w:val="FirstParagraph"/>
      </w:pPr>
      <w:r>
        <w:t xml:space="preserve">Понятие «экологическая ниша» было впервые введено американским экологом Джозефом Градинером в начале 20 века</w:t>
      </w:r>
      <w:r>
        <w:t xml:space="preserve"> </w:t>
      </w:r>
      <w:r>
        <w:t xml:space="preserve">(Grinnell 1917)</w:t>
      </w:r>
      <w:r>
        <w:t xml:space="preserve">.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w:t>
      </w:r>
      <w:r>
        <w:t xml:space="preserve"> </w:t>
      </w:r>
      <w:r>
        <w:t xml:space="preserve">(Cary 1974)</w:t>
      </w:r>
      <w:r>
        <w:t xml:space="preserve">.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pPr>
        <w:pStyle w:val="BodyText"/>
      </w:pPr>
      <w:r>
        <w:t xml:space="preserve">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w:t>
      </w:r>
      <w:r>
        <w:t xml:space="preserve"> </w:t>
      </w:r>
      <w:r>
        <w:t xml:space="preserve">(Халиль and Сидоренко 2014)</w:t>
      </w:r>
      <w:r>
        <w:t xml:space="preserve">.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w:t>
      </w:r>
      <w:r>
        <w:t xml:space="preserve"> </w:t>
      </w:r>
      <w:r>
        <w:t xml:space="preserve">(Connell 1961)</w:t>
      </w:r>
      <w:r>
        <w:t xml:space="preserve">.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w:t>
      </w:r>
      <w:r>
        <w:t xml:space="preserve"> </w:t>
      </w:r>
      <w:r>
        <w:t xml:space="preserve">(Connell 1961)</w:t>
      </w:r>
      <w:r>
        <w:t xml:space="preserve">.</w:t>
      </w:r>
    </w:p>
    <w:p>
      <w:pPr>
        <w:pStyle w:val="BodyText"/>
      </w:pPr>
      <w:r>
        <w:t xml:space="preserve">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w:t>
      </w:r>
      <w:r>
        <w:t xml:space="preserve"> </w:t>
      </w:r>
      <w:r>
        <w:t xml:space="preserve">(Elith and Leathwick 2009)</w:t>
      </w:r>
    </w:p>
    <w:p>
      <w:pPr>
        <w:pStyle w:val="BodyText"/>
      </w:pPr>
      <w:r>
        <w:t xml:space="preserve">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w:t>
      </w:r>
      <w:r>
        <w:t xml:space="preserve"> </w:t>
      </w:r>
      <w:r>
        <w:t xml:space="preserve">“</w:t>
      </w:r>
      <w:r>
        <w:rPr>
          <w:i/>
          <w:iCs/>
        </w:rPr>
        <w:t xml:space="preserve">Mytilus edulis</w:t>
      </w:r>
      <w:r>
        <w:t xml:space="preserve">”</w:t>
      </w:r>
      <w:r>
        <w:t xml:space="preserve"> </w:t>
      </w:r>
      <w:r>
        <w:t xml:space="preserve">, формирующие смешанные поселения в морях Северной Атлантики и Пацифике</w:t>
      </w:r>
      <w:r>
        <w:t xml:space="preserve"> </w:t>
      </w:r>
      <w:r>
        <w:t xml:space="preserve">(Riginos and Cunningham 2005; Католикова et al. 2010a, b)</w:t>
      </w:r>
      <w:r>
        <w:t xml:space="preserve">.</w:t>
      </w:r>
    </w:p>
    <w:p>
      <w:pPr>
        <w:pStyle w:val="BodyText"/>
      </w:pPr>
      <w:r>
        <w:t xml:space="preserve">В Белом море обитает два вида этого комплекса -</w:t>
      </w:r>
      <w:r>
        <w:t xml:space="preserve"> </w:t>
      </w:r>
      <w:r>
        <w:rPr>
          <w:i/>
          <w:iCs/>
        </w:rPr>
        <w:t xml:space="preserve">Mytilus trossulus</w:t>
      </w:r>
      <w:r>
        <w:t xml:space="preserve"> </w:t>
      </w:r>
      <w:r>
        <w:t xml:space="preserve">и</w:t>
      </w:r>
      <w:r>
        <w:t xml:space="preserve"> </w:t>
      </w:r>
      <w:r>
        <w:rPr>
          <w:i/>
          <w:iCs/>
        </w:rPr>
        <w:t xml:space="preserve">Mytilus edulis</w:t>
      </w:r>
      <w:r>
        <w:t xml:space="preserve"> </w:t>
      </w:r>
      <w:r>
        <w:t xml:space="preserve">(Католикова et al. 2010b)</w:t>
      </w:r>
      <w:r>
        <w:t xml:space="preserve">. Последний считается для Белого моря нативным видом, а</w:t>
      </w:r>
      <w:r>
        <w:t xml:space="preserve"> </w:t>
      </w:r>
      <w:r>
        <w:rPr>
          <w:i/>
          <w:iCs/>
        </w:rPr>
        <w:t xml:space="preserve">M.trossulus</w:t>
      </w:r>
      <w:r>
        <w:t xml:space="preserve">, полагают, был завезен в акваторию Баренцева и Белого морей на кораблях с побережья Атлантики во время II Мировой Войны</w:t>
      </w:r>
      <w:r>
        <w:t xml:space="preserve"> </w:t>
      </w:r>
      <w:r>
        <w:t xml:space="preserve">(Väinölä and Strelkov 2011)</w:t>
      </w:r>
      <w:r>
        <w:t xml:space="preserve">. Экспансия</w:t>
      </w:r>
      <w:r>
        <w:t xml:space="preserve"> </w:t>
      </w:r>
      <w:r>
        <w:rPr>
          <w:i/>
          <w:iCs/>
        </w:rPr>
        <w:t xml:space="preserve">M.trossulus</w:t>
      </w:r>
      <w:r>
        <w:t xml:space="preserve"> </w:t>
      </w:r>
      <w:r>
        <w:t xml:space="preserve">была отмечена и в других морях европейской Атлантики</w:t>
      </w:r>
      <w:r>
        <w:t xml:space="preserve"> </w:t>
      </w:r>
      <w:r>
        <w:t xml:space="preserve">(Beaumont et al. 2008)</w:t>
      </w:r>
      <w:r>
        <w:t xml:space="preserve">. После того, как это обнаружили, теме взаимодействий</w:t>
      </w:r>
      <w:r>
        <w:t xml:space="preserve"> </w:t>
      </w:r>
      <w:r>
        <w:rPr>
          <w:i/>
          <w:iCs/>
        </w:rPr>
        <w:t xml:space="preserve">M. trossulus</w:t>
      </w:r>
      <w:r>
        <w:t xml:space="preserve"> </w:t>
      </w:r>
      <w:r>
        <w:t xml:space="preserve">и</w:t>
      </w:r>
      <w:r>
        <w:t xml:space="preserve"> </w:t>
      </w:r>
      <w:r>
        <w:rPr>
          <w:i/>
          <w:iCs/>
        </w:rPr>
        <w:t xml:space="preserve">M. edulis</w:t>
      </w:r>
      <w:r>
        <w:t xml:space="preserve"> </w:t>
      </w:r>
      <w:r>
        <w:t xml:space="preserve">друг с другом и со средой их обитания было посвящено много работ</w:t>
      </w:r>
      <w:r>
        <w:t xml:space="preserve"> </w:t>
      </w:r>
      <w:r>
        <w:t xml:space="preserve">Riginos and Cunningham (2005)</w:t>
      </w:r>
      <w:r>
        <w:t xml:space="preserve">.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w:t>
      </w:r>
      <w:r>
        <w:t xml:space="preserve"> </w:t>
      </w:r>
      <w:r>
        <w:t xml:space="preserve">(Riginos and Cunningham 2005; Фокина et al. 2010; Фокина et al. 2013; Сафонов 2014)</w:t>
      </w:r>
      <w:r>
        <w:t xml:space="preserve">. Для Балтики показано, что</w:t>
      </w:r>
      <w:r>
        <w:t xml:space="preserve"> </w:t>
      </w:r>
      <w:r>
        <w:rPr>
          <w:i/>
          <w:iCs/>
        </w:rPr>
        <w:t xml:space="preserve">M. trossulus</w:t>
      </w:r>
      <w:r>
        <w:t xml:space="preserve"> </w:t>
      </w:r>
      <w:r>
        <w:t xml:space="preserve">более обильны в опресненных участках внутренней части Балтики, в то время как области с нормальной соленостью занимают преимущественно</w:t>
      </w:r>
      <w:r>
        <w:t xml:space="preserve"> </w:t>
      </w:r>
      <w:r>
        <w:rPr>
          <w:i/>
          <w:iCs/>
        </w:rPr>
        <w:t xml:space="preserve">M. edulis</w:t>
      </w:r>
      <w:r>
        <w:t xml:space="preserve"> </w:t>
      </w:r>
      <w:r>
        <w:t xml:space="preserve">(Riginos and Cunningham 2005)</w:t>
      </w:r>
      <w:r>
        <w:t xml:space="preserve">. Помимо солености, видимо, распределение двух видов связано и с прибойностью:</w:t>
      </w:r>
      <w:r>
        <w:t xml:space="preserve"> </w:t>
      </w:r>
      <w:r>
        <w:rPr>
          <w:i/>
          <w:iCs/>
        </w:rPr>
        <w:t xml:space="preserve">M. trossulus</w:t>
      </w:r>
      <w:r>
        <w:t xml:space="preserve"> </w:t>
      </w:r>
      <w:r>
        <w:t xml:space="preserve">тяготеют к затишным участкам акваторий (</w:t>
      </w:r>
      <w:r>
        <w:t xml:space="preserve">Сафонов (2014)</w:t>
      </w:r>
      <w:r>
        <w:t xml:space="preserve">). Третий известный фактор, регулирующий распределение видов, но уже в масштабах единиц метров, связан с характером субстрата. Известно, что доля</w:t>
      </w:r>
      <w:r>
        <w:t xml:space="preserve"> </w:t>
      </w:r>
      <w:r>
        <w:rPr>
          <w:i/>
          <w:iCs/>
        </w:rPr>
        <w:t xml:space="preserve">M. trossulus</w:t>
      </w:r>
      <w:r>
        <w:t xml:space="preserve"> </w:t>
      </w:r>
      <w:r>
        <w:t xml:space="preserve">на фукоидах достоверно выше, чем на грунте</w:t>
      </w:r>
      <w:r>
        <w:t xml:space="preserve"> </w:t>
      </w:r>
      <w:r>
        <w:t xml:space="preserve">(Сафонов 2014; Katolikova et al. 2016)</w:t>
      </w:r>
      <w:r>
        <w:t xml:space="preserve">. Это всё говорит о том, что два близких вида, заселяя одно местообитание, демонстрируют разделении экологических ниш.</w:t>
      </w:r>
    </w:p>
    <w:p>
      <w:pPr>
        <w:pStyle w:val="BodyText"/>
      </w:pPr>
      <w: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w:t>
      </w:r>
      <w:r>
        <w:t xml:space="preserve"> </w:t>
      </w:r>
      <w:r>
        <w:rPr>
          <w:i/>
          <w:iCs/>
        </w:rPr>
        <w:t xml:space="preserve">Ascophyllum nodosum</w:t>
      </w:r>
      <w:r>
        <w:t xml:space="preserve">,</w:t>
      </w:r>
      <w:r>
        <w:t xml:space="preserve"> </w:t>
      </w:r>
      <w:r>
        <w:rPr>
          <w:i/>
          <w:iCs/>
        </w:rPr>
        <w:t xml:space="preserve">Fucus vesiculosus</w:t>
      </w:r>
      <w:r>
        <w:t xml:space="preserve">,</w:t>
      </w:r>
      <w:r>
        <w:t xml:space="preserve"> </w:t>
      </w:r>
      <w:r>
        <w:rPr>
          <w:i/>
          <w:iCs/>
        </w:rPr>
        <w:t xml:space="preserve">F. distichus</w:t>
      </w:r>
      <w:r>
        <w:t xml:space="preserve">,</w:t>
      </w:r>
      <w:r>
        <w:t xml:space="preserve"> </w:t>
      </w:r>
      <w:r>
        <w:rPr>
          <w:i/>
          <w:iCs/>
        </w:rPr>
        <w:t xml:space="preserve">F. serratus</w:t>
      </w:r>
      <w:r>
        <w:t xml:space="preserve"> </w:t>
      </w:r>
      <w:r>
        <w:t xml:space="preserve">(Евсеева 2023)</w:t>
      </w:r>
      <w:r>
        <w:t xml:space="preserve">.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w:t>
      </w:r>
      <w:r>
        <w:t xml:space="preserve"> </w:t>
      </w:r>
      <w:r>
        <w:rPr>
          <w:i/>
          <w:iCs/>
        </w:rPr>
        <w:t xml:space="preserve">M. trossulus</w:t>
      </w:r>
      <w:r>
        <w:t xml:space="preserve">, более чувствительных к волновому воздействию из-за более тонкой раковины</w:t>
      </w:r>
      <w:r>
        <w:t xml:space="preserve"> </w:t>
      </w:r>
      <w:r>
        <w:t xml:space="preserve">(Katolikova et al. 2016)</w:t>
      </w:r>
      <w:r>
        <w:t xml:space="preserve">.</w:t>
      </w:r>
    </w:p>
    <w:p>
      <w:pPr>
        <w:pStyle w:val="BodyText"/>
      </w:pPr>
      <w: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w:t>
      </w:r>
      <w:r>
        <w:t xml:space="preserve"> </w:t>
      </w:r>
      <w:r>
        <w:rPr>
          <w:i/>
          <w:iCs/>
        </w:rPr>
        <w:t xml:space="preserve">Fucus vesiculosus</w:t>
      </w:r>
      <w:r>
        <w:t xml:space="preserve"> </w:t>
      </w:r>
      <w:r>
        <w:t xml:space="preserve">и</w:t>
      </w:r>
      <w:r>
        <w:t xml:space="preserve"> </w:t>
      </w:r>
      <w:r>
        <w:rPr>
          <w:i/>
          <w:iCs/>
        </w:rPr>
        <w:t xml:space="preserve">Ascophyllum nodosum</w:t>
      </w:r>
      <w:r>
        <w:t xml:space="preserve">?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bookmarkEnd w:id="30"/>
    <w:bookmarkStart w:id="37" w:name="материал-и-методика"/>
    <w:p>
      <w:pPr>
        <w:pStyle w:val="Heading1"/>
      </w:pPr>
      <w:r>
        <w:t xml:space="preserve">Материал и методика</w:t>
      </w:r>
    </w:p>
    <w:bookmarkStart w:id="34" w:name="полевые-сборы"/>
    <w:p>
      <w:pPr>
        <w:pStyle w:val="Heading2"/>
      </w:pPr>
      <w:r>
        <w:t xml:space="preserve">Полевые сборы</w:t>
      </w:r>
    </w:p>
    <w:p>
      <w:pPr>
        <w:pStyle w:val="FirstParagraph"/>
      </w:pPr>
      <w: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w:t>
      </w:r>
      <w:r>
        <w:t xml:space="preserve"> </w:t>
      </w:r>
      <w:r>
        <w:rPr>
          <w:i/>
          <w:iCs/>
        </w:rPr>
        <w:t xml:space="preserve">F. vesiculosus</w:t>
      </w:r>
      <w:r>
        <w:t xml:space="preserve"> </w:t>
      </w:r>
      <w:r>
        <w:t xml:space="preserve">и</w:t>
      </w:r>
      <w:r>
        <w:t xml:space="preserve"> </w:t>
      </w:r>
      <w:r>
        <w:rPr>
          <w:i/>
          <w:iCs/>
        </w:rPr>
        <w:t xml:space="preserve">A. nodosum</w:t>
      </w:r>
      <w:r>
        <w:t xml:space="preserve">.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pPr>
        <w:pStyle w:val="CaptionedFigure"/>
      </w:pPr>
      <w:r>
        <w:drawing>
          <wp:inline>
            <wp:extent cx="4620126" cy="3696101"/>
            <wp:effectExtent b="0" l="0" r="0" t="0"/>
            <wp:docPr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title="" id="32" name="Picture"/>
            <a:graphic>
              <a:graphicData uri="http://schemas.openxmlformats.org/drawingml/2006/picture">
                <pic:pic>
                  <pic:nvPicPr>
                    <pic:cNvPr descr="Fedorova_2024_VMKh_files/figure-docx/карта-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p>
    <w:bookmarkEnd w:id="34"/>
    <w:bookmarkStart w:id="35" w:name="обработка-проб"/>
    <w:p>
      <w:pPr>
        <w:pStyle w:val="Heading2"/>
      </w:pPr>
      <w:r>
        <w:t xml:space="preserve">Обработка проб</w:t>
      </w:r>
    </w:p>
    <w:p>
      <w:pPr>
        <w:pStyle w:val="FirstParagraph"/>
      </w:pPr>
      <w: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w:t>
      </w:r>
      <w:r>
        <w:t xml:space="preserve"> </w:t>
      </w:r>
      <w:r>
        <w:t xml:space="preserve">(Зайчикова 2011)</w:t>
      </w:r>
      <w:r>
        <w:t xml:space="preserve">.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w:t>
      </w:r>
      <w:r>
        <w:t xml:space="preserve"> </w:t>
      </w:r>
      <w:r>
        <w:rPr>
          <w:i/>
          <w:iCs/>
        </w:rPr>
        <w:t xml:space="preserve">M. trossulus</w:t>
      </w:r>
      <w:r>
        <w:t xml:space="preserve">, и Е-морфотип, соответствующий</w:t>
      </w:r>
      <w:r>
        <w:t xml:space="preserve"> </w:t>
      </w:r>
      <w:r>
        <w:rPr>
          <w:i/>
          <w:iCs/>
        </w:rPr>
        <w:t xml:space="preserve">M. edulis</w:t>
      </w:r>
      <w:r>
        <w:t xml:space="preserve">.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p>
    <w:bookmarkEnd w:id="35"/>
    <w:bookmarkStart w:id="36" w:name="статистическая-обработка"/>
    <w:p>
      <w:pPr>
        <w:pStyle w:val="Heading2"/>
      </w:pPr>
      <w:r>
        <w:t xml:space="preserve">Статистическая обработка</w:t>
      </w:r>
    </w:p>
    <w:p>
      <w:pPr>
        <w:pStyle w:val="FirstParagraph"/>
      </w:pPr>
      <w:r>
        <w:t xml:space="preserve">Вся обработка данных проводилась с использованием функций языка статистического программирования R4.4.2</w:t>
      </w:r>
      <w:r>
        <w:t xml:space="preserve"> </w:t>
      </w:r>
      <w:r>
        <w:t xml:space="preserve">(R Core Team 2023)</w:t>
      </w:r>
      <w:r>
        <w:t xml:space="preserve">.</w:t>
      </w:r>
    </w:p>
    <w:p>
      <w:pPr>
        <w:pStyle w:val="BodyText"/>
      </w:pPr>
      <w:r>
        <w:t xml:space="preserve">Для оценки степени прибойности была введена величина</w:t>
      </w:r>
      <w:r>
        <w:t xml:space="preserve"> </w:t>
      </w:r>
      <w:r>
        <w:t xml:space="preserve">“</w:t>
      </w:r>
      <w:r>
        <w:t xml:space="preserve">fetch</w:t>
      </w:r>
      <w:r>
        <w:t xml:space="preserve">”</w:t>
      </w:r>
      <w:r>
        <w:t xml:space="preserve"> </w:t>
      </w:r>
      <w:r>
        <w:t xml:space="preserve">(LaBarre et al. 2023)</w:t>
      </w:r>
      <w:r>
        <w:t xml:space="preserve">,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w:t>
      </w:r>
      <w:r>
        <w:t xml:space="preserve"> </w:t>
      </w:r>
      <w:r>
        <w:t xml:space="preserve">“</w:t>
      </w:r>
      <w:r>
        <w:t xml:space="preserve">waver</w:t>
      </w:r>
      <w:r>
        <w:t xml:space="preserve">”</w:t>
      </w:r>
      <w:r>
        <w:t xml:space="preserve"> </w:t>
      </w:r>
      <w:r>
        <w:t xml:space="preserve">(Marchand and Gill 2018)</w:t>
      </w:r>
      <w:r>
        <w:t xml:space="preserve">.</w:t>
      </w:r>
    </w:p>
    <w:p>
      <w:pPr>
        <w:pStyle w:val="BodyText"/>
      </w:pPr>
      <w:r>
        <w:t xml:space="preserve">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pPr>
        <w:pStyle w:val="BodyText"/>
      </w:pPr>
      <w:r>
        <w:t xml:space="preserve">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w:t>
      </w:r>
      <w:r>
        <w:t xml:space="preserve"> </w:t>
      </w:r>
      <w:r>
        <w:t xml:space="preserve">“</w:t>
      </w:r>
      <w:r>
        <w:t xml:space="preserve">вид фукоида</w:t>
      </w:r>
      <w:r>
        <w:t xml:space="preserve">”</w:t>
      </w:r>
      <w:r>
        <w:t xml:space="preserve">.</w:t>
      </w:r>
    </w:p>
    <w:p>
      <w:pPr>
        <w:pStyle w:val="BodyText"/>
      </w:pPr>
      <w:r>
        <w:t xml:space="preserve">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w:t>
      </w:r>
      <w:r>
        <w:t xml:space="preserve"> </w:t>
      </w:r>
      <w:r>
        <w:t xml:space="preserve">“</w:t>
      </w:r>
      <w:r>
        <w:t xml:space="preserve">mgcv</w:t>
      </w:r>
      <w:r>
        <w:t xml:space="preserve">”</w:t>
      </w:r>
      <w:r>
        <w:t xml:space="preserve"> </w:t>
      </w:r>
      <w:r>
        <w:t xml:space="preserve">(Wood 2017)</w:t>
      </w:r>
      <w:r>
        <w:t xml:space="preserve">. Визуализация постоенных моделей призводилась с помощью пакета</w:t>
      </w:r>
      <w:r>
        <w:t xml:space="preserve"> </w:t>
      </w:r>
      <w:r>
        <w:t xml:space="preserve">“</w:t>
      </w:r>
      <w:r>
        <w:t xml:space="preserve">gratia</w:t>
      </w:r>
      <w:r>
        <w:t xml:space="preserve">”</w:t>
      </w:r>
      <w:r>
        <w:t xml:space="preserve"> </w:t>
      </w:r>
      <w:r>
        <w:t xml:space="preserve">(Simpson 2024)</w:t>
      </w:r>
    </w:p>
    <w:bookmarkEnd w:id="36"/>
    <w:bookmarkEnd w:id="37"/>
    <w:bookmarkStart w:id="46" w:name="результаты"/>
    <w:p>
      <w:pPr>
        <w:pStyle w:val="Heading1"/>
      </w:pPr>
      <w:r>
        <w:t xml:space="preserve">Результаты</w:t>
      </w:r>
    </w:p>
    <w:p>
      <w:pPr>
        <w:pStyle w:val="FirstParagraph"/>
      </w:pPr>
      <w:r>
        <w:t xml:space="preserve">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bookmarkStart w:id="41" w:name="связь-обилия-мидий-с-факторами"/>
    <w:p>
      <w:pPr>
        <w:pStyle w:val="Heading2"/>
      </w:pPr>
      <w:r>
        <w:t xml:space="preserve">Связь обилия мидий с факторами</w:t>
      </w:r>
    </w:p>
    <w:p>
      <w:pPr>
        <w:pStyle w:val="FirstParagraph"/>
      </w:pPr>
      <w: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w:t>
      </w:r>
      <w:r>
        <w:t xml:space="preserve"> </w:t>
      </w:r>
      <w:r>
        <w:rPr>
          <w:i/>
          <w:iCs/>
        </w:rPr>
        <w:t xml:space="preserve">A.nodosum</w:t>
      </w:r>
      <w:r>
        <w:t xml:space="preserve"> </w:t>
      </w:r>
      <w:r>
        <w:t xml:space="preserve">и</w:t>
      </w:r>
      <w:r>
        <w:t xml:space="preserve"> </w:t>
      </w:r>
      <w:r>
        <w:rPr>
          <w:i/>
          <w:iCs/>
        </w:rPr>
        <w:t xml:space="preserve">F.vesiculusus</w:t>
      </w:r>
      <w:r>
        <w:t xml:space="preserve">. Однако, обилие двух морфотипов значимо зависит от прибойности (Табл. 1 и 2).</w:t>
      </w:r>
    </w:p>
    <w:p>
      <w:pPr>
        <w:pStyle w:val="TableCaption"/>
      </w:pPr>
      <w:r>
        <w:t xml:space="preserve">Таблица 1. Параметры модели, описвающей связь плотности поселения мидий E-морфотипа с изученными факторами.</w:t>
      </w:r>
      <w:r>
        <w:t xml:space="preserve"> </w:t>
      </w:r>
      <w:r>
        <w:t xml:space="preserve">Параметрическая часть модели.</w:t>
      </w:r>
    </w:p>
    <w:tbl>
      <w:tblPr>
        <w:tblStyle w:val="Table"/>
        <w:tblW w:type="pct" w:w="5000"/>
        <w:tblLayout w:type="fixed"/>
        <w:tblLook w:firstRow="1" w:lastRow="0" w:firstColumn="0" w:lastColumn="0" w:noHBand="0" w:noVBand="0" w:val="0020"/>
        <w:tblCaption w:val="Таблица 1. Параметры модели, описвающей связь плотности поселения мидий E-морфотипа с изученными факторами. Параметрическая часть модели."/>
      </w:tblPr>
      <w:tblGrid>
        <w:gridCol w:w="1418"/>
        <w:gridCol w:w="2009"/>
        <w:gridCol w:w="2245"/>
        <w:gridCol w:w="1300"/>
        <w:gridCol w:w="945"/>
      </w:tblGrid>
      <w:tr>
        <w:trPr>
          <w:tblHeader w:val="on"/>
        </w:trPr>
        <w:tc>
          <w:tcPr/>
          <w:p>
            <w:pPr>
              <w:pStyle w:val="Compact"/>
              <w:jc w:val="left"/>
            </w:pPr>
            <w:r>
              <w:t xml:space="preserve">Член модели</w:t>
            </w:r>
          </w:p>
        </w:tc>
        <w:tc>
          <w:tcPr/>
          <w:p>
            <w:pPr>
              <w:pStyle w:val="Compact"/>
              <w:jc w:val="right"/>
            </w:pPr>
            <w:r>
              <w:t xml:space="preserve">Оценка параметра</w:t>
            </w:r>
          </w:p>
        </w:tc>
        <w:tc>
          <w:tcPr/>
          <w:p>
            <w:pPr>
              <w:pStyle w:val="Compact"/>
              <w:jc w:val="right"/>
            </w:pPr>
            <w:r>
              <w:t xml:space="preserve">Стандартная ошибка</w:t>
            </w:r>
          </w:p>
        </w:tc>
        <w:tc>
          <w:tcPr/>
          <w:p>
            <w:pPr>
              <w:pStyle w:val="Compact"/>
              <w:jc w:val="right"/>
            </w:pPr>
            <w:r>
              <w:t xml:space="preserve">t-критерий</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0.12</w:t>
            </w:r>
          </w:p>
        </w:tc>
        <w:tc>
          <w:tcPr/>
          <w:p>
            <w:pPr>
              <w:pStyle w:val="Compact"/>
              <w:jc w:val="right"/>
            </w:pPr>
            <w:r>
              <w:t xml:space="preserve">0.025</w:t>
            </w:r>
          </w:p>
        </w:tc>
        <w:tc>
          <w:tcPr/>
          <w:p>
            <w:pPr>
              <w:pStyle w:val="Compact"/>
              <w:jc w:val="right"/>
            </w:pPr>
            <w:r>
              <w:t xml:space="preserve">4.9</w:t>
            </w:r>
          </w:p>
        </w:tc>
        <w:tc>
          <w:tcPr/>
          <w:p>
            <w:pPr>
              <w:pStyle w:val="Compact"/>
              <w:jc w:val="right"/>
            </w:pPr>
            <w:r>
              <w:t xml:space="preserve">0.0000</w:t>
            </w:r>
          </w:p>
        </w:tc>
      </w:tr>
      <w:tr>
        <w:tc>
          <w:tcPr/>
          <w:p>
            <w:pPr>
              <w:pStyle w:val="Compact"/>
              <w:jc w:val="left"/>
            </w:pPr>
            <w:r>
              <w:t xml:space="preserve">FucoidF</w:t>
            </w:r>
          </w:p>
        </w:tc>
        <w:tc>
          <w:tcPr/>
          <w:p>
            <w:pPr>
              <w:pStyle w:val="Compact"/>
              <w:jc w:val="right"/>
            </w:pPr>
            <w:r>
              <w:t xml:space="preserve">0.04</w:t>
            </w:r>
          </w:p>
        </w:tc>
        <w:tc>
          <w:tcPr/>
          <w:p>
            <w:pPr>
              <w:pStyle w:val="Compact"/>
              <w:jc w:val="right"/>
            </w:pPr>
            <w:r>
              <w:t xml:space="preserve">0.035</w:t>
            </w:r>
          </w:p>
        </w:tc>
        <w:tc>
          <w:tcPr/>
          <w:p>
            <w:pPr>
              <w:pStyle w:val="Compact"/>
              <w:jc w:val="right"/>
            </w:pPr>
            <w:r>
              <w:t xml:space="preserve">1.0</w:t>
            </w:r>
          </w:p>
        </w:tc>
        <w:tc>
          <w:tcPr/>
          <w:p>
            <w:pPr>
              <w:pStyle w:val="Compact"/>
              <w:jc w:val="right"/>
            </w:pPr>
            <w:r>
              <w:t xml:space="preserve">0.3266</w:t>
            </w:r>
          </w:p>
        </w:tc>
      </w:tr>
    </w:tbl>
    <w:p/>
    <w:p>
      <w:pPr>
        <w:pStyle w:val="TableCaption"/>
      </w:pPr>
      <w:r>
        <w:t xml:space="preserve">Таблица 2 (продолжение). Сглаживающие функции.</w:t>
      </w:r>
    </w:p>
    <w:tbl>
      <w:tblPr>
        <w:tblStyle w:val="Table"/>
        <w:tblW w:type="auto" w:w="0"/>
        <w:tblLook w:firstRow="1" w:lastRow="0" w:firstColumn="0" w:lastColumn="0" w:noHBand="0" w:noVBand="0" w:val="0020"/>
        <w:tblCaption w:val="Таблица 2 (продолжение). Сглаживающие функции."/>
      </w:tblPr>
      <w:tblGrid>
        <w:gridCol w:w="1980"/>
        <w:gridCol w:w="1980"/>
        <w:gridCol w:w="1980"/>
        <w:gridCol w:w="1980"/>
      </w:tblGrid>
      <w:tr>
        <w:trPr>
          <w:tblHeader w:val="on"/>
        </w:trPr>
        <w:tc>
          <w:tcPr/>
          <w:p>
            <w:pPr>
              <w:pStyle w:val="Compact"/>
              <w:jc w:val="left"/>
            </w:pPr>
            <w:r>
              <w:t xml:space="preserve">Член модели</w:t>
            </w:r>
          </w:p>
        </w:tc>
        <w:tc>
          <w:tcPr/>
          <w:p>
            <w:pPr>
              <w:pStyle w:val="Compact"/>
              <w:jc w:val="right"/>
            </w:pPr>
            <w:r>
              <w:t xml:space="preserve">edf</w:t>
            </w:r>
          </w:p>
        </w:tc>
        <w:tc>
          <w:tcPr/>
          <w:p>
            <w:pPr>
              <w:pStyle w:val="Compact"/>
              <w:jc w:val="right"/>
            </w:pPr>
            <w:r>
              <w:t xml:space="preserve">f-критерий</w:t>
            </w:r>
          </w:p>
        </w:tc>
        <w:tc>
          <w:tcPr/>
          <w:p>
            <w:pPr>
              <w:pStyle w:val="Compact"/>
              <w:jc w:val="right"/>
            </w:pPr>
            <w:r>
              <w:t xml:space="preserve">p-value</w:t>
            </w:r>
          </w:p>
        </w:tc>
      </w:tr>
      <w:tr>
        <w:tc>
          <w:tcPr/>
          <w:p>
            <w:pPr>
              <w:pStyle w:val="Compact"/>
              <w:jc w:val="left"/>
            </w:pPr>
            <w:r>
              <w:t xml:space="preserve">s(log(fetch)):FucoidA</w:t>
            </w:r>
          </w:p>
        </w:tc>
        <w:tc>
          <w:tcPr/>
          <w:p>
            <w:pPr>
              <w:pStyle w:val="Compact"/>
              <w:jc w:val="right"/>
            </w:pPr>
            <w:r>
              <w:t xml:space="preserve">1.0</w:t>
            </w:r>
          </w:p>
        </w:tc>
        <w:tc>
          <w:tcPr/>
          <w:p>
            <w:pPr>
              <w:pStyle w:val="Compact"/>
              <w:jc w:val="right"/>
            </w:pPr>
            <w:r>
              <w:t xml:space="preserve">5.3</w:t>
            </w:r>
          </w:p>
        </w:tc>
        <w:tc>
          <w:tcPr/>
          <w:p>
            <w:pPr>
              <w:pStyle w:val="Compact"/>
              <w:jc w:val="right"/>
            </w:pPr>
            <w:r>
              <w:t xml:space="preserve">0.0259</w:t>
            </w:r>
          </w:p>
        </w:tc>
      </w:tr>
      <w:tr>
        <w:tc>
          <w:tcPr/>
          <w:p>
            <w:pPr>
              <w:pStyle w:val="Compact"/>
              <w:jc w:val="left"/>
            </w:pPr>
            <w:r>
              <w:t xml:space="preserve">s(log(fetch)):FucoidF</w:t>
            </w:r>
          </w:p>
        </w:tc>
        <w:tc>
          <w:tcPr/>
          <w:p>
            <w:pPr>
              <w:pStyle w:val="Compact"/>
              <w:jc w:val="right"/>
            </w:pPr>
            <w:r>
              <w:t xml:space="preserve">1.9</w:t>
            </w:r>
          </w:p>
        </w:tc>
        <w:tc>
          <w:tcPr/>
          <w:p>
            <w:pPr>
              <w:pStyle w:val="Compact"/>
              <w:jc w:val="right"/>
            </w:pPr>
            <w:r>
              <w:t xml:space="preserve">10.3</w:t>
            </w:r>
          </w:p>
        </w:tc>
        <w:tc>
          <w:tcPr/>
          <w:p>
            <w:pPr>
              <w:pStyle w:val="Compact"/>
              <w:jc w:val="right"/>
            </w:pPr>
            <w:r>
              <w:t xml:space="preserve">0.0001</w:t>
            </w:r>
          </w:p>
        </w:tc>
      </w:tr>
    </w:tbl>
    <w:p/>
    <w:p>
      <w:pPr>
        <w:pStyle w:val="TableCaption"/>
      </w:pPr>
      <w:r>
        <w:t xml:space="preserve">Таблица 2. Параметры модели, описвающей связь плотности поселения мидий T-морфотипа с изученными факторами.</w:t>
      </w:r>
      <w:r>
        <w:t xml:space="preserve"> </w:t>
      </w:r>
      <w:r>
        <w:t xml:space="preserve">Параметрическая часть модели.</w:t>
      </w:r>
    </w:p>
    <w:tbl>
      <w:tblPr>
        <w:tblStyle w:val="Table"/>
        <w:tblW w:type="pct" w:w="5000"/>
        <w:tblLayout w:type="fixed"/>
        <w:tblLook w:firstRow="1" w:lastRow="0" w:firstColumn="0" w:lastColumn="0" w:noHBand="0" w:noVBand="0" w:val="0020"/>
        <w:tblCaption w:val="Таблица 2. Параметры модели, описвающей связь плотности поселения мидий T-морфотипа с изученными факторами. Параметрическая часть модели."/>
      </w:tblPr>
      <w:tblGrid>
        <w:gridCol w:w="1418"/>
        <w:gridCol w:w="2009"/>
        <w:gridCol w:w="2245"/>
        <w:gridCol w:w="1300"/>
        <w:gridCol w:w="945"/>
      </w:tblGrid>
      <w:tr>
        <w:trPr>
          <w:tblHeader w:val="on"/>
        </w:trPr>
        <w:tc>
          <w:tcPr/>
          <w:p>
            <w:pPr>
              <w:pStyle w:val="Compact"/>
              <w:jc w:val="left"/>
            </w:pPr>
            <w:r>
              <w:t xml:space="preserve">Член модели</w:t>
            </w:r>
          </w:p>
        </w:tc>
        <w:tc>
          <w:tcPr/>
          <w:p>
            <w:pPr>
              <w:pStyle w:val="Compact"/>
              <w:jc w:val="right"/>
            </w:pPr>
            <w:r>
              <w:t xml:space="preserve">Оценка параметра</w:t>
            </w:r>
          </w:p>
        </w:tc>
        <w:tc>
          <w:tcPr/>
          <w:p>
            <w:pPr>
              <w:pStyle w:val="Compact"/>
              <w:jc w:val="right"/>
            </w:pPr>
            <w:r>
              <w:t xml:space="preserve">Стандартная ошибка</w:t>
            </w:r>
          </w:p>
        </w:tc>
        <w:tc>
          <w:tcPr/>
          <w:p>
            <w:pPr>
              <w:pStyle w:val="Compact"/>
              <w:jc w:val="right"/>
            </w:pPr>
            <w:r>
              <w:t xml:space="preserve">t-критерий</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0.12</w:t>
            </w:r>
          </w:p>
        </w:tc>
        <w:tc>
          <w:tcPr/>
          <w:p>
            <w:pPr>
              <w:pStyle w:val="Compact"/>
              <w:jc w:val="right"/>
            </w:pPr>
            <w:r>
              <w:t xml:space="preserve">0.025</w:t>
            </w:r>
          </w:p>
        </w:tc>
        <w:tc>
          <w:tcPr/>
          <w:p>
            <w:pPr>
              <w:pStyle w:val="Compact"/>
              <w:jc w:val="right"/>
            </w:pPr>
            <w:r>
              <w:t xml:space="preserve">4.9</w:t>
            </w:r>
          </w:p>
        </w:tc>
        <w:tc>
          <w:tcPr/>
          <w:p>
            <w:pPr>
              <w:pStyle w:val="Compact"/>
              <w:jc w:val="right"/>
            </w:pPr>
            <w:r>
              <w:t xml:space="preserve">0.0000</w:t>
            </w:r>
          </w:p>
        </w:tc>
      </w:tr>
      <w:tr>
        <w:tc>
          <w:tcPr/>
          <w:p>
            <w:pPr>
              <w:pStyle w:val="Compact"/>
              <w:jc w:val="left"/>
            </w:pPr>
            <w:r>
              <w:t xml:space="preserve">FucoidF</w:t>
            </w:r>
          </w:p>
        </w:tc>
        <w:tc>
          <w:tcPr/>
          <w:p>
            <w:pPr>
              <w:pStyle w:val="Compact"/>
              <w:jc w:val="right"/>
            </w:pPr>
            <w:r>
              <w:t xml:space="preserve">0.04</w:t>
            </w:r>
          </w:p>
        </w:tc>
        <w:tc>
          <w:tcPr/>
          <w:p>
            <w:pPr>
              <w:pStyle w:val="Compact"/>
              <w:jc w:val="right"/>
            </w:pPr>
            <w:r>
              <w:t xml:space="preserve">0.035</w:t>
            </w:r>
          </w:p>
        </w:tc>
        <w:tc>
          <w:tcPr/>
          <w:p>
            <w:pPr>
              <w:pStyle w:val="Compact"/>
              <w:jc w:val="right"/>
            </w:pPr>
            <w:r>
              <w:t xml:space="preserve">1.0</w:t>
            </w:r>
          </w:p>
        </w:tc>
        <w:tc>
          <w:tcPr/>
          <w:p>
            <w:pPr>
              <w:pStyle w:val="Compact"/>
              <w:jc w:val="right"/>
            </w:pPr>
            <w:r>
              <w:t xml:space="preserve">0.3266</w:t>
            </w:r>
          </w:p>
        </w:tc>
      </w:tr>
    </w:tbl>
    <w:p/>
    <w:p>
      <w:pPr>
        <w:pStyle w:val="TableCaption"/>
      </w:pPr>
      <w:r>
        <w:t xml:space="preserve">Таблица 2 (продолжение). Сглаживающие функции.</w:t>
      </w:r>
    </w:p>
    <w:tbl>
      <w:tblPr>
        <w:tblStyle w:val="Table"/>
        <w:tblW w:type="auto" w:w="0"/>
        <w:tblLook w:firstRow="1" w:lastRow="0" w:firstColumn="0" w:lastColumn="0" w:noHBand="0" w:noVBand="0" w:val="0020"/>
        <w:tblCaption w:val="Таблица 2 (продолжение). Сглаживающие функции."/>
      </w:tblPr>
      <w:tblGrid>
        <w:gridCol w:w="1980"/>
        <w:gridCol w:w="1980"/>
        <w:gridCol w:w="1980"/>
        <w:gridCol w:w="1980"/>
      </w:tblGrid>
      <w:tr>
        <w:trPr>
          <w:tblHeader w:val="on"/>
        </w:trPr>
        <w:tc>
          <w:tcPr/>
          <w:p>
            <w:pPr>
              <w:pStyle w:val="Compact"/>
              <w:jc w:val="left"/>
            </w:pPr>
            <w:r>
              <w:t xml:space="preserve">Член модели</w:t>
            </w:r>
          </w:p>
        </w:tc>
        <w:tc>
          <w:tcPr/>
          <w:p>
            <w:pPr>
              <w:pStyle w:val="Compact"/>
              <w:jc w:val="right"/>
            </w:pPr>
            <w:r>
              <w:t xml:space="preserve">edf</w:t>
            </w:r>
          </w:p>
        </w:tc>
        <w:tc>
          <w:tcPr/>
          <w:p>
            <w:pPr>
              <w:pStyle w:val="Compact"/>
              <w:jc w:val="right"/>
            </w:pPr>
            <w:r>
              <w:t xml:space="preserve">f-критерий</w:t>
            </w:r>
          </w:p>
        </w:tc>
        <w:tc>
          <w:tcPr/>
          <w:p>
            <w:pPr>
              <w:pStyle w:val="Compact"/>
              <w:jc w:val="right"/>
            </w:pPr>
            <w:r>
              <w:t xml:space="preserve">p-value</w:t>
            </w:r>
          </w:p>
        </w:tc>
      </w:tr>
      <w:tr>
        <w:tc>
          <w:tcPr/>
          <w:p>
            <w:pPr>
              <w:pStyle w:val="Compact"/>
              <w:jc w:val="left"/>
            </w:pPr>
            <w:r>
              <w:t xml:space="preserve">s(log(fetch)):FucoidA</w:t>
            </w:r>
          </w:p>
        </w:tc>
        <w:tc>
          <w:tcPr/>
          <w:p>
            <w:pPr>
              <w:pStyle w:val="Compact"/>
              <w:jc w:val="right"/>
            </w:pPr>
            <w:r>
              <w:t xml:space="preserve">1.0</w:t>
            </w:r>
          </w:p>
        </w:tc>
        <w:tc>
          <w:tcPr/>
          <w:p>
            <w:pPr>
              <w:pStyle w:val="Compact"/>
              <w:jc w:val="right"/>
            </w:pPr>
            <w:r>
              <w:t xml:space="preserve">5.3</w:t>
            </w:r>
          </w:p>
        </w:tc>
        <w:tc>
          <w:tcPr/>
          <w:p>
            <w:pPr>
              <w:pStyle w:val="Compact"/>
              <w:jc w:val="right"/>
            </w:pPr>
            <w:r>
              <w:t xml:space="preserve">0.0259</w:t>
            </w:r>
          </w:p>
        </w:tc>
      </w:tr>
      <w:tr>
        <w:tc>
          <w:tcPr/>
          <w:p>
            <w:pPr>
              <w:pStyle w:val="Compact"/>
              <w:jc w:val="left"/>
            </w:pPr>
            <w:r>
              <w:t xml:space="preserve">s(log(fetch)):FucoidF</w:t>
            </w:r>
          </w:p>
        </w:tc>
        <w:tc>
          <w:tcPr/>
          <w:p>
            <w:pPr>
              <w:pStyle w:val="Compact"/>
              <w:jc w:val="right"/>
            </w:pPr>
            <w:r>
              <w:t xml:space="preserve">1.9</w:t>
            </w:r>
          </w:p>
        </w:tc>
        <w:tc>
          <w:tcPr/>
          <w:p>
            <w:pPr>
              <w:pStyle w:val="Compact"/>
              <w:jc w:val="right"/>
            </w:pPr>
            <w:r>
              <w:t xml:space="preserve">10.3</w:t>
            </w:r>
          </w:p>
        </w:tc>
        <w:tc>
          <w:tcPr/>
          <w:p>
            <w:pPr>
              <w:pStyle w:val="Compact"/>
              <w:jc w:val="right"/>
            </w:pPr>
            <w:r>
              <w:t xml:space="preserve">0.0001</w:t>
            </w:r>
          </w:p>
        </w:tc>
      </w:tr>
    </w:tbl>
    <w:p>
      <w:pPr>
        <w:pStyle w:val="BodyText"/>
      </w:pPr>
      <w: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w:t>
      </w:r>
      <w:r>
        <w:t xml:space="preserve"> </w:t>
      </w:r>
      <w:r>
        <w:rPr>
          <w:i/>
          <w:iCs/>
        </w:rPr>
        <w:t xml:space="preserve">F. vesiculosus</w:t>
      </w:r>
      <w:r>
        <w:t xml:space="preserve">, так и на</w:t>
      </w:r>
      <w:r>
        <w:t xml:space="preserve"> </w:t>
      </w:r>
      <w:r>
        <w:rPr>
          <w:i/>
          <w:iCs/>
        </w:rPr>
        <w:t xml:space="preserve">A. nodosum</w:t>
      </w:r>
      <w:r>
        <w:t xml:space="preserve">.</w:t>
      </w:r>
    </w:p>
    <w:p>
      <w:pPr>
        <w:pStyle w:val="CaptionedFigure"/>
      </w:pPr>
      <w:r>
        <w:drawing>
          <wp:inline>
            <wp:extent cx="4620126" cy="3696101"/>
            <wp:effectExtent b="0" l="0" r="0" t="0"/>
            <wp:docPr descr="Рисунок 2. Связь плотности поселения мидий разных морфотиов с величиной прибойности" title="" id="39" name="Picture"/>
            <a:graphic>
              <a:graphicData uri="http://schemas.openxmlformats.org/drawingml/2006/picture">
                <pic:pic>
                  <pic:nvPicPr>
                    <pic:cNvPr descr="Fedorova_2024_VMKh_files/figure-docx/визуализация%20плотностей%20поселений-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2. Связь плотности поселения мидий разных морфотиов с величиной прибойности</w:t>
      </w:r>
    </w:p>
    <w:bookmarkEnd w:id="41"/>
    <w:bookmarkStart w:id="45" w:name="X31d4f73256d4d223f59b4906725e72b5387c14d"/>
    <w:p>
      <w:pPr>
        <w:pStyle w:val="Heading2"/>
      </w:pPr>
      <w:r>
        <w:t xml:space="preserve">Таксономический состав поселений на фукоидах</w:t>
      </w:r>
    </w:p>
    <w:p>
      <w:pPr>
        <w:pStyle w:val="FirstParagraph"/>
      </w:pPr>
      <w: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w:t>
      </w:r>
      <w:r>
        <w:t xml:space="preserve"> </w:t>
      </w:r>
      <w:r>
        <w:rPr>
          <w:i/>
          <w:iCs/>
        </w:rPr>
        <w:t xml:space="preserve">F.vesiculosus</w:t>
      </w:r>
      <w:r>
        <w:t xml:space="preserve"> </w:t>
      </w:r>
      <w:r>
        <w:t xml:space="preserve">(Табл.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w:t>
      </w:r>
      <w:r>
        <w:t xml:space="preserve"> </w:t>
      </w:r>
      <w:r>
        <w:rPr>
          <w:i/>
          <w:iCs/>
        </w:rPr>
        <w:t xml:space="preserve">A.nodosum</w:t>
      </w:r>
      <w:r>
        <w:t xml:space="preserve"> </w:t>
      </w:r>
      <w:r>
        <w:t xml:space="preserve">не выявлено.</w:t>
      </w:r>
    </w:p>
    <w:p>
      <w:pPr>
        <w:pStyle w:val="TableCaption"/>
      </w:pPr>
      <w:r>
        <w:t xml:space="preserve">Таблица 3. Параметры модели, описывающие соотношение T и E морфотипов с изученными факторами</w:t>
      </w:r>
      <w:r>
        <w:t xml:space="preserve"> </w:t>
      </w:r>
      <w:r>
        <w:t xml:space="preserve">Параметрическая часть модели.</w:t>
      </w:r>
    </w:p>
    <w:tbl>
      <w:tblPr>
        <w:tblStyle w:val="Table"/>
        <w:tblW w:type="pct" w:w="5000"/>
        <w:tblLayout w:type="fixed"/>
        <w:tblLook w:firstRow="1" w:lastRow="0" w:firstColumn="0" w:lastColumn="0" w:noHBand="0" w:noVBand="0" w:val="0020"/>
        <w:tblCaption w:val="Таблица 3. Параметры модели, описывающие соотношение T и E морфотипов с изученными факторами Параметрическая часть модели."/>
      </w:tblPr>
      <w:tblGrid>
        <w:gridCol w:w="1418"/>
        <w:gridCol w:w="2009"/>
        <w:gridCol w:w="2245"/>
        <w:gridCol w:w="1300"/>
        <w:gridCol w:w="945"/>
      </w:tblGrid>
      <w:tr>
        <w:trPr>
          <w:tblHeader w:val="on"/>
        </w:trPr>
        <w:tc>
          <w:tcPr/>
          <w:p>
            <w:pPr>
              <w:pStyle w:val="Compact"/>
              <w:jc w:val="left"/>
            </w:pPr>
            <w:r>
              <w:t xml:space="preserve">Член модели</w:t>
            </w:r>
          </w:p>
        </w:tc>
        <w:tc>
          <w:tcPr/>
          <w:p>
            <w:pPr>
              <w:pStyle w:val="Compact"/>
              <w:jc w:val="right"/>
            </w:pPr>
            <w:r>
              <w:t xml:space="preserve">Оценка параметра</w:t>
            </w:r>
          </w:p>
        </w:tc>
        <w:tc>
          <w:tcPr/>
          <w:p>
            <w:pPr>
              <w:pStyle w:val="Compact"/>
              <w:jc w:val="right"/>
            </w:pPr>
            <w:r>
              <w:t xml:space="preserve">Стандартная ошибка</w:t>
            </w:r>
          </w:p>
        </w:tc>
        <w:tc>
          <w:tcPr/>
          <w:p>
            <w:pPr>
              <w:pStyle w:val="Compact"/>
              <w:jc w:val="right"/>
            </w:pPr>
            <w:r>
              <w:t xml:space="preserve">t-критерий</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0.57</w:t>
            </w:r>
          </w:p>
        </w:tc>
        <w:tc>
          <w:tcPr/>
          <w:p>
            <w:pPr>
              <w:pStyle w:val="Compact"/>
              <w:jc w:val="right"/>
            </w:pPr>
            <w:r>
              <w:t xml:space="preserve">0.035</w:t>
            </w:r>
          </w:p>
        </w:tc>
        <w:tc>
          <w:tcPr/>
          <w:p>
            <w:pPr>
              <w:pStyle w:val="Compact"/>
              <w:jc w:val="right"/>
            </w:pPr>
            <w:r>
              <w:t xml:space="preserve">16.5</w:t>
            </w:r>
          </w:p>
        </w:tc>
        <w:tc>
          <w:tcPr/>
          <w:p>
            <w:pPr>
              <w:pStyle w:val="Compact"/>
              <w:jc w:val="right"/>
            </w:pPr>
            <w:r>
              <w:t xml:space="preserve">0.0000</w:t>
            </w:r>
          </w:p>
        </w:tc>
      </w:tr>
      <w:tr>
        <w:tc>
          <w:tcPr/>
          <w:p>
            <w:pPr>
              <w:pStyle w:val="Compact"/>
              <w:jc w:val="left"/>
            </w:pPr>
            <w:r>
              <w:t xml:space="preserve">FucoidF</w:t>
            </w:r>
          </w:p>
        </w:tc>
        <w:tc>
          <w:tcPr/>
          <w:p>
            <w:pPr>
              <w:pStyle w:val="Compact"/>
              <w:jc w:val="right"/>
            </w:pPr>
            <w:r>
              <w:t xml:space="preserve">-0.05</w:t>
            </w:r>
          </w:p>
        </w:tc>
        <w:tc>
          <w:tcPr/>
          <w:p>
            <w:pPr>
              <w:pStyle w:val="Compact"/>
              <w:jc w:val="right"/>
            </w:pPr>
            <w:r>
              <w:t xml:space="preserve">0.050</w:t>
            </w:r>
          </w:p>
        </w:tc>
        <w:tc>
          <w:tcPr/>
          <w:p>
            <w:pPr>
              <w:pStyle w:val="Compact"/>
              <w:jc w:val="right"/>
            </w:pPr>
            <w:r>
              <w:t xml:space="preserve">-0.9</w:t>
            </w:r>
          </w:p>
        </w:tc>
        <w:tc>
          <w:tcPr/>
          <w:p>
            <w:pPr>
              <w:pStyle w:val="Compact"/>
              <w:jc w:val="right"/>
            </w:pPr>
            <w:r>
              <w:t xml:space="preserve">0.3653</w:t>
            </w:r>
          </w:p>
        </w:tc>
      </w:tr>
    </w:tbl>
    <w:p/>
    <w:p>
      <w:pPr>
        <w:pStyle w:val="TableCaption"/>
      </w:pPr>
      <w:r>
        <w:t xml:space="preserve">Таблица 3 (продолжение). Сглаживающие функции.</w:t>
      </w:r>
    </w:p>
    <w:tbl>
      <w:tblPr>
        <w:tblStyle w:val="Table"/>
        <w:tblW w:type="auto" w:w="0"/>
        <w:tblLook w:firstRow="1" w:lastRow="0" w:firstColumn="0" w:lastColumn="0" w:noHBand="0" w:noVBand="0" w:val="0020"/>
        <w:tblCaption w:val="Таблица 3 (продолжение). Сглаживающие функции."/>
      </w:tblPr>
      <w:tblGrid>
        <w:gridCol w:w="1980"/>
        <w:gridCol w:w="1980"/>
        <w:gridCol w:w="1980"/>
        <w:gridCol w:w="1980"/>
      </w:tblGrid>
      <w:tr>
        <w:trPr>
          <w:tblHeader w:val="on"/>
        </w:trPr>
        <w:tc>
          <w:tcPr/>
          <w:p>
            <w:pPr>
              <w:pStyle w:val="Compact"/>
              <w:jc w:val="left"/>
            </w:pPr>
            <w:r>
              <w:t xml:space="preserve">Член модели</w:t>
            </w:r>
          </w:p>
        </w:tc>
        <w:tc>
          <w:tcPr/>
          <w:p>
            <w:pPr>
              <w:pStyle w:val="Compact"/>
              <w:jc w:val="right"/>
            </w:pPr>
            <w:r>
              <w:t xml:space="preserve">edf</w:t>
            </w:r>
          </w:p>
        </w:tc>
        <w:tc>
          <w:tcPr/>
          <w:p>
            <w:pPr>
              <w:pStyle w:val="Compact"/>
              <w:jc w:val="right"/>
            </w:pPr>
            <w:r>
              <w:t xml:space="preserve">f-критерий</w:t>
            </w:r>
          </w:p>
        </w:tc>
        <w:tc>
          <w:tcPr/>
          <w:p>
            <w:pPr>
              <w:pStyle w:val="Compact"/>
              <w:jc w:val="right"/>
            </w:pPr>
            <w:r>
              <w:t xml:space="preserve">p-value</w:t>
            </w:r>
          </w:p>
        </w:tc>
      </w:tr>
      <w:tr>
        <w:tc>
          <w:tcPr/>
          <w:p>
            <w:pPr>
              <w:pStyle w:val="Compact"/>
              <w:jc w:val="left"/>
            </w:pPr>
            <w:r>
              <w:t xml:space="preserve">s(log(fetch)):FucoidA</w:t>
            </w:r>
          </w:p>
        </w:tc>
        <w:tc>
          <w:tcPr/>
          <w:p>
            <w:pPr>
              <w:pStyle w:val="Compact"/>
              <w:jc w:val="right"/>
            </w:pPr>
            <w:r>
              <w:t xml:space="preserve">1.0</w:t>
            </w:r>
          </w:p>
        </w:tc>
        <w:tc>
          <w:tcPr/>
          <w:p>
            <w:pPr>
              <w:pStyle w:val="Compact"/>
              <w:jc w:val="right"/>
            </w:pPr>
            <w:r>
              <w:t xml:space="preserve">5.3</w:t>
            </w:r>
          </w:p>
        </w:tc>
        <w:tc>
          <w:tcPr/>
          <w:p>
            <w:pPr>
              <w:pStyle w:val="Compact"/>
              <w:jc w:val="right"/>
            </w:pPr>
            <w:r>
              <w:t xml:space="preserve">0.0259</w:t>
            </w:r>
          </w:p>
        </w:tc>
      </w:tr>
      <w:tr>
        <w:tc>
          <w:tcPr/>
          <w:p>
            <w:pPr>
              <w:pStyle w:val="Compact"/>
              <w:jc w:val="left"/>
            </w:pPr>
            <w:r>
              <w:t xml:space="preserve">s(log(fetch)):FucoidF</w:t>
            </w:r>
          </w:p>
        </w:tc>
        <w:tc>
          <w:tcPr/>
          <w:p>
            <w:pPr>
              <w:pStyle w:val="Compact"/>
              <w:jc w:val="right"/>
            </w:pPr>
            <w:r>
              <w:t xml:space="preserve">1.9</w:t>
            </w:r>
          </w:p>
        </w:tc>
        <w:tc>
          <w:tcPr/>
          <w:p>
            <w:pPr>
              <w:pStyle w:val="Compact"/>
              <w:jc w:val="right"/>
            </w:pPr>
            <w:r>
              <w:t xml:space="preserve">10.3</w:t>
            </w:r>
          </w:p>
        </w:tc>
        <w:tc>
          <w:tcPr/>
          <w:p>
            <w:pPr>
              <w:pStyle w:val="Compact"/>
              <w:jc w:val="right"/>
            </w:pPr>
            <w:r>
              <w:t xml:space="preserve">0.0001</w:t>
            </w:r>
          </w:p>
        </w:tc>
      </w:tr>
    </w:tbl>
    <w:p>
      <w:pPr>
        <w:pStyle w:val="BodyText"/>
      </w:pPr>
      <w:r>
        <w:t xml:space="preserve">Кроме этого, была отмечена ещё одна закономерность (близкая к статистической значимости), на</w:t>
      </w:r>
      <w:r>
        <w:t xml:space="preserve"> </w:t>
      </w:r>
      <w:r>
        <w:rPr>
          <w:i/>
          <w:iCs/>
        </w:rPr>
        <w:t xml:space="preserve">F.vesiculosus</w:t>
      </w:r>
      <w:r>
        <w:t xml:space="preserve"> </w:t>
      </w:r>
      <w:r>
        <w:t xml:space="preserve">при увеличении общей плотности доля T-морфотипа уменьшается (Табл. 3, Рис. 3). На</w:t>
      </w:r>
      <w:r>
        <w:t xml:space="preserve"> </w:t>
      </w:r>
      <w:r>
        <w:rPr>
          <w:i/>
          <w:iCs/>
        </w:rPr>
        <w:t xml:space="preserve">A. nodosum</w:t>
      </w:r>
      <w:r>
        <w:t xml:space="preserve"> </w:t>
      </w:r>
      <w:r>
        <w:t xml:space="preserve">такой закономерности не наблюдалось.</w:t>
      </w:r>
    </w:p>
    <w:p>
      <w:pPr>
        <w:pStyle w:val="CaptionedFigure"/>
      </w:pPr>
      <w:r>
        <w:drawing>
          <wp:inline>
            <wp:extent cx="4620126" cy="3696101"/>
            <wp:effectExtent b="0" l="0" r="0" t="0"/>
            <wp:docPr descr="Рисунок 3. График, отображающий соотношение T и E морфотипа мидий" title="" id="43" name="Picture"/>
            <a:graphic>
              <a:graphicData uri="http://schemas.openxmlformats.org/drawingml/2006/picture">
                <pic:pic>
                  <pic:nvPicPr>
                    <pic:cNvPr descr="Fedorova_2024_VMKh_files/figure-docx/соотношение%20видов%20график-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3. График, отображающий соотношение T и E морфотипа мидий</w:t>
      </w:r>
    </w:p>
    <w:bookmarkEnd w:id="45"/>
    <w:bookmarkEnd w:id="46"/>
    <w:bookmarkStart w:id="47" w:name="обсуждение"/>
    <w:p>
      <w:pPr>
        <w:pStyle w:val="Heading1"/>
      </w:pPr>
      <w:r>
        <w:t xml:space="preserve">Обсуждение</w:t>
      </w:r>
    </w:p>
    <w:p>
      <w:pPr>
        <w:pStyle w:val="FirstParagraph"/>
      </w:pPr>
      <w:r>
        <w:t xml:space="preserve">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 xml:space="preserve">A. nodosum</w:t>
      </w:r>
      <w:r>
        <w:t xml:space="preserve"> </w:t>
      </w:r>
      <w:r>
        <w:t xml:space="preserve">и</w:t>
      </w:r>
      <w:r>
        <w:t xml:space="preserve"> </w:t>
      </w:r>
      <w:r>
        <w:rPr>
          <w:i/>
          <w:iCs/>
        </w:rPr>
        <w:t xml:space="preserve">F. vesiculosus</w:t>
      </w:r>
      <w:r>
        <w:t xml:space="preserve">)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pPr>
        <w:pStyle w:val="BodyText"/>
      </w:pPr>
      <w:r>
        <w:t xml:space="preserve">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pPr>
        <w:pStyle w:val="BodyText"/>
      </w:pPr>
      <w:r>
        <w:t xml:space="preserve">Вторым, не менее важным, фактором является плотность поселения. От плотности зависит и структура</w:t>
      </w:r>
      <w:r>
        <w:t xml:space="preserve"> </w:t>
      </w:r>
      <w:r>
        <w:t xml:space="preserve">(Хайтов 1999)</w:t>
      </w:r>
      <w:r>
        <w:t xml:space="preserve"> </w:t>
      </w:r>
      <w:r>
        <w:t xml:space="preserve">и динамика</w:t>
      </w:r>
      <w:r>
        <w:t xml:space="preserve"> </w:t>
      </w:r>
      <w:r>
        <w:t xml:space="preserve">(Наумов 2006)</w:t>
      </w:r>
      <w:r>
        <w:t xml:space="preserve"> </w:t>
      </w:r>
      <w:r>
        <w:t xml:space="preserve">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w:t>
      </w:r>
      <w:r>
        <w:t xml:space="preserve"> </w:t>
      </w:r>
      <w:r>
        <w:rPr>
          <w:i/>
          <w:iCs/>
        </w:rPr>
        <w:t xml:space="preserve">M.edulis</w:t>
      </w:r>
      <w:r>
        <w:t xml:space="preserve"> </w:t>
      </w:r>
      <w:r>
        <w:t xml:space="preserve">(Е-морфотип) и</w:t>
      </w:r>
      <w:r>
        <w:t xml:space="preserve"> </w:t>
      </w:r>
      <w:r>
        <w:rPr>
          <w:i/>
          <w:iCs/>
        </w:rPr>
        <w:t xml:space="preserve">M.trossulus</w:t>
      </w:r>
      <w:r>
        <w:t xml:space="preserve"> </w:t>
      </w:r>
      <w:r>
        <w:t xml:space="preserve">(T-морфотип)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w:t>
      </w:r>
      <w:r>
        <w:t xml:space="preserve"> </w:t>
      </w:r>
      <w:r>
        <w:rPr>
          <w:i/>
          <w:iCs/>
        </w:rPr>
        <w:t xml:space="preserve">M.edulis</w:t>
      </w:r>
      <w:r>
        <w:t xml:space="preserve">, то доля T-морфотпа должна падать и, наоборот, если выигрывает</w:t>
      </w:r>
      <w:r>
        <w:t xml:space="preserve"> </w:t>
      </w:r>
      <w:r>
        <w:rPr>
          <w:i/>
          <w:iCs/>
        </w:rPr>
        <w:t xml:space="preserve">M.trossulus</w:t>
      </w:r>
      <w:r>
        <w:t xml:space="preserve">, то возрастать.</w:t>
      </w:r>
    </w:p>
    <w:p>
      <w:pPr>
        <w:pStyle w:val="BodyText"/>
      </w:pPr>
      <w: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w:t>
      </w:r>
      <w:r>
        <w:t xml:space="preserve"> </w:t>
      </w:r>
      <w:r>
        <w:rPr>
          <w:i/>
          <w:iCs/>
        </w:rPr>
        <w:t xml:space="preserve">F.vesiculosus</w:t>
      </w:r>
      <w:r>
        <w:t xml:space="preserve">. В поселениях мидий На</w:t>
      </w:r>
      <w:r>
        <w:t xml:space="preserve"> </w:t>
      </w:r>
      <w:r>
        <w:rPr>
          <w:i/>
          <w:iCs/>
        </w:rPr>
        <w:t xml:space="preserve">A. nodosum</w:t>
      </w:r>
      <w:r>
        <w:t xml:space="preserve"> </w:t>
      </w:r>
      <w:r>
        <w:t xml:space="preserve">мы не выявили никаких связей частоты T-морфотипа с изученными факторами. Согласно построенным моделям, если мидии живут на</w:t>
      </w:r>
      <w:r>
        <w:t xml:space="preserve"> </w:t>
      </w:r>
      <w:r>
        <w:rPr>
          <w:i/>
          <w:iCs/>
        </w:rPr>
        <w:t xml:space="preserve">F.vesiculosus</w:t>
      </w:r>
      <w:r>
        <w:t xml:space="preserve"> </w:t>
      </w:r>
      <w:r>
        <w:t xml:space="preserve">доля T-морфотипа (т.е.</w:t>
      </w:r>
      <w:r>
        <w:t xml:space="preserve"> </w:t>
      </w:r>
      <w:r>
        <w:rPr>
          <w:i/>
          <w:iCs/>
        </w:rPr>
        <w:t xml:space="preserve">M.trossulus</w:t>
      </w:r>
      <w: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w:t>
      </w:r>
      <w:r>
        <w:t xml:space="preserve"> </w:t>
      </w:r>
      <w:r>
        <w:rPr>
          <w:i/>
          <w:iCs/>
        </w:rPr>
        <w:t xml:space="preserve">M.trossulus</w:t>
      </w:r>
      <w:r>
        <w:t xml:space="preserve">, живущих на</w:t>
      </w:r>
      <w:r>
        <w:t xml:space="preserve"> </w:t>
      </w:r>
      <w:r>
        <w:rPr>
          <w:i/>
          <w:iCs/>
        </w:rPr>
        <w:t xml:space="preserve">F.vesiculosus</w:t>
      </w:r>
      <w:r>
        <w:t xml:space="preserve"> </w:t>
      </w:r>
      <w:r>
        <w:t xml:space="preserve">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w:t>
      </w:r>
      <w:r>
        <w:t xml:space="preserve"> </w:t>
      </w:r>
      <w:r>
        <w:rPr>
          <w:i/>
          <w:iCs/>
        </w:rPr>
        <w:t xml:space="preserve">M.trossulus</w:t>
      </w:r>
      <w:r>
        <w:t xml:space="preserve"> </w:t>
      </w:r>
      <w:r>
        <w:t xml:space="preserve">более слабые конкуренты, их конкурнетное преимущество над</w:t>
      </w:r>
      <w:r>
        <w:t xml:space="preserve"> </w:t>
      </w:r>
      <w:r>
        <w:rPr>
          <w:i/>
          <w:iCs/>
        </w:rPr>
        <w:t xml:space="preserve">M.edulis</w:t>
      </w:r>
      <w:r>
        <w:t xml:space="preserve"> </w:t>
      </w:r>
      <w:r>
        <w:t xml:space="preserve">начинает проявляться только при низкой плотности поселения, которая наблюдается в условиях высокой прибойности, и при некотором</w:t>
      </w:r>
      <w:r>
        <w:t xml:space="preserve"> </w:t>
      </w:r>
      <w:r>
        <w:t xml:space="preserve">“</w:t>
      </w:r>
      <w:r>
        <w:t xml:space="preserve">содействии</w:t>
      </w:r>
      <w:r>
        <w:t xml:space="preserve">”</w:t>
      </w:r>
      <w:r>
        <w:t xml:space="preserve"> </w:t>
      </w:r>
      <w:r>
        <w:t xml:space="preserve">со стороны</w:t>
      </w:r>
      <w:r>
        <w:t xml:space="preserve"> </w:t>
      </w:r>
      <w:r>
        <w:rPr>
          <w:i/>
          <w:iCs/>
        </w:rPr>
        <w:t xml:space="preserve">F.vesiculosus</w:t>
      </w:r>
      <w:r>
        <w:t xml:space="preserve">. Более слабую способность</w:t>
      </w:r>
      <w:r>
        <w:t xml:space="preserve"> </w:t>
      </w:r>
      <w:r>
        <w:rPr>
          <w:i/>
          <w:iCs/>
        </w:rPr>
        <w:t xml:space="preserve">M.trossulus</w:t>
      </w:r>
      <w:r>
        <w:t xml:space="preserve"> </w:t>
      </w:r>
      <w:r>
        <w:t xml:space="preserve">к конкуренции</w:t>
      </w:r>
      <w:r>
        <w:t xml:space="preserve"> </w:t>
      </w:r>
      <w:r>
        <w:rPr>
          <w:i/>
          <w:iCs/>
        </w:rPr>
        <w:t xml:space="preserve">M.edulis</w:t>
      </w:r>
      <w:r>
        <w:t xml:space="preserve"> </w:t>
      </w:r>
      <w:r>
        <w:t xml:space="preserve">уже отмечали в других работах. Так, например, А.Шилонцев</w:t>
      </w:r>
      <w:r>
        <w:t xml:space="preserve"> </w:t>
      </w:r>
      <w:r>
        <w:t xml:space="preserve">(Шилонцев 2023)</w:t>
      </w:r>
      <w:r>
        <w:t xml:space="preserve"> </w:t>
      </w:r>
      <w:r>
        <w:t xml:space="preserve">показал, что в смешанных поселениях двух видов мидий с увеличением плотности поселения смертность</w:t>
      </w:r>
      <w:r>
        <w:t xml:space="preserve"> </w:t>
      </w:r>
      <w:r>
        <w:rPr>
          <w:i/>
          <w:iCs/>
        </w:rPr>
        <w:t xml:space="preserve">M. trossulus</w:t>
      </w:r>
      <w:r>
        <w:t xml:space="preserve"> </w:t>
      </w:r>
      <w:r>
        <w:t xml:space="preserve">растёт быстрее, чем смертность</w:t>
      </w:r>
      <w:r>
        <w:t xml:space="preserve"> </w:t>
      </w:r>
      <w:r>
        <w:rPr>
          <w:i/>
          <w:iCs/>
        </w:rPr>
        <w:t xml:space="preserve">M. edulis</w:t>
      </w:r>
      <w:r>
        <w:t xml:space="preserve">.</w:t>
      </w:r>
    </w:p>
    <w:p>
      <w:pPr>
        <w:pStyle w:val="BodyText"/>
      </w:pPr>
      <w:r>
        <w:t xml:space="preserve">Полученные нами данные говорят о том, что два вида фукоидов могут различаться по своей роли в регуляции отношений между мидиями. Вероятно,</w:t>
      </w:r>
      <w:r>
        <w:t xml:space="preserve"> </w:t>
      </w:r>
      <w:r>
        <w:rPr>
          <w:i/>
          <w:iCs/>
        </w:rPr>
        <w:t xml:space="preserve">F. vesiculosus</w:t>
      </w:r>
      <w:r>
        <w:t xml:space="preserve"> </w:t>
      </w:r>
      <w:r>
        <w:t xml:space="preserve">оказывается более значимым элементом в этой системе, чем</w:t>
      </w:r>
      <w:r>
        <w:t xml:space="preserve"> </w:t>
      </w:r>
      <w:r>
        <w:rPr>
          <w:i/>
          <w:iCs/>
        </w:rPr>
        <w:t xml:space="preserve">A. nodosum</w:t>
      </w:r>
      <w: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w:t>
      </w:r>
      <w:r>
        <w:t xml:space="preserve"> </w:t>
      </w:r>
      <w:r>
        <w:rPr>
          <w:i/>
          <w:iCs/>
        </w:rPr>
        <w:t xml:space="preserve">M. trossulus</w:t>
      </w:r>
      <w:r>
        <w:t xml:space="preserve"> </w:t>
      </w:r>
      <w:r>
        <w:t xml:space="preserve">сильнее прикрепляюся к субстрату, выделяя больше нитей биссуса</w:t>
      </w:r>
      <w:r>
        <w:t xml:space="preserve"> </w:t>
      </w:r>
      <w:r>
        <w:t xml:space="preserve">(Круглова 2017)</w:t>
      </w:r>
      <w:r>
        <w:t xml:space="preserve">, но имеют более токную раковину</w:t>
      </w:r>
      <w:r>
        <w:t xml:space="preserve"> </w:t>
      </w:r>
      <w:r>
        <w:t xml:space="preserve">(Мухоротова 2011)</w:t>
      </w:r>
      <w:r>
        <w:t xml:space="preserve">, чем у</w:t>
      </w:r>
      <w:r>
        <w:t xml:space="preserve"> </w:t>
      </w:r>
      <w:r>
        <w:rPr>
          <w:i/>
          <w:iCs/>
        </w:rPr>
        <w:t xml:space="preserve">M. edulis</w:t>
      </w:r>
      <w:r>
        <w:t xml:space="preserve">. Мы предполагаем, что на</w:t>
      </w:r>
      <w:r>
        <w:t xml:space="preserve"> </w:t>
      </w:r>
      <w:r>
        <w:rPr>
          <w:i/>
          <w:iCs/>
        </w:rPr>
        <w:t xml:space="preserve">A. nodosum</w:t>
      </w:r>
      <w:r>
        <w:t xml:space="preserve"> </w:t>
      </w:r>
      <w:r>
        <w:rPr>
          <w:i/>
          <w:iCs/>
        </w:rPr>
        <w:t xml:space="preserve">M.trossulus</w:t>
      </w:r>
      <w:r>
        <w:t xml:space="preserve"> </w:t>
      </w:r>
      <w:r>
        <w:t xml:space="preserve">секретирует настолько много бисуса, что спаивают межу собой ветви таллома водоросли. В результате создается подобие</w:t>
      </w:r>
      <w:r>
        <w:t xml:space="preserve"> </w:t>
      </w:r>
      <w:r>
        <w:t xml:space="preserve">“</w:t>
      </w:r>
      <w:r>
        <w:t xml:space="preserve">кокона</w:t>
      </w:r>
      <w:r>
        <w:t xml:space="preserve">”</w:t>
      </w:r>
      <w:r>
        <w:t xml:space="preserve">. Такие спутанные ветви</w:t>
      </w:r>
      <w:r>
        <w:t xml:space="preserve"> </w:t>
      </w:r>
      <w:r>
        <w:rPr>
          <w:i/>
          <w:iCs/>
        </w:rPr>
        <w:t xml:space="preserve">A. nodosum</w:t>
      </w:r>
      <w:r>
        <w:t xml:space="preserve"> </w:t>
      </w:r>
      <w:r>
        <w:t xml:space="preserve">можно наблюдать в поясе фукоидов, особено в затишных местах. В таком</w:t>
      </w:r>
      <w:r>
        <w:t xml:space="preserve"> </w:t>
      </w:r>
      <w:r>
        <w:t xml:space="preserve">“</w:t>
      </w:r>
      <w:r>
        <w:t xml:space="preserve">коконе</w:t>
      </w:r>
      <w:r>
        <w:t xml:space="preserve">”</w:t>
      </w:r>
      <w:r>
        <w:t xml:space="preserve"> </w:t>
      </w:r>
      <w:r>
        <w:t xml:space="preserve">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w:t>
      </w:r>
      <w:r>
        <w:t xml:space="preserve"> </w:t>
      </w:r>
      <w:r>
        <w:rPr>
          <w:i/>
          <w:iCs/>
        </w:rPr>
        <w:t xml:space="preserve">M.trossulus</w:t>
      </w:r>
      <w:r>
        <w:t xml:space="preserve"> </w:t>
      </w:r>
      <w:r>
        <w:t xml:space="preserve">выиграть конкурнецию.</w:t>
      </w:r>
    </w:p>
    <w:p>
      <w:pPr>
        <w:pStyle w:val="BodyText"/>
      </w:pPr>
      <w:r>
        <w:t xml:space="preserve">Иная картина наблюдается на</w:t>
      </w:r>
      <w:r>
        <w:t xml:space="preserve"> </w:t>
      </w:r>
      <w:r>
        <w:rPr>
          <w:i/>
          <w:iCs/>
        </w:rPr>
        <w:t xml:space="preserve">F. vesiculosus</w:t>
      </w:r>
      <w:r>
        <w:t xml:space="preserve">. Известно, что водоросли этого вида выделяют какие-то метаболиты, которые снижают активность прикрепления мидий</w:t>
      </w:r>
      <w:r>
        <w:t xml:space="preserve"> </w:t>
      </w:r>
      <w:r>
        <w:t xml:space="preserve">(Ершова 2024)</w:t>
      </w:r>
      <w:r>
        <w:t xml:space="preserve">, тогда как в случае</w:t>
      </w:r>
      <w:r>
        <w:t xml:space="preserve"> </w:t>
      </w:r>
      <w:r>
        <w:rPr>
          <w:i/>
          <w:iCs/>
        </w:rPr>
        <w:t xml:space="preserve">A. nodosum</w:t>
      </w:r>
      <w:r>
        <w:t xml:space="preserve"> </w:t>
      </w:r>
      <w:r>
        <w:t xml:space="preserve">подобного влияния не обнаружено</w:t>
      </w:r>
      <w:r>
        <w:t xml:space="preserve"> </w:t>
      </w:r>
      <w:r>
        <w:t xml:space="preserve">(Ершова 2024)</w:t>
      </w:r>
      <w:r>
        <w:t xml:space="preserve">. Из-за выделения этих метаболитов создать описанный выше</w:t>
      </w:r>
      <w:r>
        <w:t xml:space="preserve"> </w:t>
      </w:r>
      <w:r>
        <w:t xml:space="preserve">“</w:t>
      </w:r>
      <w:r>
        <w:t xml:space="preserve">кокон</w:t>
      </w:r>
      <w:r>
        <w:t xml:space="preserve">”</w:t>
      </w:r>
      <w:r>
        <w:t xml:space="preserve"> </w:t>
      </w:r>
      <w:r>
        <w:t xml:space="preserve">при поселении на</w:t>
      </w:r>
      <w:r>
        <w:t xml:space="preserve"> </w:t>
      </w:r>
      <w:r>
        <w:rPr>
          <w:i/>
          <w:iCs/>
        </w:rPr>
        <w:t xml:space="preserve">F.vesiculosus</w:t>
      </w:r>
      <w:r>
        <w:t xml:space="preserve"> </w:t>
      </w:r>
      <w:r>
        <w:t xml:space="preserve">не удаётся. Это должно приводить к снижению плотности поселения за счет влияния прибоя. В условиях сниженного обилия мидий,</w:t>
      </w:r>
      <w:r>
        <w:t xml:space="preserve"> </w:t>
      </w:r>
      <w:r>
        <w:rPr>
          <w:i/>
          <w:iCs/>
        </w:rPr>
        <w:t xml:space="preserve">M.trossulus</w:t>
      </w:r>
      <w:r>
        <w:t xml:space="preserve"> </w:t>
      </w:r>
      <w:r>
        <w:t xml:space="preserve">получают преимущество так как могут сильнее прикрепляться к субстрату. Однако при очень большой прибойности</w:t>
      </w:r>
      <w:r>
        <w:t xml:space="preserve"> </w:t>
      </w:r>
      <w:r>
        <w:rPr>
          <w:i/>
          <w:iCs/>
        </w:rPr>
        <w:t xml:space="preserve">M.edulis</w:t>
      </w:r>
      <w:r>
        <w:t xml:space="preserve"> </w:t>
      </w:r>
      <w:r>
        <w:t xml:space="preserve">вновь приобретает преимущества, так как обладает более толстой раковиной</w:t>
      </w:r>
      <w:r>
        <w:t xml:space="preserve"> </w:t>
      </w:r>
      <w:r>
        <w:t xml:space="preserve">(Мухоротова 2011)</w:t>
      </w:r>
      <w:r>
        <w:t xml:space="preserve">, позволяющей им выживать в условиях очень высокого волнового воздействия.</w:t>
      </w:r>
    </w:p>
    <w:bookmarkEnd w:id="47"/>
    <w:bookmarkStart w:id="48" w:name="заключение"/>
    <w:p>
      <w:pPr>
        <w:pStyle w:val="Heading1"/>
      </w:pPr>
      <w:r>
        <w:t xml:space="preserve">Заключение</w:t>
      </w:r>
    </w:p>
    <w:p>
      <w:pPr>
        <w:pStyle w:val="FirstParagraph"/>
      </w:pPr>
      <w: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w:t>
      </w:r>
      <w:r>
        <w:t xml:space="preserve"> </w:t>
      </w:r>
      <w:r>
        <w:rPr>
          <w:i/>
          <w:iCs/>
        </w:rPr>
        <w:t xml:space="preserve">M.trossulus</w:t>
      </w:r>
      <w:r>
        <w:t xml:space="preserve"> </w:t>
      </w:r>
      <w:r>
        <w:t xml:space="preserve">возрастает лишь на более открытых местах, где плотность мидий уже не столь велика и</w:t>
      </w:r>
      <w:r>
        <w:t xml:space="preserve"> </w:t>
      </w:r>
      <w:r>
        <w:rPr>
          <w:i/>
          <w:iCs/>
        </w:rPr>
        <w:t xml:space="preserve">M.trossulus</w:t>
      </w:r>
      <w:r>
        <w:t xml:space="preserve"> </w:t>
      </w:r>
      <w:r>
        <w:t xml:space="preserve">может выиграть конкуренцию за счет более сильного прикрепления. Наиболее ярко этот процесс проявляется, видимо, на</w:t>
      </w:r>
      <w:r>
        <w:t xml:space="preserve"> </w:t>
      </w:r>
      <w:r>
        <w:rPr>
          <w:i/>
          <w:iCs/>
        </w:rPr>
        <w:t xml:space="preserve">F.vesiculosus</w:t>
      </w:r>
      <w: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w:t>
      </w:r>
      <w:r>
        <w:t xml:space="preserve"> </w:t>
      </w:r>
      <w:r>
        <w:rPr>
          <w:i/>
          <w:iCs/>
        </w:rPr>
        <w:t xml:space="preserve">F. vesiculosus</w:t>
      </w:r>
      <w:r>
        <w:t xml:space="preserve">.</w:t>
      </w:r>
    </w:p>
    <w:bookmarkEnd w:id="48"/>
    <w:bookmarkStart w:id="49" w:name="благодарности"/>
    <w:p>
      <w:pPr>
        <w:pStyle w:val="Heading1"/>
      </w:pPr>
      <w:r>
        <w:t xml:space="preserve">Благодарности</w:t>
      </w:r>
    </w:p>
    <w:p>
      <w:pPr>
        <w:pStyle w:val="FirstParagraph"/>
      </w:pPr>
      <w:r>
        <w:t xml:space="preserve">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p>
    <w:bookmarkEnd w:id="49"/>
    <w:bookmarkStart w:id="82" w:name="литература"/>
    <w:p>
      <w:pPr>
        <w:pStyle w:val="Heading1"/>
      </w:pPr>
      <w:r>
        <w:t xml:space="preserve">Литература</w:t>
      </w:r>
    </w:p>
    <w:bookmarkStart w:id="81" w:name="refs"/>
    <w:bookmarkStart w:id="50" w:name="ref-beaumont2008three"/>
    <w:p>
      <w:pPr>
        <w:pStyle w:val="Bibliography"/>
      </w:pPr>
      <w:r>
        <w:t xml:space="preserve">Beaumont AR, Hawkins MP, Doig FL, et al (2008)</w:t>
      </w:r>
      <w:r>
        <w:t xml:space="preserve"> </w:t>
      </w:r>
      <w:r>
        <w:t xml:space="preserve">Three species of Mytilus and their hybrids identified in a Scottish Loch: natives, relicts and invaders?</w:t>
      </w:r>
      <w:r>
        <w:t xml:space="preserve"> Journal of Experimental Marine Biology and Ecology 367:100–110</w:t>
      </w:r>
    </w:p>
    <w:bookmarkEnd w:id="50"/>
    <w:bookmarkStart w:id="51" w:name="ref-Cary1974"/>
    <w:p>
      <w:pPr>
        <w:pStyle w:val="Bibliography"/>
      </w:pPr>
      <w:r>
        <w:t xml:space="preserve">Cary GK (1974)</w:t>
      </w:r>
      <w:r>
        <w:t xml:space="preserve"> </w:t>
      </w:r>
      <w:r>
        <w:t xml:space="preserve">The Ecological Niche: An Overview</w:t>
      </w:r>
      <w:r>
        <w:t xml:space="preserve">. Annual Review of Ecology and Systematics 5:121–139</w:t>
      </w:r>
    </w:p>
    <w:bookmarkEnd w:id="51"/>
    <w:bookmarkStart w:id="53" w:name="ref-Connell1961"/>
    <w:p>
      <w:pPr>
        <w:pStyle w:val="Bibliography"/>
      </w:pPr>
      <w:r>
        <w:t xml:space="preserve">Connell JH (1961)</w:t>
      </w:r>
      <w:r>
        <w:t xml:space="preserve"> </w:t>
      </w:r>
      <w:r>
        <w:t xml:space="preserve">The Influence of Interspecific Competition and Other Factors on the Distribution of the Barnacle Chthamalus Stellatus</w:t>
      </w:r>
      <w:r>
        <w:t xml:space="preserve">. The Journal of Ecology 49:201–207.</w:t>
      </w:r>
      <w:r>
        <w:t xml:space="preserve"> </w:t>
      </w:r>
      <w:hyperlink r:id="rId52">
        <w:r>
          <w:rPr>
            <w:rStyle w:val="Hyperlink"/>
          </w:rPr>
          <w:t xml:space="preserve">https://doi.org/10.2307/2257680</w:t>
        </w:r>
      </w:hyperlink>
    </w:p>
    <w:bookmarkEnd w:id="53"/>
    <w:bookmarkStart w:id="54" w:name="ref-Elith2009"/>
    <w:p>
      <w:pPr>
        <w:pStyle w:val="Bibliography"/>
      </w:pPr>
      <w:r>
        <w:t xml:space="preserve">Elith J, Leathwick JR (2009)</w:t>
      </w:r>
      <w:r>
        <w:t xml:space="preserve"> </w:t>
      </w:r>
      <w:r>
        <w:t xml:space="preserve">Modeling Species Distribution: The Role of Environmental Predictors</w:t>
      </w:r>
      <w:r>
        <w:t xml:space="preserve">. Biological Conservation 142:138–153</w:t>
      </w:r>
    </w:p>
    <w:bookmarkEnd w:id="54"/>
    <w:bookmarkStart w:id="55" w:name="ref-grinnell1917niche"/>
    <w:p>
      <w:pPr>
        <w:pStyle w:val="Bibliography"/>
      </w:pPr>
      <w:r>
        <w:t xml:space="preserve">Grinnell J (1917)</w:t>
      </w:r>
      <w:r>
        <w:t xml:space="preserve"> </w:t>
      </w:r>
      <w:r>
        <w:t xml:space="preserve">The niche-relationships of the California Thrasher</w:t>
      </w:r>
      <w:r>
        <w:t xml:space="preserve">. The Auk 34:427–433</w:t>
      </w:r>
    </w:p>
    <w:bookmarkEnd w:id="55"/>
    <w:bookmarkStart w:id="56" w:name="ref-katolikova2016genetic"/>
    <w:p>
      <w:pPr>
        <w:pStyle w:val="Bibliography"/>
      </w:pPr>
      <w:r>
        <w:t xml:space="preserve">Katolikova M, Khaitov V, Väinölä R, et al (2016)</w:t>
      </w:r>
      <w:r>
        <w:t xml:space="preserve"> </w:t>
      </w:r>
      <w:r>
        <w:t xml:space="preserve">Genetic, ecological and morphological distinctness of the blue mussels Mytilus trossulus Gould and M. edulis L. in the White Sea</w:t>
      </w:r>
      <w:r>
        <w:t xml:space="preserve">. PLoS One 11:e0152963</w:t>
      </w:r>
    </w:p>
    <w:bookmarkEnd w:id="56"/>
    <w:bookmarkStart w:id="57" w:name="ref-labarre2023influence"/>
    <w:p>
      <w:pPr>
        <w:pStyle w:val="Bibliography"/>
      </w:pPr>
      <w:r>
        <w:t xml:space="preserve">LaBarre A, Konar B, Iken K (2023)</w:t>
      </w:r>
      <w:r>
        <w:t xml:space="preserve"> </w:t>
      </w:r>
      <w:r>
        <w:t xml:space="preserve">Influence of environmental conditions on Mytilus trossulus size frequency distributions in two glacially influenced estuaries</w:t>
      </w:r>
      <w:r>
        <w:t xml:space="preserve">. Estuaries and Coasts 46:1253–1268</w:t>
      </w:r>
    </w:p>
    <w:bookmarkEnd w:id="57"/>
    <w:bookmarkStart w:id="59" w:name="ref-waver"/>
    <w:p>
      <w:pPr>
        <w:pStyle w:val="Bibliography"/>
      </w:pPr>
      <w:r>
        <w:t xml:space="preserve">Marchand P, Gill D (2018)</w:t>
      </w:r>
      <w:r>
        <w:t xml:space="preserve"> </w:t>
      </w:r>
      <w:hyperlink r:id="rId58">
        <w:r>
          <w:rPr>
            <w:rStyle w:val="Hyperlink"/>
          </w:rPr>
          <w:t xml:space="preserve">waver: Calculate Fetch and Wave Energy</w:t>
        </w:r>
      </w:hyperlink>
    </w:p>
    <w:bookmarkEnd w:id="59"/>
    <w:bookmarkStart w:id="61" w:name="ref-R"/>
    <w:p>
      <w:pPr>
        <w:pStyle w:val="Bibliography"/>
      </w:pPr>
      <w:r>
        <w:t xml:space="preserve">R Core Team (2023)</w:t>
      </w:r>
      <w:r>
        <w:t xml:space="preserve"> </w:t>
      </w:r>
      <w:hyperlink r:id="rId60">
        <w:r>
          <w:rPr>
            <w:rStyle w:val="Hyperlink"/>
          </w:rPr>
          <w:t xml:space="preserve">R: A Language and Environment for Statistical Computing</w:t>
        </w:r>
      </w:hyperlink>
      <w:r>
        <w:t xml:space="preserve">. R Foundation for Statistical Computing, Vienna, Austria</w:t>
      </w:r>
    </w:p>
    <w:bookmarkEnd w:id="61"/>
    <w:bookmarkStart w:id="62" w:name="ref-riginos2005invited"/>
    <w:p>
      <w:pPr>
        <w:pStyle w:val="Bibliography"/>
      </w:pPr>
      <w:r>
        <w:t xml:space="preserve">Riginos C, Cunningham CW (2005)</w:t>
      </w:r>
      <w:r>
        <w:t xml:space="preserve"> </w:t>
      </w:r>
      <w:r>
        <w:t xml:space="preserve">Invited review: local adaptation and species segregation in two mussel (Mytilus edulis</w:t>
      </w:r>
      <m:oMath>
        <m:r>
          <m:rPr>
            <m:sty m:val="p"/>
          </m:rPr>
          <m:t>×</m:t>
        </m:r>
      </m:oMath>
      <w:r>
        <w:t xml:space="preserve"> </w:t>
      </w:r>
      <w:r>
        <w:t xml:space="preserve">Mytilus trossulus) hybrid zones</w:t>
      </w:r>
      <w:r>
        <w:t xml:space="preserve">. Molecular ecology 14:381–400</w:t>
      </w:r>
    </w:p>
    <w:bookmarkEnd w:id="62"/>
    <w:bookmarkStart w:id="64" w:name="ref-gratia"/>
    <w:p>
      <w:pPr>
        <w:pStyle w:val="Bibliography"/>
      </w:pPr>
      <w:r>
        <w:t xml:space="preserve">Simpson GL (2024)</w:t>
      </w:r>
      <w:r>
        <w:t xml:space="preserve"> </w:t>
      </w:r>
      <w:hyperlink r:id="rId63">
        <w:r>
          <w:rPr>
            <w:rStyle w:val="Hyperlink"/>
          </w:rPr>
          <w:t xml:space="preserve">gratia</w:t>
        </w:r>
        <w:r>
          <w:rPr>
            <w:rStyle w:val="Hyperlink"/>
          </w:rPr>
          <w:t xml:space="preserve">: Graceful</w:t>
        </w:r>
        <w:r>
          <w:rPr>
            <w:rStyle w:val="Hyperlink"/>
          </w:rPr>
          <w:t xml:space="preserve"> </w:t>
        </w:r>
        <w:r>
          <w:rPr>
            <w:rStyle w:val="Hyperlink"/>
          </w:rPr>
          <w:t xml:space="preserve">ggplot</w:t>
        </w:r>
        <w:r>
          <w:rPr>
            <w:rStyle w:val="Hyperlink"/>
          </w:rPr>
          <w:t xml:space="preserve">-based graphics and other functions for</w:t>
        </w:r>
        <w:r>
          <w:rPr>
            <w:rStyle w:val="Hyperlink"/>
          </w:rPr>
          <w:t xml:space="preserve"> </w:t>
        </w:r>
        <w:r>
          <w:rPr>
            <w:rStyle w:val="Hyperlink"/>
          </w:rPr>
          <w:t xml:space="preserve">GAM</w:t>
        </w:r>
        <w:r>
          <w:rPr>
            <w:rStyle w:val="Hyperlink"/>
          </w:rPr>
          <w:t xml:space="preserve">s fitted using</w:t>
        </w:r>
        <w:r>
          <w:rPr>
            <w:rStyle w:val="Hyperlink"/>
          </w:rPr>
          <w:t xml:space="preserve"> </w:t>
        </w:r>
        <w:r>
          <w:rPr>
            <w:rStyle w:val="Hyperlink"/>
          </w:rPr>
          <w:t xml:space="preserve">mgcv</w:t>
        </w:r>
      </w:hyperlink>
    </w:p>
    <w:bookmarkEnd w:id="64"/>
    <w:bookmarkStart w:id="65" w:name="ref-vainola2011mytilus"/>
    <w:p>
      <w:pPr>
        <w:pStyle w:val="Bibliography"/>
      </w:pPr>
      <w:r>
        <w:t xml:space="preserve">Väinölä R, Strelkov P (2011)</w:t>
      </w:r>
      <w:r>
        <w:t xml:space="preserve"> </w:t>
      </w:r>
      <w:r>
        <w:t xml:space="preserve">Mytilus trossulus in northern Europe</w:t>
      </w:r>
      <w:r>
        <w:t xml:space="preserve">. Marine biology 158:817–833</w:t>
      </w:r>
    </w:p>
    <w:bookmarkEnd w:id="65"/>
    <w:bookmarkStart w:id="66" w:name="ref-wood2017generalized"/>
    <w:p>
      <w:pPr>
        <w:pStyle w:val="Bibliography"/>
      </w:pPr>
      <w:r>
        <w:t xml:space="preserve">Wood SN (2017)</w:t>
      </w:r>
      <w:r>
        <w:t xml:space="preserve"> </w:t>
      </w:r>
      <w:r>
        <w:t xml:space="preserve">Generalized additive models: an introduction with R</w:t>
      </w:r>
      <w:r>
        <w:t xml:space="preserve">. chapman; hall/CRC</w:t>
      </w:r>
    </w:p>
    <w:bookmarkEnd w:id="66"/>
    <w:bookmarkStart w:id="67" w:name="ref-evseeva2023"/>
    <w:p>
      <w:pPr>
        <w:pStyle w:val="Bibliography"/>
      </w:pPr>
      <w:r>
        <w:t xml:space="preserve">Евсеева Н (2023)</w:t>
      </w:r>
      <w:r>
        <w:t xml:space="preserve"> </w:t>
      </w:r>
      <w:r>
        <w:t xml:space="preserve">Характеристика ценопопуляций фукусовых водорослей у о. Попов Белого моря</w:t>
      </w:r>
      <w:r>
        <w:t xml:space="preserve">. Труды ВНИРО 192:26–38</w:t>
      </w:r>
    </w:p>
    <w:bookmarkEnd w:id="67"/>
    <w:bookmarkStart w:id="68" w:name="ref-ershova2024"/>
    <w:p>
      <w:pPr>
        <w:pStyle w:val="Bibliography"/>
      </w:pPr>
      <w:r>
        <w:t xml:space="preserve">Ершова Т (2024)</w:t>
      </w:r>
      <w:r>
        <w:t xml:space="preserve"> </w:t>
      </w:r>
      <w:r>
        <w:t xml:space="preserve">Влияние Fucus vesiculosus и Ascophyllum nodosum на прикрепление Mytilus edulis и Mytilus trossulus</w:t>
      </w:r>
    </w:p>
    <w:bookmarkEnd w:id="68"/>
    <w:bookmarkStart w:id="69" w:name="ref-zaichikova2011"/>
    <w:p>
      <w:pPr>
        <w:pStyle w:val="Bibliography"/>
      </w:pPr>
      <w:r>
        <w:t xml:space="preserve">Зайчикова А (2011)</w:t>
      </w:r>
      <w:r>
        <w:t xml:space="preserve"> </w:t>
      </w:r>
      <w:r>
        <w:t xml:space="preserve">Различие Mytilus edulis и Mytilus trossulus по морфологическим признакам</w:t>
      </w:r>
    </w:p>
    <w:bookmarkEnd w:id="69"/>
    <w:bookmarkStart w:id="70" w:name="ref-strelkov2010"/>
    <w:p>
      <w:pPr>
        <w:pStyle w:val="Bibliography"/>
      </w:pPr>
      <w:r>
        <w:t xml:space="preserve">Католикова М, Стрелков П, Хайтов В, et al (2010a)</w:t>
      </w:r>
      <w:r>
        <w:t xml:space="preserve"> </w:t>
      </w:r>
      <w:r>
        <w:t xml:space="preserve">Тихоокеанская мидия Mytilus trossulus в Белом море: распространение, экологические и генетические взаимоотношения с Mytilus edulis</w:t>
      </w:r>
      <w:r>
        <w:t xml:space="preserve">. ИЗУЧЕНИЯ, РАЦИОНАЛЬНОГО ИСПОЛЬЗОВАНИЯ И ОХРАНЫ ПРИРОДНЫХ РЕСУРСОВ БЕЛОГО МОРЯ 72:</w:t>
      </w:r>
    </w:p>
    <w:bookmarkEnd w:id="70"/>
    <w:bookmarkStart w:id="71" w:name="ref-katolikova2010"/>
    <w:p>
      <w:pPr>
        <w:pStyle w:val="Bibliography"/>
      </w:pPr>
      <w:r>
        <w:t xml:space="preserve">Католикова М, Стрелков П, Хайтов В, et al (2010b)</w:t>
      </w:r>
      <w:r>
        <w:t xml:space="preserve"> </w:t>
      </w:r>
      <w:r>
        <w:t xml:space="preserve">Тихоокеанская мидия Mytilus trossulus в Белом море: распространение, экологические и генетические взаимоотношения с Mytilus edulis</w:t>
      </w:r>
      <w:r>
        <w:t xml:space="preserve">. ИЗУЧЕНИЯ, РАЦИОНАЛЬНОГО ИСПОЛЬЗОВАНИЯ И ОХРАНЫ ПРИРОДНЫХ РЕСУРСОВ БЕЛОГО МОРЯ 72:</w:t>
      </w:r>
    </w:p>
    <w:bookmarkEnd w:id="71"/>
    <w:bookmarkStart w:id="72" w:name="ref-kruglova2017"/>
    <w:p>
      <w:pPr>
        <w:pStyle w:val="Bibliography"/>
      </w:pPr>
      <w:r>
        <w:t xml:space="preserve">Круглова А (2017)</w:t>
      </w:r>
      <w:r>
        <w:t xml:space="preserve"> </w:t>
      </w:r>
      <w:r>
        <w:t xml:space="preserve">Стравнительная характеристика прикрепления Mytilus edulis и Mytilus trossulus к Ascophyllum nodosum</w:t>
      </w:r>
    </w:p>
    <w:bookmarkEnd w:id="72"/>
    <w:bookmarkStart w:id="73" w:name="ref-myxoroyova2011"/>
    <w:p>
      <w:pPr>
        <w:pStyle w:val="Bibliography"/>
      </w:pPr>
      <w:r>
        <w:t xml:space="preserve">Мухоротова А (2011)</w:t>
      </w:r>
      <w:r>
        <w:t xml:space="preserve"> </w:t>
      </w:r>
      <w:r>
        <w:t xml:space="preserve">Морфологические различия Mytilus edulis и M.trossгlus по толщине раковины</w:t>
      </w:r>
    </w:p>
    <w:bookmarkEnd w:id="73"/>
    <w:bookmarkStart w:id="74" w:name="ref-naumov2006"/>
    <w:p>
      <w:pPr>
        <w:pStyle w:val="Bibliography"/>
      </w:pPr>
      <w:r>
        <w:t xml:space="preserve">Наумов АД (2006)</w:t>
      </w:r>
      <w:r>
        <w:t xml:space="preserve"> </w:t>
      </w:r>
      <w:r>
        <w:t xml:space="preserve">Двустворчатые моллюски Белого моря. Опыт эколого-фаунистического анализа</w:t>
      </w:r>
    </w:p>
    <w:bookmarkEnd w:id="74"/>
    <w:bookmarkStart w:id="75" w:name="ref-safonov2014"/>
    <w:p>
      <w:pPr>
        <w:pStyle w:val="Bibliography"/>
      </w:pPr>
      <w:r>
        <w:t xml:space="preserve">Сафонов П (2014)</w:t>
      </w:r>
      <w:r>
        <w:t xml:space="preserve"> </w:t>
      </w:r>
      <w:r>
        <w:t xml:space="preserve">Факторы, регулирующие распределение моллюсков рода Mytilus в вершине Кандалакшского залива Белого моря</w:t>
      </w:r>
    </w:p>
    <w:bookmarkEnd w:id="75"/>
    <w:bookmarkStart w:id="76" w:name="ref-fokina2013"/>
    <w:p>
      <w:pPr>
        <w:pStyle w:val="Bibliography"/>
      </w:pPr>
      <w:r>
        <w:t xml:space="preserve">Фокина Н, Нефедова З, Немова Н, et al (2013)</w:t>
      </w:r>
      <w:r>
        <w:t xml:space="preserve"> </w:t>
      </w:r>
      <w:r>
        <w:t xml:space="preserve">Влияние различной солености на липидный состав беломорских мидий Mytilus edulis</w:t>
      </w:r>
      <w:r>
        <w:t xml:space="preserve">. Труды Зоологического института РАН 317:55–62</w:t>
      </w:r>
    </w:p>
    <w:bookmarkEnd w:id="76"/>
    <w:bookmarkStart w:id="77" w:name="ref-fokina2010"/>
    <w:p>
      <w:pPr>
        <w:pStyle w:val="Bibliography"/>
      </w:pPr>
      <w:r>
        <w:t xml:space="preserve">Фокина НН, Нефедова ЗА, Немова НН (2010)</w:t>
      </w:r>
      <w:r>
        <w:t xml:space="preserve"> </w:t>
      </w:r>
      <w:r>
        <w:t xml:space="preserve">Липидный состав мидий Mytilus edulis L. Белого моря. Влияние некоторых факторов среды обитания</w:t>
      </w:r>
    </w:p>
    <w:bookmarkEnd w:id="77"/>
    <w:bookmarkStart w:id="78" w:name="ref-xaitov1999"/>
    <w:p>
      <w:pPr>
        <w:pStyle w:val="Bibliography"/>
      </w:pPr>
      <w:r>
        <w:t xml:space="preserve">Хайтов ВМ (1999)</w:t>
      </w:r>
      <w:r>
        <w:t xml:space="preserve"> </w:t>
      </w:r>
      <w:r>
        <w:t xml:space="preserve">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w:t>
      </w:r>
    </w:p>
    <w:bookmarkEnd w:id="78"/>
    <w:bookmarkStart w:id="79" w:name="ref-modelirovanienishi"/>
    <w:p>
      <w:pPr>
        <w:pStyle w:val="Bibliography"/>
      </w:pPr>
      <w:r>
        <w:t xml:space="preserve">Халиль В, Сидоренко Е (2014)</w:t>
      </w:r>
      <w:r>
        <w:t xml:space="preserve"> </w:t>
      </w:r>
      <w:r>
        <w:t xml:space="preserve">Моделирование экологической ниши на основе трехмерной модели Хатчинсона</w:t>
      </w:r>
      <w:r>
        <w:t xml:space="preserve">. Восточно-Европейский журнал передовых технологий 3:18–24</w:t>
      </w:r>
    </w:p>
    <w:bookmarkEnd w:id="79"/>
    <w:bookmarkStart w:id="80" w:name="ref-sheloncev2023"/>
    <w:p>
      <w:pPr>
        <w:pStyle w:val="Bibliography"/>
      </w:pPr>
      <w:r>
        <w:t xml:space="preserve">Шилонцев А (2023)</w:t>
      </w:r>
      <w:r>
        <w:t xml:space="preserve"> </w:t>
      </w:r>
      <w:r>
        <w:t xml:space="preserve">Исследование конкурентных отношений беломорских мидий Mytilus edulis и M.trossгlus</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22" Target="media/rId22.jpg" /><Relationship Type="http://schemas.openxmlformats.org/officeDocument/2006/relationships/hyperlink" Id="rId58" Target="https://CRAN.R-project.org/package=waver" TargetMode="External" /><Relationship Type="http://schemas.openxmlformats.org/officeDocument/2006/relationships/hyperlink" Id="rId52" Target="https://doi.org/10.2307/2257680" TargetMode="External" /><Relationship Type="http://schemas.openxmlformats.org/officeDocument/2006/relationships/hyperlink" Id="rId63" Target="https://gavinsimpson.github.io/gratia/" TargetMode="External" /><Relationship Type="http://schemas.openxmlformats.org/officeDocument/2006/relationships/hyperlink" Id="rId6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waver" TargetMode="External" /><Relationship Type="http://schemas.openxmlformats.org/officeDocument/2006/relationships/hyperlink" Id="rId52" Target="https://doi.org/10.2307/2257680" TargetMode="External" /><Relationship Type="http://schemas.openxmlformats.org/officeDocument/2006/relationships/hyperlink" Id="rId63" Target="https://gavinsimpson.github.io/gratia/"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2025-01-15T17:37:14Z</dcterms:created>
  <dcterms:modified xsi:type="dcterms:W3CDTF">2025-01-15T17:37:14Z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csl">
    <vt:lpwstr>marine-biology.csl</vt:lpwstr>
  </property>
  <property fmtid="{D5CDD505-2E9C-101B-9397-08002B2CF9AE}" pid="4" name="output">
    <vt:lpwstr/>
  </property>
</Properties>
</file>