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3F4AB">
      <w:pPr>
        <w:pStyle w:val="2"/>
      </w:pPr>
      <w:bookmarkStart w:id="0" w:name="X102bf2fd33f87f55533b6013c918a3587fd6a00"/>
      <w:r>
        <w:t>Эколого-биологический центр “Крестовский остров”</w:t>
      </w:r>
    </w:p>
    <w:bookmarkEnd w:id="0"/>
    <w:p w14:paraId="6C2BC041">
      <w:pPr>
        <w:pStyle w:val="2"/>
      </w:pPr>
      <w:bookmarkStart w:id="1" w:name="лаборатория-экологии-морского-бентоса"/>
      <w:r>
        <w:t>Лаборатория Экологии Морского Бентоса</w:t>
      </w:r>
    </w:p>
    <w:bookmarkEnd w:id="1"/>
    <w:p w14:paraId="20385B03">
      <w:pPr>
        <w:pStyle w:val="2"/>
      </w:pPr>
      <w:bookmarkStart w:id="2" w:name="гидробиологии"/>
      <w:r>
        <w:t>(гидробиологии)</w:t>
      </w:r>
    </w:p>
    <w:p w14:paraId="0CD2966E">
      <w:pPr>
        <w:pStyle w:val="24"/>
      </w:pPr>
      <w:r>
        <w:t> </w:t>
      </w:r>
    </w:p>
    <w:p w14:paraId="1E6D4CB2">
      <w:pPr>
        <w:pStyle w:val="3"/>
      </w:pPr>
      <w:r>
        <w:t> </w:t>
      </w:r>
    </w:p>
    <w:p w14:paraId="00523CE4">
      <w:pPr>
        <w:pStyle w:val="3"/>
        <w:jc w:val="center"/>
      </w:pPr>
      <w:r>
        <w:drawing>
          <wp:inline distT="0" distB="0" distL="114300" distR="114300">
            <wp:extent cx="2382520" cy="245681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382981" cy="2456872"/>
                    </a:xfrm>
                    <a:prstGeom prst="rect">
                      <a:avLst/>
                    </a:prstGeom>
                    <a:noFill/>
                    <a:ln w="9525">
                      <a:noFill/>
                    </a:ln>
                  </pic:spPr>
                </pic:pic>
              </a:graphicData>
            </a:graphic>
          </wp:inline>
        </w:drawing>
      </w:r>
    </w:p>
    <w:p w14:paraId="762A0F8D">
      <w:pPr>
        <w:pStyle w:val="3"/>
      </w:pPr>
      <w:r>
        <w:t> </w:t>
      </w:r>
    </w:p>
    <w:bookmarkEnd w:id="2"/>
    <w:p w14:paraId="5937F746">
      <w:pPr>
        <w:pStyle w:val="2"/>
      </w:pPr>
      <w:bookmarkStart w:id="3" w:name="к.-федорова"/>
      <w:r>
        <w:t>К. Федорова</w:t>
      </w:r>
    </w:p>
    <w:bookmarkEnd w:id="3"/>
    <w:p w14:paraId="7B361EA8">
      <w:pPr>
        <w:pStyle w:val="2"/>
      </w:pPr>
      <w:bookmarkStart w:id="4" w:name="Xa970c42f081d40558643167fa0d2bae69b32ddd"/>
      <w:r>
        <w:t>Характеристика смешанных поселений беломоских мидий на литоральных фукоидах</w:t>
      </w:r>
    </w:p>
    <w:p w14:paraId="5CDBDAF9">
      <w:pPr>
        <w:pStyle w:val="24"/>
      </w:pPr>
      <w:r>
        <w:t> </w:t>
      </w:r>
    </w:p>
    <w:p w14:paraId="505D7B74">
      <w:pPr>
        <w:pStyle w:val="3"/>
      </w:pPr>
      <w:r>
        <w:t> </w:t>
      </w:r>
    </w:p>
    <w:bookmarkEnd w:id="4"/>
    <w:p w14:paraId="7ED9476A">
      <w:pPr>
        <w:pStyle w:val="2"/>
      </w:pPr>
      <w:bookmarkStart w:id="5" w:name="санкт-петербург"/>
      <w:r>
        <w:t>Санкт-Петербург</w:t>
      </w:r>
    </w:p>
    <w:bookmarkEnd w:id="5"/>
    <w:p w14:paraId="3462A060">
      <w:pPr>
        <w:pStyle w:val="2"/>
      </w:pPr>
      <w:bookmarkStart w:id="6" w:name="section"/>
      <w:r>
        <w:t>2024</w:t>
      </w:r>
    </w:p>
    <w:p w14:paraId="28E4E5E0">
      <w:r>
        <w:br w:type="page"/>
      </w:r>
    </w:p>
    <w:p w14:paraId="1155FC46">
      <w:pPr>
        <w:pStyle w:val="8"/>
      </w:pPr>
      <w:bookmarkStart w:id="7" w:name="Xa4c27792bdeb7d57771756afed9db428fdfc852"/>
      <w:r>
        <w:t xml:space="preserve">В данной работе был проанализирован таксономический состав </w:t>
      </w:r>
      <w:r>
        <w:rPr>
          <w:i/>
          <w:iCs/>
        </w:rPr>
        <w:t>Mytilus trossulus</w:t>
      </w:r>
      <w:r>
        <w:t xml:space="preserve"> и </w:t>
      </w:r>
      <w:r>
        <w:rPr>
          <w:i/>
          <w:iCs/>
        </w:rPr>
        <w:t>Mytilus edulis</w:t>
      </w:r>
      <w: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t xml:space="preserve"> расхождения ниш не было, однако на </w:t>
      </w:r>
      <w:r>
        <w:rPr>
          <w:i/>
          <w:iCs/>
        </w:rPr>
        <w:t>Fucus vesiculosus</w:t>
      </w:r>
      <w:r>
        <w:t xml:space="preserve"> прибойность сильно влияет на преобладание того или иного вида. Сами фукоиды влияют лишь опосредованно, и как отдельный фактор не влияют на мидий.</w:t>
      </w:r>
    </w:p>
    <w:bookmarkEnd w:id="6"/>
    <w:bookmarkEnd w:id="7"/>
    <w:p w14:paraId="2140BEFA">
      <w:pPr>
        <w:pStyle w:val="2"/>
      </w:pPr>
      <w:bookmarkStart w:id="8" w:name="введение"/>
      <w:r>
        <w:t>Введение</w:t>
      </w:r>
    </w:p>
    <w:p w14:paraId="5AC7EF61">
      <w:pPr>
        <w:pStyle w:val="24"/>
      </w:pPr>
      <w: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14:paraId="69D4B5FF">
      <w:pPr>
        <w:pStyle w:val="3"/>
      </w:pPr>
      <w: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14:paraId="363EDB8A">
      <w:pPr>
        <w:pStyle w:val="3"/>
      </w:pPr>
      <w: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14:paraId="29C7BFC2">
      <w:pPr>
        <w:pStyle w:val="3"/>
      </w:pPr>
      <w: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t>” , формирующие смешанные поселения в морях Северной Атлантики и Пацифике (Riginos and Cunningham 2005; Католикова et al. 2010a, b).</w:t>
      </w:r>
    </w:p>
    <w:p w14:paraId="7DCA7886">
      <w:pPr>
        <w:pStyle w:val="3"/>
      </w:pPr>
      <w:r>
        <w:t xml:space="preserve">В Белом море обитает два вида этого комплекса - </w:t>
      </w:r>
      <w:r>
        <w:rPr>
          <w:i/>
          <w:iCs/>
        </w:rPr>
        <w:t>Mytilus trossulus</w:t>
      </w:r>
      <w:r>
        <w:t xml:space="preserve"> и </w:t>
      </w:r>
      <w:r>
        <w:rPr>
          <w:i/>
          <w:iCs/>
        </w:rPr>
        <w:t>Mytilus edulis</w:t>
      </w:r>
      <w:r>
        <w:t xml:space="preserve"> (Католикова et al. 2010b). Последний считается для Белого моря нативным видом, а </w:t>
      </w:r>
      <w:r>
        <w:rPr>
          <w:i/>
          <w:iCs/>
        </w:rPr>
        <w:t>M.trossulus</w:t>
      </w:r>
      <w: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t xml:space="preserve"> и </w:t>
      </w:r>
      <w:r>
        <w:rPr>
          <w:i/>
          <w:iCs/>
        </w:rPr>
        <w:t>M. edulis</w:t>
      </w:r>
      <w: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Фокина et al. 2010; Фокина et al. 2013; Сафонов 2014). Для Балтики показано, что </w:t>
      </w:r>
      <w:r>
        <w:rPr>
          <w:i/>
          <w:iCs/>
        </w:rPr>
        <w:t>M. trossulus</w:t>
      </w:r>
      <w: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t xml:space="preserve"> (Riginos and Cunningham 2005). Помимо солености, видимо, распределение двух видов связано и с прибойностью: </w:t>
      </w:r>
      <w:r>
        <w:rPr>
          <w:i/>
          <w:iCs/>
        </w:rPr>
        <w:t>M. trossulus</w:t>
      </w:r>
      <w: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14:paraId="3704E55F">
      <w:pPr>
        <w:pStyle w:val="3"/>
      </w:pPr>
      <w: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t xml:space="preserve">, </w:t>
      </w:r>
      <w:r>
        <w:rPr>
          <w:i/>
          <w:iCs/>
        </w:rPr>
        <w:t>Fucus vesiculosus</w:t>
      </w:r>
      <w:r>
        <w:t xml:space="preserve">, </w:t>
      </w:r>
      <w:r>
        <w:rPr>
          <w:i/>
          <w:iCs/>
        </w:rPr>
        <w:t>F. distichus</w:t>
      </w:r>
      <w:r>
        <w:t xml:space="preserve">, </w:t>
      </w:r>
      <w:r>
        <w:rPr>
          <w:i/>
          <w:iCs/>
        </w:rPr>
        <w:t>F. serratus</w:t>
      </w:r>
      <w: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t>, более чувствительных к волновому воздействию из-за более тонкой раковины (Katolikova et al. 2016).</w:t>
      </w:r>
    </w:p>
    <w:p w14:paraId="19744042">
      <w:pPr>
        <w:pStyle w:val="3"/>
      </w:pPr>
      <w: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t xml:space="preserve"> и </w:t>
      </w:r>
      <w:r>
        <w:rPr>
          <w:i/>
          <w:iCs/>
        </w:rPr>
        <w:t>Ascophyllum nodosum</w:t>
      </w:r>
      <w: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bookmarkEnd w:id="8"/>
    <w:p w14:paraId="1B9F5FDB">
      <w:pPr>
        <w:pStyle w:val="2"/>
      </w:pPr>
      <w:bookmarkStart w:id="9" w:name="материал-и-методика"/>
      <w:r>
        <w:t>Материал и методика</w:t>
      </w:r>
    </w:p>
    <w:p w14:paraId="36F12E4C">
      <w:pPr>
        <w:pStyle w:val="4"/>
      </w:pPr>
      <w:bookmarkStart w:id="10" w:name="полевые-сборы"/>
      <w:r>
        <w:t>Полевые сборы</w:t>
      </w:r>
    </w:p>
    <w:p w14:paraId="15CB5E20">
      <w:pPr>
        <w:pStyle w:val="24"/>
      </w:pPr>
      <w: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t xml:space="preserve"> и </w:t>
      </w:r>
      <w:r>
        <w:rPr>
          <w:i/>
          <w:iCs/>
        </w:rPr>
        <w:t>A. nodosum</w:t>
      </w:r>
      <w: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14:paraId="737537DA">
      <w:pPr>
        <w:pStyle w:val="34"/>
      </w:pPr>
      <w:r>
        <w:drawing>
          <wp:inline distT="0" distB="0" distL="114300" distR="114300">
            <wp:extent cx="4619625" cy="3695700"/>
            <wp:effectExtent l="0" t="0" r="0" b="0"/>
            <wp:doc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14:paraId="1066FFB2">
      <w:pPr>
        <w:pStyle w:val="23"/>
      </w:pPr>
      <w: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p>
    <w:bookmarkEnd w:id="10"/>
    <w:p w14:paraId="0254A92A">
      <w:pPr>
        <w:pStyle w:val="4"/>
      </w:pPr>
      <w:bookmarkStart w:id="11" w:name="обработка-проб"/>
      <w:r>
        <w:t>Обработка проб</w:t>
      </w:r>
    </w:p>
    <w:p w14:paraId="7783C8A1">
      <w:pPr>
        <w:pStyle w:val="24"/>
      </w:pPr>
      <w: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t xml:space="preserve">, и Е-морфотип, соответствующий </w:t>
      </w:r>
      <w:r>
        <w:rPr>
          <w:i/>
          <w:iCs/>
        </w:rPr>
        <w:t>M. edulis</w:t>
      </w:r>
      <w: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p>
    <w:bookmarkEnd w:id="11"/>
    <w:p w14:paraId="59153010">
      <w:pPr>
        <w:pStyle w:val="4"/>
      </w:pPr>
      <w:bookmarkStart w:id="12" w:name="статистическая-обработка"/>
      <w:r>
        <w:t>Статистическая обработка</w:t>
      </w:r>
    </w:p>
    <w:p w14:paraId="680BE9AA">
      <w:pPr>
        <w:pStyle w:val="24"/>
      </w:pPr>
      <w:r>
        <w:t>Вся обработка данных проводилась с использованием функций языка статистического программирования R4.4.2 (R Core Team 2023).</w:t>
      </w:r>
    </w:p>
    <w:p w14:paraId="213C04A8">
      <w:pPr>
        <w:pStyle w:val="3"/>
      </w:pPr>
      <w:r>
        <w:t>Для оценки степени прибойности была введена величина “fetch” (LaBarre et al.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14:paraId="05F6B02E">
      <w:pPr>
        <w:pStyle w:val="3"/>
      </w:pPr>
      <w: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14:paraId="4F71608A">
      <w:pPr>
        <w:pStyle w:val="3"/>
      </w:pPr>
      <w: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14:paraId="5BC04A9D">
      <w:pPr>
        <w:pStyle w:val="3"/>
      </w:pPr>
      <w: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bookmarkEnd w:id="9"/>
    <w:bookmarkEnd w:id="12"/>
    <w:p w14:paraId="6BB3C189">
      <w:pPr>
        <w:pStyle w:val="2"/>
      </w:pPr>
      <w:bookmarkStart w:id="13" w:name="результаты"/>
      <w:r>
        <w:t>Результаты</w:t>
      </w:r>
    </w:p>
    <w:p w14:paraId="353932DC">
      <w:pPr>
        <w:pStyle w:val="24"/>
      </w:pPr>
      <w: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14:paraId="12FE9E83">
      <w:pPr>
        <w:pStyle w:val="4"/>
      </w:pPr>
      <w:bookmarkStart w:id="14" w:name="связь-обилия-мидий-с-факторами"/>
      <w:r>
        <w:t>Связь обилия мидий с факторами</w:t>
      </w:r>
    </w:p>
    <w:p w14:paraId="32417712">
      <w:pPr>
        <w:pStyle w:val="24"/>
      </w:pPr>
      <w: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t xml:space="preserve"> и </w:t>
      </w:r>
      <w:r>
        <w:rPr>
          <w:i/>
          <w:iCs/>
        </w:rPr>
        <w:t>F.vesiculusus</w:t>
      </w:r>
      <w:r>
        <w:t>. Однако, обилие двух морфотипов значимо зависит от прибойности (Табл. 1 и 2).</w:t>
      </w:r>
    </w:p>
    <w:p w14:paraId="77A46DAD">
      <w:pPr>
        <w:pStyle w:val="32"/>
      </w:pPr>
      <w: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29"/>
        <w:tblW w:w="5000" w:type="pct"/>
        <w:tblCaption w:val="Таблица 1. Параметры модели, описвающей связь плотности поселения мидий E-морфотипа с изученными факторами. Параметрическая часть модели."/>
        <w:tblInd w:w="0" w:type="dxa"/>
        <w:tblLayout w:type="fixed"/>
        <w:tblCellMar>
          <w:top w:w="0" w:type="dxa"/>
          <w:left w:w="108" w:type="dxa"/>
          <w:bottom w:w="0" w:type="dxa"/>
          <w:right w:w="108" w:type="dxa"/>
        </w:tblCellMar>
      </w:tblPr>
      <w:tblGrid>
        <w:gridCol w:w="1774"/>
        <w:gridCol w:w="2513"/>
        <w:gridCol w:w="2809"/>
        <w:gridCol w:w="1626"/>
        <w:gridCol w:w="1182"/>
      </w:tblGrid>
      <w:tr w14:paraId="79A60AF1">
        <w:tblPrEx>
          <w:tblCellMar>
            <w:top w:w="0" w:type="dxa"/>
            <w:left w:w="108" w:type="dxa"/>
            <w:bottom w:w="0" w:type="dxa"/>
            <w:right w:w="108" w:type="dxa"/>
          </w:tblCellMar>
        </w:tblPrEx>
        <w:trPr>
          <w:tblHeader/>
        </w:trPr>
        <w:tc>
          <w:p w14:paraId="276BB03F">
            <w:pPr>
              <w:pStyle w:val="25"/>
              <w:jc w:val="left"/>
            </w:pPr>
            <w:r>
              <w:t>Член модели</w:t>
            </w:r>
          </w:p>
        </w:tc>
        <w:tc>
          <w:p w14:paraId="46BB490E">
            <w:pPr>
              <w:pStyle w:val="25"/>
              <w:jc w:val="right"/>
            </w:pPr>
            <w:r>
              <w:t>Оценка параметра</w:t>
            </w:r>
          </w:p>
        </w:tc>
        <w:tc>
          <w:p w14:paraId="0C99BCB6">
            <w:pPr>
              <w:pStyle w:val="25"/>
              <w:jc w:val="right"/>
            </w:pPr>
            <w:r>
              <w:t>Стандартная ошибка</w:t>
            </w:r>
          </w:p>
        </w:tc>
        <w:tc>
          <w:p w14:paraId="68AF647E">
            <w:pPr>
              <w:pStyle w:val="25"/>
              <w:jc w:val="right"/>
            </w:pPr>
            <w:r>
              <w:t>t-критерий</w:t>
            </w:r>
          </w:p>
        </w:tc>
        <w:tc>
          <w:p w14:paraId="670D8957">
            <w:pPr>
              <w:pStyle w:val="25"/>
              <w:jc w:val="right"/>
            </w:pPr>
            <w:r>
              <w:t>p-value</w:t>
            </w:r>
          </w:p>
        </w:tc>
      </w:tr>
      <w:tr w14:paraId="2CA98B20">
        <w:tblPrEx>
          <w:tblCellMar>
            <w:top w:w="0" w:type="dxa"/>
            <w:left w:w="108" w:type="dxa"/>
            <w:bottom w:w="0" w:type="dxa"/>
            <w:right w:w="108" w:type="dxa"/>
          </w:tblCellMar>
        </w:tblPrEx>
        <w:tc>
          <w:p w14:paraId="7BB9A316">
            <w:pPr>
              <w:pStyle w:val="25"/>
              <w:jc w:val="left"/>
            </w:pPr>
            <w:r>
              <w:t>(Intercept)</w:t>
            </w:r>
          </w:p>
        </w:tc>
        <w:tc>
          <w:p w14:paraId="7E3D88B4">
            <w:pPr>
              <w:pStyle w:val="25"/>
              <w:jc w:val="right"/>
            </w:pPr>
            <w:r>
              <w:t>0.12</w:t>
            </w:r>
          </w:p>
        </w:tc>
        <w:tc>
          <w:p w14:paraId="63EC1126">
            <w:pPr>
              <w:pStyle w:val="25"/>
              <w:jc w:val="right"/>
            </w:pPr>
            <w:r>
              <w:t>0.025</w:t>
            </w:r>
          </w:p>
        </w:tc>
        <w:tc>
          <w:p w14:paraId="674DA1C5">
            <w:pPr>
              <w:pStyle w:val="25"/>
              <w:jc w:val="right"/>
            </w:pPr>
            <w:r>
              <w:t>4.9</w:t>
            </w:r>
          </w:p>
        </w:tc>
        <w:tc>
          <w:p w14:paraId="5FD004EB">
            <w:pPr>
              <w:pStyle w:val="25"/>
              <w:jc w:val="right"/>
            </w:pPr>
            <w:r>
              <w:t>0.0000</w:t>
            </w:r>
          </w:p>
        </w:tc>
      </w:tr>
      <w:tr w14:paraId="26B16D87">
        <w:tblPrEx>
          <w:tblCellMar>
            <w:top w:w="0" w:type="dxa"/>
            <w:left w:w="108" w:type="dxa"/>
            <w:bottom w:w="0" w:type="dxa"/>
            <w:right w:w="108" w:type="dxa"/>
          </w:tblCellMar>
        </w:tblPrEx>
        <w:tc>
          <w:p w14:paraId="4B69F8E5">
            <w:pPr>
              <w:pStyle w:val="25"/>
              <w:jc w:val="left"/>
            </w:pPr>
            <w:r>
              <w:t>FucoidF</w:t>
            </w:r>
          </w:p>
        </w:tc>
        <w:tc>
          <w:p w14:paraId="1EC67E8C">
            <w:pPr>
              <w:pStyle w:val="25"/>
              <w:jc w:val="right"/>
            </w:pPr>
            <w:r>
              <w:t>0.04</w:t>
            </w:r>
          </w:p>
        </w:tc>
        <w:tc>
          <w:p w14:paraId="39069C69">
            <w:pPr>
              <w:pStyle w:val="25"/>
              <w:jc w:val="right"/>
            </w:pPr>
            <w:r>
              <w:t>0.035</w:t>
            </w:r>
          </w:p>
        </w:tc>
        <w:tc>
          <w:p w14:paraId="1713B5BE">
            <w:pPr>
              <w:pStyle w:val="25"/>
              <w:jc w:val="right"/>
            </w:pPr>
            <w:r>
              <w:t>1.0</w:t>
            </w:r>
          </w:p>
        </w:tc>
        <w:tc>
          <w:p w14:paraId="361A49F7">
            <w:pPr>
              <w:pStyle w:val="25"/>
              <w:jc w:val="right"/>
            </w:pPr>
            <w:r>
              <w:t>0.3266</w:t>
            </w:r>
          </w:p>
        </w:tc>
      </w:tr>
    </w:tbl>
    <w:p w14:paraId="59780FC5"/>
    <w:p w14:paraId="390A37DE">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Layout w:type="autofit"/>
        <w:tblCellMar>
          <w:top w:w="0" w:type="dxa"/>
          <w:left w:w="108" w:type="dxa"/>
          <w:bottom w:w="0" w:type="dxa"/>
          <w:right w:w="108" w:type="dxa"/>
        </w:tblCellMar>
      </w:tblPr>
      <w:tblGrid>
        <w:gridCol w:w="2323"/>
        <w:gridCol w:w="523"/>
        <w:gridCol w:w="1330"/>
        <w:gridCol w:w="936"/>
      </w:tblGrid>
      <w:tr w14:paraId="32995D5F">
        <w:trPr>
          <w:tblHeader/>
        </w:trPr>
        <w:tc>
          <w:p w14:paraId="5C5CC17B">
            <w:pPr>
              <w:pStyle w:val="25"/>
              <w:jc w:val="left"/>
            </w:pPr>
            <w:r>
              <w:t>Член модели</w:t>
            </w:r>
          </w:p>
        </w:tc>
        <w:tc>
          <w:p w14:paraId="47B76B3D">
            <w:pPr>
              <w:pStyle w:val="25"/>
              <w:jc w:val="right"/>
            </w:pPr>
            <w:r>
              <w:t>edf</w:t>
            </w:r>
          </w:p>
        </w:tc>
        <w:tc>
          <w:p w14:paraId="3BAE8B4D">
            <w:pPr>
              <w:pStyle w:val="25"/>
              <w:jc w:val="right"/>
            </w:pPr>
            <w:r>
              <w:t>f-критерий</w:t>
            </w:r>
          </w:p>
        </w:tc>
        <w:tc>
          <w:p w14:paraId="258F4784">
            <w:pPr>
              <w:pStyle w:val="25"/>
              <w:jc w:val="right"/>
            </w:pPr>
            <w:r>
              <w:t>p-value</w:t>
            </w:r>
          </w:p>
        </w:tc>
      </w:tr>
      <w:tr w14:paraId="23C9F8B7">
        <w:tblPrEx>
          <w:tblCellMar>
            <w:top w:w="0" w:type="dxa"/>
            <w:left w:w="108" w:type="dxa"/>
            <w:bottom w:w="0" w:type="dxa"/>
            <w:right w:w="108" w:type="dxa"/>
          </w:tblCellMar>
        </w:tblPrEx>
        <w:tc>
          <w:p w14:paraId="3052A50D">
            <w:pPr>
              <w:pStyle w:val="25"/>
              <w:jc w:val="left"/>
            </w:pPr>
            <w:r>
              <w:t>s(log(fetch)):FucoidA</w:t>
            </w:r>
          </w:p>
        </w:tc>
        <w:tc>
          <w:p w14:paraId="4248936C">
            <w:pPr>
              <w:pStyle w:val="25"/>
              <w:jc w:val="right"/>
            </w:pPr>
            <w:r>
              <w:t>1.0</w:t>
            </w:r>
          </w:p>
        </w:tc>
        <w:tc>
          <w:p w14:paraId="297E0D24">
            <w:pPr>
              <w:pStyle w:val="25"/>
              <w:jc w:val="right"/>
            </w:pPr>
            <w:r>
              <w:t>5.3</w:t>
            </w:r>
          </w:p>
        </w:tc>
        <w:tc>
          <w:p w14:paraId="70C9AF94">
            <w:pPr>
              <w:pStyle w:val="25"/>
              <w:jc w:val="right"/>
            </w:pPr>
            <w:r>
              <w:t>0.0259</w:t>
            </w:r>
          </w:p>
        </w:tc>
      </w:tr>
      <w:tr w14:paraId="5D8446A4">
        <w:tblPrEx>
          <w:tblCellMar>
            <w:top w:w="0" w:type="dxa"/>
            <w:left w:w="108" w:type="dxa"/>
            <w:bottom w:w="0" w:type="dxa"/>
            <w:right w:w="108" w:type="dxa"/>
          </w:tblCellMar>
        </w:tblPrEx>
        <w:tc>
          <w:p w14:paraId="07F6A1E7">
            <w:pPr>
              <w:pStyle w:val="25"/>
              <w:jc w:val="left"/>
            </w:pPr>
            <w:r>
              <w:t>s(log(fetch)):FucoidF</w:t>
            </w:r>
          </w:p>
        </w:tc>
        <w:tc>
          <w:p w14:paraId="175AFEC3">
            <w:pPr>
              <w:pStyle w:val="25"/>
              <w:jc w:val="right"/>
            </w:pPr>
            <w:r>
              <w:t>1.9</w:t>
            </w:r>
          </w:p>
        </w:tc>
        <w:tc>
          <w:p w14:paraId="2C3E9919">
            <w:pPr>
              <w:pStyle w:val="25"/>
              <w:jc w:val="right"/>
            </w:pPr>
            <w:r>
              <w:t>10.3</w:t>
            </w:r>
          </w:p>
        </w:tc>
        <w:tc>
          <w:p w14:paraId="256FBE70">
            <w:pPr>
              <w:pStyle w:val="25"/>
              <w:jc w:val="right"/>
            </w:pPr>
            <w:r>
              <w:t>0.0001</w:t>
            </w:r>
          </w:p>
        </w:tc>
      </w:tr>
    </w:tbl>
    <w:p w14:paraId="473B8454"/>
    <w:p w14:paraId="56A0B271">
      <w:pPr>
        <w:pStyle w:val="32"/>
      </w:pPr>
      <w: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29"/>
        <w:tblW w:w="5000" w:type="pct"/>
        <w:tblCaption w:val="Таблица 2. Параметры модели, описвающей связь плотности поселения мидий T-морфотипа с изученными факторами. Параметрическая часть модели."/>
        <w:tblInd w:w="0" w:type="dxa"/>
        <w:tblLayout w:type="fixed"/>
        <w:tblCellMar>
          <w:top w:w="0" w:type="dxa"/>
          <w:left w:w="108" w:type="dxa"/>
          <w:bottom w:w="0" w:type="dxa"/>
          <w:right w:w="108" w:type="dxa"/>
        </w:tblCellMar>
      </w:tblPr>
      <w:tblGrid>
        <w:gridCol w:w="1774"/>
        <w:gridCol w:w="2513"/>
        <w:gridCol w:w="2809"/>
        <w:gridCol w:w="1626"/>
        <w:gridCol w:w="1182"/>
      </w:tblGrid>
      <w:tr w14:paraId="0764B680">
        <w:tblPrEx>
          <w:tblCellMar>
            <w:top w:w="0" w:type="dxa"/>
            <w:left w:w="108" w:type="dxa"/>
            <w:bottom w:w="0" w:type="dxa"/>
            <w:right w:w="108" w:type="dxa"/>
          </w:tblCellMar>
        </w:tblPrEx>
        <w:trPr>
          <w:tblHeader/>
        </w:trPr>
        <w:tc>
          <w:p w14:paraId="7FD9A60D">
            <w:pPr>
              <w:pStyle w:val="25"/>
              <w:jc w:val="left"/>
            </w:pPr>
            <w:r>
              <w:t>Член модели</w:t>
            </w:r>
          </w:p>
        </w:tc>
        <w:tc>
          <w:p w14:paraId="410BAEB9">
            <w:pPr>
              <w:pStyle w:val="25"/>
              <w:jc w:val="right"/>
            </w:pPr>
            <w:r>
              <w:t>Оценка параметра</w:t>
            </w:r>
          </w:p>
        </w:tc>
        <w:tc>
          <w:p w14:paraId="3E5DD1D2">
            <w:pPr>
              <w:pStyle w:val="25"/>
              <w:jc w:val="right"/>
            </w:pPr>
            <w:r>
              <w:t>Стандартная ошибка</w:t>
            </w:r>
          </w:p>
        </w:tc>
        <w:tc>
          <w:p w14:paraId="6233FA4A">
            <w:pPr>
              <w:pStyle w:val="25"/>
              <w:jc w:val="right"/>
            </w:pPr>
            <w:r>
              <w:t>t-критерий</w:t>
            </w:r>
          </w:p>
        </w:tc>
        <w:tc>
          <w:p w14:paraId="20B3B5B0">
            <w:pPr>
              <w:pStyle w:val="25"/>
              <w:jc w:val="right"/>
            </w:pPr>
            <w:r>
              <w:t>p-value</w:t>
            </w:r>
          </w:p>
        </w:tc>
      </w:tr>
      <w:tr w14:paraId="75CCD89F">
        <w:tblPrEx>
          <w:tblCellMar>
            <w:top w:w="0" w:type="dxa"/>
            <w:left w:w="108" w:type="dxa"/>
            <w:bottom w:w="0" w:type="dxa"/>
            <w:right w:w="108" w:type="dxa"/>
          </w:tblCellMar>
        </w:tblPrEx>
        <w:tc>
          <w:p w14:paraId="0B86CAEF">
            <w:pPr>
              <w:pStyle w:val="25"/>
              <w:jc w:val="left"/>
            </w:pPr>
            <w:r>
              <w:t>(Intercept)</w:t>
            </w:r>
          </w:p>
        </w:tc>
        <w:tc>
          <w:p w14:paraId="2CACF5EA">
            <w:pPr>
              <w:pStyle w:val="25"/>
              <w:jc w:val="right"/>
            </w:pPr>
            <w:r>
              <w:t>0.12</w:t>
            </w:r>
          </w:p>
        </w:tc>
        <w:tc>
          <w:p w14:paraId="5522C150">
            <w:pPr>
              <w:pStyle w:val="25"/>
              <w:jc w:val="right"/>
            </w:pPr>
            <w:r>
              <w:t>0.025</w:t>
            </w:r>
          </w:p>
        </w:tc>
        <w:tc>
          <w:p w14:paraId="5309BB73">
            <w:pPr>
              <w:pStyle w:val="25"/>
              <w:jc w:val="right"/>
            </w:pPr>
            <w:r>
              <w:t>4.9</w:t>
            </w:r>
          </w:p>
        </w:tc>
        <w:tc>
          <w:p w14:paraId="6C31B814">
            <w:pPr>
              <w:pStyle w:val="25"/>
              <w:jc w:val="right"/>
            </w:pPr>
            <w:r>
              <w:t>0.0000</w:t>
            </w:r>
          </w:p>
        </w:tc>
      </w:tr>
      <w:tr w14:paraId="2371AD47">
        <w:tblPrEx>
          <w:tblCellMar>
            <w:top w:w="0" w:type="dxa"/>
            <w:left w:w="108" w:type="dxa"/>
            <w:bottom w:w="0" w:type="dxa"/>
            <w:right w:w="108" w:type="dxa"/>
          </w:tblCellMar>
        </w:tblPrEx>
        <w:tc>
          <w:p w14:paraId="38574D05">
            <w:pPr>
              <w:pStyle w:val="25"/>
              <w:jc w:val="left"/>
            </w:pPr>
            <w:r>
              <w:t>FucoidF</w:t>
            </w:r>
          </w:p>
        </w:tc>
        <w:tc>
          <w:p w14:paraId="2EDB2ABB">
            <w:pPr>
              <w:pStyle w:val="25"/>
              <w:jc w:val="right"/>
            </w:pPr>
            <w:r>
              <w:t>0.04</w:t>
            </w:r>
          </w:p>
        </w:tc>
        <w:tc>
          <w:p w14:paraId="2D5A2C56">
            <w:pPr>
              <w:pStyle w:val="25"/>
              <w:jc w:val="right"/>
            </w:pPr>
            <w:r>
              <w:t>0.035</w:t>
            </w:r>
          </w:p>
        </w:tc>
        <w:tc>
          <w:p w14:paraId="6C3E9EE5">
            <w:pPr>
              <w:pStyle w:val="25"/>
              <w:jc w:val="right"/>
            </w:pPr>
            <w:r>
              <w:t>1.0</w:t>
            </w:r>
          </w:p>
        </w:tc>
        <w:tc>
          <w:p w14:paraId="4CD26711">
            <w:pPr>
              <w:pStyle w:val="25"/>
              <w:jc w:val="right"/>
            </w:pPr>
            <w:r>
              <w:t>0.3266</w:t>
            </w:r>
          </w:p>
        </w:tc>
      </w:tr>
    </w:tbl>
    <w:p w14:paraId="7DB2D2A8"/>
    <w:p w14:paraId="0FC5B91B">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Layout w:type="autofit"/>
        <w:tblCellMar>
          <w:top w:w="0" w:type="dxa"/>
          <w:left w:w="108" w:type="dxa"/>
          <w:bottom w:w="0" w:type="dxa"/>
          <w:right w:w="108" w:type="dxa"/>
        </w:tblCellMar>
      </w:tblPr>
      <w:tblGrid>
        <w:gridCol w:w="2323"/>
        <w:gridCol w:w="523"/>
        <w:gridCol w:w="1330"/>
        <w:gridCol w:w="936"/>
      </w:tblGrid>
      <w:tr w14:paraId="67F92734">
        <w:tblPrEx>
          <w:tblCellMar>
            <w:top w:w="0" w:type="dxa"/>
            <w:left w:w="108" w:type="dxa"/>
            <w:bottom w:w="0" w:type="dxa"/>
            <w:right w:w="108" w:type="dxa"/>
          </w:tblCellMar>
        </w:tblPrEx>
        <w:trPr>
          <w:tblHeader/>
        </w:trPr>
        <w:tc>
          <w:p w14:paraId="1A1093DF">
            <w:pPr>
              <w:pStyle w:val="25"/>
              <w:jc w:val="left"/>
            </w:pPr>
            <w:r>
              <w:t>Член модели</w:t>
            </w:r>
          </w:p>
        </w:tc>
        <w:tc>
          <w:p w14:paraId="20F106E5">
            <w:pPr>
              <w:pStyle w:val="25"/>
              <w:jc w:val="right"/>
            </w:pPr>
            <w:r>
              <w:t>edf</w:t>
            </w:r>
          </w:p>
        </w:tc>
        <w:tc>
          <w:p w14:paraId="2EF37FF8">
            <w:pPr>
              <w:pStyle w:val="25"/>
              <w:jc w:val="right"/>
            </w:pPr>
            <w:r>
              <w:t>f-критерий</w:t>
            </w:r>
          </w:p>
        </w:tc>
        <w:tc>
          <w:p w14:paraId="15C7D9D5">
            <w:pPr>
              <w:pStyle w:val="25"/>
              <w:jc w:val="right"/>
            </w:pPr>
            <w:r>
              <w:t>p-value</w:t>
            </w:r>
          </w:p>
        </w:tc>
      </w:tr>
      <w:tr w14:paraId="4D1308C9">
        <w:tblPrEx>
          <w:tblCellMar>
            <w:top w:w="0" w:type="dxa"/>
            <w:left w:w="108" w:type="dxa"/>
            <w:bottom w:w="0" w:type="dxa"/>
            <w:right w:w="108" w:type="dxa"/>
          </w:tblCellMar>
        </w:tblPrEx>
        <w:tc>
          <w:p w14:paraId="549FAFFA">
            <w:pPr>
              <w:pStyle w:val="25"/>
              <w:jc w:val="left"/>
            </w:pPr>
            <w:r>
              <w:t>s(log(fetch)):FucoidA</w:t>
            </w:r>
          </w:p>
        </w:tc>
        <w:tc>
          <w:p w14:paraId="36D809F2">
            <w:pPr>
              <w:pStyle w:val="25"/>
              <w:jc w:val="right"/>
            </w:pPr>
            <w:r>
              <w:t>1.0</w:t>
            </w:r>
          </w:p>
        </w:tc>
        <w:tc>
          <w:p w14:paraId="5E22726A">
            <w:pPr>
              <w:pStyle w:val="25"/>
              <w:jc w:val="right"/>
            </w:pPr>
            <w:r>
              <w:t>5.3</w:t>
            </w:r>
          </w:p>
        </w:tc>
        <w:tc>
          <w:p w14:paraId="4813A0A3">
            <w:pPr>
              <w:pStyle w:val="25"/>
              <w:jc w:val="right"/>
            </w:pPr>
            <w:r>
              <w:t>0.0259</w:t>
            </w:r>
          </w:p>
        </w:tc>
      </w:tr>
      <w:tr w14:paraId="58D18899">
        <w:tblPrEx>
          <w:tblCellMar>
            <w:top w:w="0" w:type="dxa"/>
            <w:left w:w="108" w:type="dxa"/>
            <w:bottom w:w="0" w:type="dxa"/>
            <w:right w:w="108" w:type="dxa"/>
          </w:tblCellMar>
        </w:tblPrEx>
        <w:tc>
          <w:p w14:paraId="3AE2C525">
            <w:pPr>
              <w:pStyle w:val="25"/>
              <w:jc w:val="left"/>
            </w:pPr>
            <w:r>
              <w:t>s(log(fetch)):FucoidF</w:t>
            </w:r>
          </w:p>
        </w:tc>
        <w:tc>
          <w:p w14:paraId="07DEF32F">
            <w:pPr>
              <w:pStyle w:val="25"/>
              <w:jc w:val="right"/>
            </w:pPr>
            <w:r>
              <w:t>1.9</w:t>
            </w:r>
          </w:p>
        </w:tc>
        <w:tc>
          <w:p w14:paraId="3DB32A49">
            <w:pPr>
              <w:pStyle w:val="25"/>
              <w:jc w:val="right"/>
            </w:pPr>
            <w:r>
              <w:t>10.3</w:t>
            </w:r>
          </w:p>
        </w:tc>
        <w:tc>
          <w:p w14:paraId="480B3E40">
            <w:pPr>
              <w:pStyle w:val="25"/>
              <w:jc w:val="right"/>
            </w:pPr>
            <w:r>
              <w:t>0.0001</w:t>
            </w:r>
          </w:p>
        </w:tc>
      </w:tr>
    </w:tbl>
    <w:p w14:paraId="6992C77D">
      <w:pPr>
        <w:pStyle w:val="3"/>
      </w:pPr>
      <w: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t xml:space="preserve">, так и на </w:t>
      </w:r>
      <w:r>
        <w:rPr>
          <w:i/>
          <w:iCs/>
        </w:rPr>
        <w:t>A. nodosum</w:t>
      </w:r>
      <w:r>
        <w:t>.</w:t>
      </w:r>
    </w:p>
    <w:p w14:paraId="2B68E899">
      <w:pPr>
        <w:pStyle w:val="34"/>
      </w:pPr>
      <w:r>
        <w:drawing>
          <wp:inline distT="0" distB="0" distL="114300" distR="114300">
            <wp:extent cx="4619625" cy="3695700"/>
            <wp:effectExtent l="0" t="0" r="0" b="0"/>
            <wp:docPr id="40" name="Picture"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Рисунок 2. Связь плотности поселения мидий разных морфотиов с величиной прибойности"/>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14:paraId="7B537B81">
      <w:pPr>
        <w:pStyle w:val="23"/>
      </w:pPr>
      <w:r>
        <w:t>Рисунок 2. Связь плотности поселения мидий разных морфотиов с величиной прибойности</w:t>
      </w:r>
    </w:p>
    <w:bookmarkEnd w:id="14"/>
    <w:p w14:paraId="51FA4A17">
      <w:pPr>
        <w:pStyle w:val="4"/>
      </w:pPr>
      <w:bookmarkStart w:id="15" w:name="X31d4f73256d4d223f59b4906725e72b5387c14d"/>
    </w:p>
    <w:p w14:paraId="6ADF63D3">
      <w:pPr>
        <w:pStyle w:val="4"/>
      </w:pPr>
      <w:r>
        <w:t>Таксономический состав поселений на фукоидах</w:t>
      </w:r>
    </w:p>
    <w:p w14:paraId="34434913">
      <w:pPr>
        <w:pStyle w:val="24"/>
      </w:pPr>
      <w: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t xml:space="preserve"> не выявлено.</w:t>
      </w:r>
    </w:p>
    <w:p w14:paraId="25A9EF33">
      <w:pPr>
        <w:pStyle w:val="32"/>
      </w:pPr>
      <w:r>
        <w:t>Таблица 3. Параметры модели, описывающие соотношение T и E морфотипов с изученными факторами Параметрическая часть модели.</w:t>
      </w:r>
    </w:p>
    <w:tbl>
      <w:tblPr>
        <w:tblStyle w:val="29"/>
        <w:tblW w:w="5000" w:type="pct"/>
        <w:tblCaption w:val="Таблица 3. Параметры модели, описывающие соотношение T и E морфотипов с изученными факторами Параметрическая часть модели."/>
        <w:tblInd w:w="0" w:type="dxa"/>
        <w:tblLayout w:type="fixed"/>
        <w:tblCellMar>
          <w:top w:w="0" w:type="dxa"/>
          <w:left w:w="108" w:type="dxa"/>
          <w:bottom w:w="0" w:type="dxa"/>
          <w:right w:w="108" w:type="dxa"/>
        </w:tblCellMar>
      </w:tblPr>
      <w:tblGrid>
        <w:gridCol w:w="1774"/>
        <w:gridCol w:w="2513"/>
        <w:gridCol w:w="2809"/>
        <w:gridCol w:w="1626"/>
        <w:gridCol w:w="1182"/>
      </w:tblGrid>
      <w:tr w14:paraId="59BB9893">
        <w:tblPrEx>
          <w:tblCellMar>
            <w:top w:w="0" w:type="dxa"/>
            <w:left w:w="108" w:type="dxa"/>
            <w:bottom w:w="0" w:type="dxa"/>
            <w:right w:w="108" w:type="dxa"/>
          </w:tblCellMar>
        </w:tblPrEx>
        <w:trPr>
          <w:tblHeader/>
        </w:trPr>
        <w:tc>
          <w:p w14:paraId="1C548AD9">
            <w:pPr>
              <w:pStyle w:val="25"/>
              <w:jc w:val="left"/>
            </w:pPr>
            <w:r>
              <w:t>Член модели</w:t>
            </w:r>
          </w:p>
        </w:tc>
        <w:tc>
          <w:p w14:paraId="33A7C0A4">
            <w:pPr>
              <w:pStyle w:val="25"/>
              <w:jc w:val="right"/>
            </w:pPr>
            <w:r>
              <w:t>Оценка параметра</w:t>
            </w:r>
          </w:p>
        </w:tc>
        <w:tc>
          <w:p w14:paraId="176B6679">
            <w:pPr>
              <w:pStyle w:val="25"/>
              <w:jc w:val="right"/>
            </w:pPr>
            <w:r>
              <w:t>Стандартная ошибка</w:t>
            </w:r>
          </w:p>
        </w:tc>
        <w:tc>
          <w:p w14:paraId="1844B485">
            <w:pPr>
              <w:pStyle w:val="25"/>
              <w:jc w:val="right"/>
            </w:pPr>
            <w:r>
              <w:t>t-критерий</w:t>
            </w:r>
          </w:p>
        </w:tc>
        <w:tc>
          <w:p w14:paraId="7C36D93B">
            <w:pPr>
              <w:pStyle w:val="25"/>
              <w:jc w:val="right"/>
            </w:pPr>
            <w:r>
              <w:t>p-value</w:t>
            </w:r>
          </w:p>
        </w:tc>
      </w:tr>
      <w:tr w14:paraId="030ACA99">
        <w:tblPrEx>
          <w:tblCellMar>
            <w:top w:w="0" w:type="dxa"/>
            <w:left w:w="108" w:type="dxa"/>
            <w:bottom w:w="0" w:type="dxa"/>
            <w:right w:w="108" w:type="dxa"/>
          </w:tblCellMar>
        </w:tblPrEx>
        <w:tc>
          <w:p w14:paraId="10534898">
            <w:pPr>
              <w:pStyle w:val="25"/>
              <w:jc w:val="left"/>
            </w:pPr>
            <w:r>
              <w:t>(Intercept)</w:t>
            </w:r>
          </w:p>
        </w:tc>
        <w:tc>
          <w:p w14:paraId="5899FAA9">
            <w:pPr>
              <w:pStyle w:val="25"/>
              <w:jc w:val="right"/>
            </w:pPr>
            <w:r>
              <w:t>0.57</w:t>
            </w:r>
          </w:p>
        </w:tc>
        <w:tc>
          <w:p w14:paraId="280AB9CE">
            <w:pPr>
              <w:pStyle w:val="25"/>
              <w:jc w:val="right"/>
            </w:pPr>
            <w:r>
              <w:t>0.035</w:t>
            </w:r>
          </w:p>
        </w:tc>
        <w:tc>
          <w:p w14:paraId="4B7A913F">
            <w:pPr>
              <w:pStyle w:val="25"/>
              <w:jc w:val="right"/>
            </w:pPr>
            <w:r>
              <w:t>16.5</w:t>
            </w:r>
          </w:p>
        </w:tc>
        <w:tc>
          <w:p w14:paraId="75E44B27">
            <w:pPr>
              <w:pStyle w:val="25"/>
              <w:jc w:val="right"/>
            </w:pPr>
            <w:r>
              <w:t>0.0000</w:t>
            </w:r>
          </w:p>
        </w:tc>
      </w:tr>
      <w:tr w14:paraId="34895520">
        <w:tblPrEx>
          <w:tblCellMar>
            <w:top w:w="0" w:type="dxa"/>
            <w:left w:w="108" w:type="dxa"/>
            <w:bottom w:w="0" w:type="dxa"/>
            <w:right w:w="108" w:type="dxa"/>
          </w:tblCellMar>
        </w:tblPrEx>
        <w:tc>
          <w:p w14:paraId="161D9922">
            <w:pPr>
              <w:pStyle w:val="25"/>
              <w:jc w:val="left"/>
            </w:pPr>
            <w:r>
              <w:t>FucoidF</w:t>
            </w:r>
          </w:p>
        </w:tc>
        <w:tc>
          <w:p w14:paraId="12B7898B">
            <w:pPr>
              <w:pStyle w:val="25"/>
              <w:jc w:val="right"/>
            </w:pPr>
            <w:r>
              <w:t>-0.05</w:t>
            </w:r>
          </w:p>
        </w:tc>
        <w:tc>
          <w:p w14:paraId="36817667">
            <w:pPr>
              <w:pStyle w:val="25"/>
              <w:jc w:val="right"/>
            </w:pPr>
            <w:r>
              <w:t>0.050</w:t>
            </w:r>
          </w:p>
        </w:tc>
        <w:tc>
          <w:p w14:paraId="4A4A4469">
            <w:pPr>
              <w:pStyle w:val="25"/>
              <w:jc w:val="right"/>
            </w:pPr>
            <w:r>
              <w:t>-0.9</w:t>
            </w:r>
          </w:p>
        </w:tc>
        <w:tc>
          <w:p w14:paraId="0C5BD4A5">
            <w:pPr>
              <w:pStyle w:val="25"/>
              <w:jc w:val="right"/>
            </w:pPr>
            <w:r>
              <w:t>0.3653</w:t>
            </w:r>
          </w:p>
        </w:tc>
      </w:tr>
    </w:tbl>
    <w:p w14:paraId="7C5485DA"/>
    <w:p w14:paraId="02E7FAE3">
      <w:pPr>
        <w:pStyle w:val="32"/>
      </w:pPr>
      <w:r>
        <w:t>Таблица 3 (продолжение). Сглаживающие функции.</w:t>
      </w:r>
    </w:p>
    <w:tbl>
      <w:tblPr>
        <w:tblStyle w:val="29"/>
        <w:tblW w:w="0" w:type="auto"/>
        <w:tblCaption w:val="Таблица 3 (продолжение). Сглаживающие функции."/>
        <w:tblInd w:w="0" w:type="dxa"/>
        <w:tblLayout w:type="autofit"/>
        <w:tblCellMar>
          <w:top w:w="0" w:type="dxa"/>
          <w:left w:w="108" w:type="dxa"/>
          <w:bottom w:w="0" w:type="dxa"/>
          <w:right w:w="108" w:type="dxa"/>
        </w:tblCellMar>
      </w:tblPr>
      <w:tblGrid>
        <w:gridCol w:w="2323"/>
        <w:gridCol w:w="523"/>
        <w:gridCol w:w="1330"/>
        <w:gridCol w:w="936"/>
      </w:tblGrid>
      <w:tr w14:paraId="529E7DB0">
        <w:tblPrEx>
          <w:tblCellMar>
            <w:top w:w="0" w:type="dxa"/>
            <w:left w:w="108" w:type="dxa"/>
            <w:bottom w:w="0" w:type="dxa"/>
            <w:right w:w="108" w:type="dxa"/>
          </w:tblCellMar>
        </w:tblPrEx>
        <w:trPr>
          <w:tblHeader/>
        </w:trPr>
        <w:tc>
          <w:p w14:paraId="73B33A0D">
            <w:pPr>
              <w:pStyle w:val="25"/>
              <w:jc w:val="left"/>
            </w:pPr>
            <w:r>
              <w:t>Член модели</w:t>
            </w:r>
          </w:p>
        </w:tc>
        <w:tc>
          <w:p w14:paraId="4B7FB68F">
            <w:pPr>
              <w:pStyle w:val="25"/>
              <w:jc w:val="right"/>
            </w:pPr>
            <w:r>
              <w:t>edf</w:t>
            </w:r>
          </w:p>
        </w:tc>
        <w:tc>
          <w:p w14:paraId="70D2A9C5">
            <w:pPr>
              <w:pStyle w:val="25"/>
              <w:jc w:val="right"/>
            </w:pPr>
            <w:r>
              <w:t>f-критерий</w:t>
            </w:r>
          </w:p>
        </w:tc>
        <w:tc>
          <w:p w14:paraId="255757C5">
            <w:pPr>
              <w:pStyle w:val="25"/>
              <w:jc w:val="right"/>
            </w:pPr>
            <w:r>
              <w:t>p-value</w:t>
            </w:r>
          </w:p>
        </w:tc>
      </w:tr>
      <w:tr w14:paraId="4A03E62F">
        <w:tblPrEx>
          <w:tblCellMar>
            <w:top w:w="0" w:type="dxa"/>
            <w:left w:w="108" w:type="dxa"/>
            <w:bottom w:w="0" w:type="dxa"/>
            <w:right w:w="108" w:type="dxa"/>
          </w:tblCellMar>
        </w:tblPrEx>
        <w:tc>
          <w:p w14:paraId="5615DC4F">
            <w:pPr>
              <w:pStyle w:val="25"/>
              <w:jc w:val="left"/>
            </w:pPr>
            <w:r>
              <w:t>s(log(fetch)):FucoidA</w:t>
            </w:r>
          </w:p>
        </w:tc>
        <w:tc>
          <w:p w14:paraId="17A6FAAA">
            <w:pPr>
              <w:pStyle w:val="25"/>
              <w:jc w:val="right"/>
            </w:pPr>
            <w:r>
              <w:t>1.0</w:t>
            </w:r>
          </w:p>
        </w:tc>
        <w:tc>
          <w:p w14:paraId="05FD9DA7">
            <w:pPr>
              <w:pStyle w:val="25"/>
              <w:jc w:val="right"/>
            </w:pPr>
            <w:r>
              <w:t>5.3</w:t>
            </w:r>
          </w:p>
        </w:tc>
        <w:tc>
          <w:p w14:paraId="709FD30D">
            <w:pPr>
              <w:pStyle w:val="25"/>
              <w:jc w:val="right"/>
            </w:pPr>
            <w:r>
              <w:t>0.0259</w:t>
            </w:r>
          </w:p>
        </w:tc>
      </w:tr>
      <w:tr w14:paraId="677D412C">
        <w:tblPrEx>
          <w:tblCellMar>
            <w:top w:w="0" w:type="dxa"/>
            <w:left w:w="108" w:type="dxa"/>
            <w:bottom w:w="0" w:type="dxa"/>
            <w:right w:w="108" w:type="dxa"/>
          </w:tblCellMar>
        </w:tblPrEx>
        <w:tc>
          <w:p w14:paraId="50013FDD">
            <w:pPr>
              <w:pStyle w:val="25"/>
              <w:jc w:val="left"/>
            </w:pPr>
            <w:r>
              <w:t>s(log(fetch)):FucoidF</w:t>
            </w:r>
          </w:p>
        </w:tc>
        <w:tc>
          <w:p w14:paraId="7C21089E">
            <w:pPr>
              <w:pStyle w:val="25"/>
              <w:jc w:val="right"/>
            </w:pPr>
            <w:r>
              <w:t>1.9</w:t>
            </w:r>
          </w:p>
        </w:tc>
        <w:tc>
          <w:p w14:paraId="0016098D">
            <w:pPr>
              <w:pStyle w:val="25"/>
              <w:jc w:val="right"/>
            </w:pPr>
            <w:r>
              <w:t>10.3</w:t>
            </w:r>
          </w:p>
        </w:tc>
        <w:tc>
          <w:p w14:paraId="3C4FF190">
            <w:pPr>
              <w:pStyle w:val="25"/>
              <w:jc w:val="right"/>
            </w:pPr>
            <w:r>
              <w:t>0.0001</w:t>
            </w:r>
          </w:p>
        </w:tc>
      </w:tr>
    </w:tbl>
    <w:p w14:paraId="5EBC50FE">
      <w:pPr>
        <w:pStyle w:val="3"/>
      </w:pPr>
      <w:r>
        <w:t xml:space="preserve">Кроме этого, была отмечена ещё одна закономерность (близкая к статистической значимости), на </w:t>
      </w:r>
      <w:r>
        <w:rPr>
          <w:i/>
          <w:iCs/>
        </w:rPr>
        <w:t>F.vesiculosus</w:t>
      </w:r>
      <w:r>
        <w:t xml:space="preserve"> при увеличении общей плотности доля T-морфотипа уменьшается (Табл. 3, Рис. 3). На </w:t>
      </w:r>
      <w:r>
        <w:rPr>
          <w:i/>
          <w:iCs/>
        </w:rPr>
        <w:t>A. nodosum</w:t>
      </w:r>
      <w:r>
        <w:t xml:space="preserve"> такой закономерности не наблюдалось.</w:t>
      </w:r>
    </w:p>
    <w:p w14:paraId="6C798AF5">
      <w:pPr>
        <w:pStyle w:val="34"/>
      </w:pPr>
      <w:r>
        <w:drawing>
          <wp:inline distT="0" distB="0" distL="114300" distR="114300">
            <wp:extent cx="4619625" cy="3695700"/>
            <wp:effectExtent l="0" t="0" r="0" b="0"/>
            <wp:docPr id="44" name="Picture"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Рисунок 3. График, отображающий соотношение T и E морфотипа мидий"/>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14:paraId="606B4C30">
      <w:pPr>
        <w:pStyle w:val="23"/>
      </w:pPr>
      <w:r>
        <w:t>Рисунок 3. График, отображающий соотношение T и E морфотипа мидий</w:t>
      </w:r>
    </w:p>
    <w:bookmarkEnd w:id="13"/>
    <w:bookmarkEnd w:id="15"/>
    <w:p w14:paraId="404D13E5">
      <w:pPr>
        <w:pStyle w:val="2"/>
      </w:pPr>
      <w:bookmarkStart w:id="16" w:name="обсуждение"/>
      <w:r>
        <w:t>Обсуждение</w:t>
      </w:r>
    </w:p>
    <w:p w14:paraId="08FDB8D9">
      <w:pPr>
        <w:pStyle w:val="24"/>
      </w:pPr>
      <w: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t xml:space="preserve"> и </w:t>
      </w:r>
      <w:r>
        <w:rPr>
          <w:i/>
          <w:iCs/>
        </w:rPr>
        <w:t>F. vesiculosus</w:t>
      </w:r>
      <w: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14:paraId="131DA7E0">
      <w:pPr>
        <w:pStyle w:val="3"/>
      </w:pPr>
      <w: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14:paraId="513B23D6">
      <w:pPr>
        <w:pStyle w:val="3"/>
      </w:pPr>
      <w: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t xml:space="preserve"> (Е-морфотип) и </w:t>
      </w:r>
      <w:r>
        <w:rPr>
          <w:i/>
          <w:iCs/>
        </w:rPr>
        <w:t>M.trossulus</w:t>
      </w:r>
      <w: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t xml:space="preserve">, то доля T-морфотпа должна падать и, наоборот, если выигрывает </w:t>
      </w:r>
      <w:r>
        <w:rPr>
          <w:i/>
          <w:iCs/>
        </w:rPr>
        <w:t>M.trossulus</w:t>
      </w:r>
      <w:r>
        <w:t>, то возрастать.</w:t>
      </w:r>
    </w:p>
    <w:p w14:paraId="65C3B578">
      <w:pPr>
        <w:pStyle w:val="3"/>
      </w:pPr>
      <w: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t xml:space="preserve">. В поселениях мидий На </w:t>
      </w:r>
      <w:r>
        <w:rPr>
          <w:i/>
          <w:iCs/>
        </w:rPr>
        <w:t>A. nodosum</w:t>
      </w:r>
      <w: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t xml:space="preserve"> доля T-морфотипа (т.е. </w:t>
      </w:r>
      <w:r>
        <w:rPr>
          <w:i/>
          <w:iCs/>
        </w:rPr>
        <w:t>M.trossulus</w:t>
      </w:r>
      <w: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t xml:space="preserve">, живущих на </w:t>
      </w:r>
      <w:r>
        <w:rPr>
          <w:i/>
          <w:iCs/>
        </w:rPr>
        <w:t>F.vesiculosus</w:t>
      </w:r>
      <w: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t xml:space="preserve"> более слабые конкуренты, их конкурнетное преимущество над </w:t>
      </w:r>
      <w:r>
        <w:rPr>
          <w:i/>
          <w:iCs/>
        </w:rPr>
        <w:t>M.edulis</w:t>
      </w:r>
      <w: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t xml:space="preserve">. Более слабую способность </w:t>
      </w:r>
      <w:r>
        <w:rPr>
          <w:i/>
          <w:iCs/>
        </w:rPr>
        <w:t>M.trossulus</w:t>
      </w:r>
      <w:r>
        <w:t xml:space="preserve"> к конкуренции </w:t>
      </w:r>
      <w:r>
        <w:rPr>
          <w:i/>
          <w:iCs/>
        </w:rPr>
        <w:t>M.edulis</w:t>
      </w:r>
      <w: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t xml:space="preserve"> растёт быстрее, чем смертность </w:t>
      </w:r>
      <w:r>
        <w:rPr>
          <w:i/>
          <w:iCs/>
        </w:rPr>
        <w:t>M. edulis</w:t>
      </w:r>
      <w:r>
        <w:t>.</w:t>
      </w:r>
    </w:p>
    <w:p w14:paraId="3D387AA6">
      <w:pPr>
        <w:pStyle w:val="3"/>
      </w:pPr>
      <w: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t xml:space="preserve"> оказывается более значимым элементом в этой системе, чем </w:t>
      </w:r>
      <w:r>
        <w:rPr>
          <w:i/>
          <w:iCs/>
        </w:rPr>
        <w:t>A. nodosum</w:t>
      </w:r>
      <w: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t xml:space="preserve">. Мы предполагаем, что на </w:t>
      </w:r>
      <w:r>
        <w:rPr>
          <w:i/>
          <w:iCs/>
        </w:rPr>
        <w:t>A. nodosum</w:t>
      </w:r>
      <w:r>
        <w:t xml:space="preserve"> </w:t>
      </w:r>
      <w:r>
        <w:rPr>
          <w:i/>
          <w:iCs/>
        </w:rPr>
        <w:t>M.trossulus</w:t>
      </w:r>
      <w: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t xml:space="preserve"> выиграть конкурнецию.</w:t>
      </w:r>
    </w:p>
    <w:p w14:paraId="4CBC8A3E">
      <w:pPr>
        <w:pStyle w:val="3"/>
      </w:pPr>
      <w:r>
        <w:t xml:space="preserve">Иная картина наблюдается на </w:t>
      </w:r>
      <w:r>
        <w:rPr>
          <w:i/>
          <w:iCs/>
        </w:rPr>
        <w:t>F. vesiculosus</w:t>
      </w:r>
      <w:r>
        <w:t xml:space="preserve">. Известно, что водоросли этого вида выделяют какие-то метаболиты, которые снижают активность прикрепления мидий (Ершова 2024), тогда как в случае </w:t>
      </w:r>
      <w:r>
        <w:rPr>
          <w:i/>
          <w:iCs/>
        </w:rPr>
        <w:t>A. nodosum</w:t>
      </w:r>
      <w: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t xml:space="preserve"> получают преимущество так как могут сильнее прикрепляться к субстрату. Однако при очень большой прибойности </w:t>
      </w:r>
      <w:r>
        <w:rPr>
          <w:i/>
          <w:iCs/>
        </w:rPr>
        <w:t>M.edulis</w:t>
      </w:r>
      <w:r>
        <w:t xml:space="preserve"> вновь приобретает преимущества, так как обладает более толстой раковиной (Мухоротова 2011), позволяющей им выживать в условиях очень высокого волнового воздействия.</w:t>
      </w:r>
    </w:p>
    <w:bookmarkEnd w:id="16"/>
    <w:p w14:paraId="4B9C2232">
      <w:pPr>
        <w:pStyle w:val="2"/>
      </w:pPr>
      <w:bookmarkStart w:id="17" w:name="заключение"/>
      <w:r>
        <w:t>Заключение</w:t>
      </w:r>
    </w:p>
    <w:p w14:paraId="16EDB985">
      <w:pPr>
        <w:pStyle w:val="24"/>
      </w:pPr>
      <w: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t xml:space="preserve"> возрастает лишь на более открытых местах, где плотность мидий уже не столь велика и </w:t>
      </w:r>
      <w:r>
        <w:rPr>
          <w:i/>
          <w:iCs/>
        </w:rPr>
        <w:t>M.trossulus</w:t>
      </w:r>
      <w: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t>.</w:t>
      </w:r>
    </w:p>
    <w:bookmarkEnd w:id="17"/>
    <w:p w14:paraId="7CD31F5F">
      <w:pPr>
        <w:pStyle w:val="2"/>
      </w:pPr>
      <w:bookmarkStart w:id="18" w:name="благодарности"/>
      <w:r>
        <w:t>Благодарности</w:t>
      </w:r>
    </w:p>
    <w:p w14:paraId="4E8177A6">
      <w:pPr>
        <w:pStyle w:val="24"/>
      </w:pPr>
      <w: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p>
    <w:bookmarkEnd w:id="18"/>
    <w:p w14:paraId="0B7019B8">
      <w:pPr>
        <w:pStyle w:val="2"/>
      </w:pPr>
      <w:bookmarkStart w:id="19" w:name="литература"/>
      <w:r>
        <w:t>Литература</w:t>
      </w:r>
    </w:p>
    <w:p w14:paraId="4F50FF8C">
      <w:pPr>
        <w:pStyle w:val="28"/>
      </w:pPr>
      <w:bookmarkStart w:id="20" w:name="ref-beaumont2008three"/>
      <w:bookmarkStart w:id="21" w:name="refs"/>
      <w:r>
        <w:t>Beaumont AR, Hawkins MP, Doig FL, et al (2008) Three species of Mytilus and their hybrids identified in a Scottish Loch: natives, relicts and invaders? Journal of Experimental Marine Biology and Ecology 367:100–110</w:t>
      </w:r>
    </w:p>
    <w:bookmarkEnd w:id="20"/>
    <w:p w14:paraId="132F80F6">
      <w:pPr>
        <w:pStyle w:val="28"/>
      </w:pPr>
      <w:bookmarkStart w:id="22" w:name="ref-Cary1974"/>
      <w:r>
        <w:t>Cary GK (1974) The Ecological Niche: An Overview. Annual Review of Ecology and Systematics 5:121–139</w:t>
      </w:r>
    </w:p>
    <w:bookmarkEnd w:id="22"/>
    <w:p w14:paraId="6FBAA393">
      <w:pPr>
        <w:pStyle w:val="28"/>
      </w:pPr>
      <w:bookmarkStart w:id="23" w:name="ref-Connell1961"/>
      <w:r>
        <w:t xml:space="preserve">Connell JH (1961) The Influence of Interspecific Competition and Other Factors on the Distribution of the Barnacle Chthamalus Stellatus. The Journal of Ecology 49:201–207. </w:t>
      </w:r>
      <w:r>
        <w:fldChar w:fldCharType="begin"/>
      </w:r>
      <w:r>
        <w:instrText xml:space="preserve"> HYPERLINK "https://doi.org/10.2307/2257680" \h </w:instrText>
      </w:r>
      <w:r>
        <w:fldChar w:fldCharType="separate"/>
      </w:r>
      <w:r>
        <w:rPr>
          <w:rStyle w:val="17"/>
        </w:rPr>
        <w:t>https://doi.org/10.2307/2257680</w:t>
      </w:r>
      <w:r>
        <w:rPr>
          <w:rStyle w:val="17"/>
        </w:rPr>
        <w:fldChar w:fldCharType="end"/>
      </w:r>
    </w:p>
    <w:bookmarkEnd w:id="23"/>
    <w:p w14:paraId="64ACDCAE">
      <w:pPr>
        <w:pStyle w:val="28"/>
      </w:pPr>
      <w:bookmarkStart w:id="24" w:name="ref-Elith2009"/>
      <w:r>
        <w:t>Elith J, Leathwick JR (2009) Modeling Species Distribution: The Role of Environmental Predictors. Biological Conservation 142:138–153</w:t>
      </w:r>
    </w:p>
    <w:bookmarkEnd w:id="24"/>
    <w:p w14:paraId="28222C4F">
      <w:pPr>
        <w:pStyle w:val="28"/>
      </w:pPr>
      <w:bookmarkStart w:id="25" w:name="ref-grinnell1917niche"/>
      <w:r>
        <w:t>Grinnell J (1917) The niche-relationships of the California Thrasher. The Auk 34:427–433</w:t>
      </w:r>
    </w:p>
    <w:bookmarkEnd w:id="25"/>
    <w:p w14:paraId="503D4073">
      <w:pPr>
        <w:pStyle w:val="28"/>
      </w:pPr>
      <w:bookmarkStart w:id="26" w:name="ref-katolikova2016genetic"/>
      <w:r>
        <w:t>Katolikova M, Khaitov V, Väinölä R, et al (2016) Genetic, ecological and morphological distinctness of the blue mussels Mytilus trossulus Gould and M. edulis L. in the White Sea. PLoS One 11:e0152963</w:t>
      </w:r>
    </w:p>
    <w:bookmarkEnd w:id="26"/>
    <w:p w14:paraId="22278234">
      <w:pPr>
        <w:pStyle w:val="28"/>
      </w:pPr>
      <w:bookmarkStart w:id="27" w:name="ref-labarre2023influence"/>
      <w:r>
        <w:t>LaBarre A, Konar B, Iken K (2023) Influence of environmental conditions on Mytilus trossulus size frequency distributions in two glacially influenced estuaries. Estuaries and Coasts 46:1253–1268</w:t>
      </w:r>
    </w:p>
    <w:bookmarkEnd w:id="27"/>
    <w:p w14:paraId="02E7472E">
      <w:pPr>
        <w:pStyle w:val="28"/>
      </w:pPr>
      <w:bookmarkStart w:id="28" w:name="ref-waver"/>
      <w:r>
        <w:t xml:space="preserve">Marchand P, Gill D (2018) </w:t>
      </w:r>
      <w:r>
        <w:fldChar w:fldCharType="begin"/>
      </w:r>
      <w:r>
        <w:instrText xml:space="preserve"> HYPERLINK "https://CRAN.R-project.org/package=waver" \h </w:instrText>
      </w:r>
      <w:r>
        <w:fldChar w:fldCharType="separate"/>
      </w:r>
      <w:r>
        <w:rPr>
          <w:rStyle w:val="17"/>
        </w:rPr>
        <w:t>waver: Calculate Fetch and Wave Energy</w:t>
      </w:r>
      <w:r>
        <w:rPr>
          <w:rStyle w:val="17"/>
        </w:rPr>
        <w:fldChar w:fldCharType="end"/>
      </w:r>
    </w:p>
    <w:bookmarkEnd w:id="28"/>
    <w:p w14:paraId="3D17FEC3">
      <w:pPr>
        <w:pStyle w:val="28"/>
      </w:pPr>
      <w:bookmarkStart w:id="29" w:name="ref-R"/>
      <w:r>
        <w:t xml:space="preserve">R Core Team (2023) </w:t>
      </w:r>
      <w:r>
        <w:fldChar w:fldCharType="begin"/>
      </w:r>
      <w:r>
        <w:instrText xml:space="preserve"> HYPERLINK "https://www.R-project.org/" \h </w:instrText>
      </w:r>
      <w:r>
        <w:fldChar w:fldCharType="separate"/>
      </w:r>
      <w:r>
        <w:rPr>
          <w:rStyle w:val="17"/>
        </w:rPr>
        <w:t>R: A Language and Environment for Statistical Computing</w:t>
      </w:r>
      <w:r>
        <w:rPr>
          <w:rStyle w:val="17"/>
        </w:rPr>
        <w:fldChar w:fldCharType="end"/>
      </w:r>
      <w:r>
        <w:t>. R Foundation for Statistical Computing, Vienna, Austria</w:t>
      </w:r>
    </w:p>
    <w:bookmarkEnd w:id="29"/>
    <w:p w14:paraId="570F9730">
      <w:pPr>
        <w:pStyle w:val="28"/>
      </w:pPr>
      <w:bookmarkStart w:id="30" w:name="ref-riginos2005invited"/>
      <w:r>
        <w:t>Riginos C, Cunningham CW (2005) Invited review: local adaptation and species segregation in two mussel (Mytilus edulis</w:t>
      </w:r>
      <m:oMath>
        <m:r>
          <m:rPr>
            <m:sty m:val="p"/>
          </m:rPr>
          <m:t>×</m:t>
        </m:r>
      </m:oMath>
      <w:r>
        <w:t xml:space="preserve"> Mytilus trossulus) hybrid zones. Molecular ecology 14:381–400</w:t>
      </w:r>
    </w:p>
    <w:bookmarkEnd w:id="30"/>
    <w:p w14:paraId="34663E37">
      <w:pPr>
        <w:pStyle w:val="28"/>
      </w:pPr>
      <w:bookmarkStart w:id="31" w:name="ref-gratia"/>
      <w:r>
        <w:t xml:space="preserve">Simpson GL (2024) </w:t>
      </w:r>
      <w:r>
        <w:fldChar w:fldCharType="begin"/>
      </w:r>
      <w:r>
        <w:instrText xml:space="preserve"> HYPERLINK "https://gavinsimpson.github.io/gratia/" \h </w:instrText>
      </w:r>
      <w:r>
        <w:fldChar w:fldCharType="separate"/>
      </w:r>
      <w:r>
        <w:rPr>
          <w:rStyle w:val="17"/>
        </w:rPr>
        <w:t>gratia: Graceful ggplot-based graphics and other functions for GAMs fitted using mgcv</w:t>
      </w:r>
      <w:r>
        <w:rPr>
          <w:rStyle w:val="17"/>
        </w:rPr>
        <w:fldChar w:fldCharType="end"/>
      </w:r>
    </w:p>
    <w:bookmarkEnd w:id="31"/>
    <w:p w14:paraId="0BE4EDDE">
      <w:pPr>
        <w:pStyle w:val="28"/>
      </w:pPr>
      <w:bookmarkStart w:id="32" w:name="ref-vainola2011mytilus"/>
      <w:r>
        <w:t>Väinölä R, Strelkov P (2011) Mytilus trossulus in northern Europe. Marine biology 158:817–833</w:t>
      </w:r>
    </w:p>
    <w:bookmarkEnd w:id="32"/>
    <w:p w14:paraId="63FB8AD1">
      <w:pPr>
        <w:pStyle w:val="28"/>
      </w:pPr>
      <w:bookmarkStart w:id="33" w:name="ref-wood2017generalized"/>
      <w:r>
        <w:t>Wood SN (2017) Generalized additive models: an introduction with R. chapman; hall/CRC</w:t>
      </w:r>
    </w:p>
    <w:bookmarkEnd w:id="33"/>
    <w:p w14:paraId="0EB3B714">
      <w:pPr>
        <w:pStyle w:val="28"/>
      </w:pPr>
      <w:bookmarkStart w:id="34" w:name="ref-evseeva2023"/>
      <w:r>
        <w:t>Евсеева Н (2023) Характеристика ценопопуляций фукусовых водорослей у о. Попов Белого моря. Труды ВНИРО 192:26–38</w:t>
      </w:r>
    </w:p>
    <w:bookmarkEnd w:id="34"/>
    <w:p w14:paraId="364FA393">
      <w:pPr>
        <w:pStyle w:val="28"/>
      </w:pPr>
      <w:bookmarkStart w:id="35" w:name="ref-ershova2024"/>
      <w:r>
        <w:t>Ершова Т (2024) Влияние Fucus vesiculosus и Ascophyllum nodosum на прикрепление Mytilus edulis и Mytilus trossulus</w:t>
      </w:r>
    </w:p>
    <w:bookmarkEnd w:id="35"/>
    <w:p w14:paraId="5A4F8B46">
      <w:pPr>
        <w:pStyle w:val="28"/>
      </w:pPr>
      <w:bookmarkStart w:id="36" w:name="ref-zaichikova2011"/>
      <w:r>
        <w:t>Зайчикова А (2011) Различие Mytilus edulis и Mytilus trossulus по морфологическим признакам</w:t>
      </w:r>
    </w:p>
    <w:bookmarkEnd w:id="36"/>
    <w:p w14:paraId="6DFFB95F">
      <w:pPr>
        <w:pStyle w:val="28"/>
      </w:pPr>
      <w:bookmarkStart w:id="48" w:name="_GoBack"/>
      <w:bookmarkStart w:id="37" w:name="ref-strelkov2010"/>
      <w:r>
        <w:t>Католикова М, Стрелков П, Хайтов В, et al (2010a) Тихоокеанская мидия Mytilus trossulus в Белом море: распространение, экологические и генетические взаимоотношения с Mytilus edulis. ИЗУЧЕНИЯ, РАЦИОНАЛЬНОГО ИСПОЛЬЗОВАНИЯ И ОХРАНЫ ПРИРОДНЫХ РЕСУРСОВ БЕЛОГО МОРЯ 72:</w:t>
      </w:r>
      <w:bookmarkEnd w:id="48"/>
    </w:p>
    <w:bookmarkEnd w:id="37"/>
    <w:p w14:paraId="26D34BAE">
      <w:pPr>
        <w:pStyle w:val="28"/>
      </w:pPr>
      <w:bookmarkStart w:id="38" w:name="ref-katolikova2010"/>
      <w:r>
        <w:t>Католикова М, Стрелков П, Хайтов В, et al (2010b) Тихоокеанская мидия Mytilus trossulus в Белом море: распространение, экологические и генетические взаимоотношения с Mytilus edulis. ИЗУЧЕНИЯ, РАЦИОНАЛЬНОГО ИСПОЛЬЗОВАНИЯ И ОХРАНЫ ПРИРОДНЫХ РЕСУРСОВ БЕЛОГО МОРЯ 72:</w:t>
      </w:r>
    </w:p>
    <w:bookmarkEnd w:id="38"/>
    <w:p w14:paraId="3CE1DD47">
      <w:pPr>
        <w:pStyle w:val="28"/>
      </w:pPr>
      <w:bookmarkStart w:id="39" w:name="ref-kruglova2017"/>
      <w:r>
        <w:t>Круглова А (2017) Стравнительная характеристика прикрепления Mytilus edulis и Mytilus trossulus к Ascophyllum nodosum</w:t>
      </w:r>
    </w:p>
    <w:bookmarkEnd w:id="39"/>
    <w:p w14:paraId="54A98135">
      <w:pPr>
        <w:pStyle w:val="28"/>
      </w:pPr>
      <w:bookmarkStart w:id="40" w:name="ref-myxoroyova2011"/>
      <w:r>
        <w:t>Мухоротова А (2011) Морфологические различия Mytilus edulis и M.trossгlus по толщине раковины</w:t>
      </w:r>
    </w:p>
    <w:bookmarkEnd w:id="40"/>
    <w:p w14:paraId="5D2DDFD8">
      <w:pPr>
        <w:pStyle w:val="28"/>
      </w:pPr>
      <w:bookmarkStart w:id="41" w:name="ref-naumov2006"/>
      <w:r>
        <w:t>Наумов АД (2006) Двустворчатые моллюски Белого моря. Опыт эколого-фаунистического анализа</w:t>
      </w:r>
    </w:p>
    <w:bookmarkEnd w:id="41"/>
    <w:p w14:paraId="70E23908">
      <w:pPr>
        <w:pStyle w:val="28"/>
      </w:pPr>
      <w:bookmarkStart w:id="42" w:name="ref-safonov2014"/>
      <w:r>
        <w:t>Сафонов П (2014) Факторы, регулирующие распределение моллюсков рода Mytilus в вершине Кандалакшского залива Белого моря</w:t>
      </w:r>
    </w:p>
    <w:bookmarkEnd w:id="42"/>
    <w:p w14:paraId="57806136">
      <w:pPr>
        <w:pStyle w:val="28"/>
      </w:pPr>
      <w:bookmarkStart w:id="43" w:name="ref-fokina2013"/>
      <w:r>
        <w:t>Фокина Н, Нефедова З, Немова Н, et al (2013) Влияние различной солености на липидный состав беломорских мидий Mytilus edulis. Труды Зоологического института РАН 317:55–62</w:t>
      </w:r>
    </w:p>
    <w:bookmarkEnd w:id="43"/>
    <w:p w14:paraId="2C3ADD2E">
      <w:pPr>
        <w:pStyle w:val="28"/>
      </w:pPr>
      <w:bookmarkStart w:id="44" w:name="ref-fokina2010"/>
      <w:r>
        <w:t>Фокина НН, Нефедова ЗА, Немова НН (2010) Липидный состав мидий Mytilus edulis L. Белого моря. Влияние некоторых факторов среды обитания</w:t>
      </w:r>
    </w:p>
    <w:bookmarkEnd w:id="44"/>
    <w:p w14:paraId="22C8ACED">
      <w:pPr>
        <w:pStyle w:val="28"/>
      </w:pPr>
      <w:bookmarkStart w:id="45" w:name="ref-xaitov1999"/>
      <w:r>
        <w:t>Хайтов ВМ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w:t>
      </w:r>
    </w:p>
    <w:bookmarkEnd w:id="45"/>
    <w:p w14:paraId="52A83DC6">
      <w:pPr>
        <w:pStyle w:val="28"/>
      </w:pPr>
      <w:bookmarkStart w:id="46" w:name="ref-modelirovanienishi"/>
      <w:r>
        <w:t>Халиль В, Сидоренко Е (2014) Моделирование экологической ниши на основе трехмерной модели Хатчинсона. Восточно-Европейский журнал передовых технологий 3:18–24</w:t>
      </w:r>
    </w:p>
    <w:bookmarkEnd w:id="46"/>
    <w:p w14:paraId="6484B3B9">
      <w:pPr>
        <w:pStyle w:val="28"/>
      </w:pPr>
      <w:bookmarkStart w:id="47" w:name="ref-sheloncev2023"/>
      <w:r>
        <w:t>Шилонцев А (2023) Исследование конкурентных отношений беломорских мидий Mytilus edulis и M.trossгlus</w:t>
      </w:r>
    </w:p>
    <w:bookmarkEnd w:id="19"/>
    <w:bookmarkEnd w:id="21"/>
    <w:bookmarkEnd w:id="47"/>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B"/>
    <w:rsid w:val="001704AA"/>
    <w:rsid w:val="002349FE"/>
    <w:rsid w:val="00301E6B"/>
    <w:rsid w:val="003A2761"/>
    <w:rsid w:val="004C4EF7"/>
    <w:rsid w:val="00584126"/>
    <w:rsid w:val="007B1750"/>
    <w:rsid w:val="00813075"/>
    <w:rsid w:val="00984031"/>
    <w:rsid w:val="00B203B9"/>
    <w:rsid w:val="00B72B85"/>
    <w:rsid w:val="00D212B6"/>
    <w:rsid w:val="00D52295"/>
    <w:rsid w:val="00EB1193"/>
    <w:rsid w:val="00F126BA"/>
    <w:rsid w:val="00FF79E5"/>
    <w:rsid w:val="5F5725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ascii="Times New Roman" w:hAnsi="Times New Roman" w:eastAsiaTheme="majorEastAsia" w:cstheme="majorBidi"/>
      <w:b/>
      <w:bCs/>
      <w:sz w:val="28"/>
      <w:szCs w:val="32"/>
    </w:rPr>
  </w:style>
  <w:style w:type="paragraph" w:styleId="4">
    <w:name w:val="heading 2"/>
    <w:basedOn w:val="1"/>
    <w:next w:val="3"/>
    <w:unhideWhenUsed/>
    <w:qFormat/>
    <w:uiPriority w:val="9"/>
    <w:pPr>
      <w:keepNext/>
      <w:keepLines/>
      <w:spacing w:before="200" w:after="0" w:line="360" w:lineRule="auto"/>
      <w:ind w:firstLine="851"/>
      <w:outlineLvl w:val="1"/>
    </w:pPr>
    <w:rPr>
      <w:rFonts w:ascii="Times New Roman" w:hAnsi="Times New Roman" w:eastAsiaTheme="majorEastAsia" w:cstheme="majorBidi"/>
      <w:bCs/>
      <w:i/>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Theme="majorEastAsia" w:cstheme="majorBidi"/>
      <w:color w:val="000000" w:themeColor="text1"/>
      <w:sz w:val="20"/>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70"/>
    <w:qFormat/>
    <w:uiPriority w:val="0"/>
    <w:pPr>
      <w:spacing w:before="180" w:after="180" w:line="360" w:lineRule="auto"/>
      <w:ind w:firstLine="851"/>
      <w:jc w:val="both"/>
    </w:pPr>
    <w:rPr>
      <w:rFonts w:ascii="Times New Roman" w:hAnsi="Times New Roman"/>
    </w:rPr>
  </w:style>
  <w:style w:type="character" w:styleId="14">
    <w:name w:val="footnote reference"/>
    <w:basedOn w:val="15"/>
    <w:qFormat/>
    <w:uiPriority w:val="0"/>
    <w:rPr>
      <w:vertAlign w:val="superscript"/>
    </w:rPr>
  </w:style>
  <w:style w:type="character" w:customStyle="1" w:styleId="15">
    <w:name w:val="Название объекта Знак"/>
    <w:basedOn w:val="12"/>
    <w:link w:val="16"/>
    <w:qFormat/>
    <w:uiPriority w:val="0"/>
  </w:style>
  <w:style w:type="paragraph" w:styleId="16">
    <w:name w:val="caption"/>
    <w:basedOn w:val="1"/>
    <w:link w:val="15"/>
    <w:qFormat/>
    <w:uiPriority w:val="0"/>
    <w:pPr>
      <w:spacing w:after="120"/>
    </w:pPr>
    <w:rPr>
      <w:i/>
    </w:rPr>
  </w:style>
  <w:style w:type="character" w:styleId="17">
    <w:name w:val="Hyperlink"/>
    <w:basedOn w:val="15"/>
    <w:qFormat/>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imes New Roman" w:hAnsi="Times New Roman" w:eastAsiaTheme="majorEastAsia" w:cstheme="majorBidi"/>
      <w:b/>
      <w:bCs/>
      <w:sz w:val="28"/>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Image Caption"/>
    <w:basedOn w:val="16"/>
    <w:qFormat/>
    <w:uiPriority w:val="0"/>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ind w:firstLine="0"/>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6"/>
    <w:qFormat/>
    <w:uiPriority w:val="0"/>
    <w:pPr>
      <w:keepNext/>
    </w:pPr>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5"/>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5"/>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qFormat/>
    <w:uiPriority w:val="0"/>
    <w:rPr>
      <w:rFonts w:ascii="Consolas" w:hAnsi="Consolas"/>
      <w:b/>
      <w:color w:val="204A87"/>
      <w:sz w:val="22"/>
      <w:shd w:val="clear" w:color="auto" w:fill="F8F8F8"/>
    </w:rPr>
  </w:style>
  <w:style w:type="character" w:customStyle="1" w:styleId="40">
    <w:name w:val="DataTypeTok"/>
    <w:basedOn w:val="35"/>
    <w:qFormat/>
    <w:uiPriority w:val="0"/>
    <w:rPr>
      <w:rFonts w:ascii="Consolas" w:hAnsi="Consolas"/>
      <w:color w:val="204A87"/>
      <w:sz w:val="22"/>
      <w:shd w:val="clear" w:color="auto" w:fill="F8F8F8"/>
    </w:rPr>
  </w:style>
  <w:style w:type="character" w:customStyle="1" w:styleId="41">
    <w:name w:val="DecValTok"/>
    <w:basedOn w:val="35"/>
    <w:qFormat/>
    <w:uiPriority w:val="0"/>
    <w:rPr>
      <w:rFonts w:ascii="Consolas" w:hAnsi="Consolas"/>
      <w:color w:val="0000CF"/>
      <w:sz w:val="22"/>
      <w:shd w:val="clear" w:color="auto" w:fill="F8F8F8"/>
    </w:rPr>
  </w:style>
  <w:style w:type="character" w:customStyle="1" w:styleId="42">
    <w:name w:val="BaseNTok"/>
    <w:basedOn w:val="35"/>
    <w:qFormat/>
    <w:uiPriority w:val="0"/>
    <w:rPr>
      <w:rFonts w:ascii="Consolas" w:hAnsi="Consolas"/>
      <w:color w:val="0000CF"/>
      <w:sz w:val="22"/>
      <w:shd w:val="clear" w:color="auto" w:fill="F8F8F8"/>
    </w:rPr>
  </w:style>
  <w:style w:type="character" w:customStyle="1" w:styleId="43">
    <w:name w:val="FloatTok"/>
    <w:basedOn w:val="35"/>
    <w:qFormat/>
    <w:uiPriority w:val="0"/>
    <w:rPr>
      <w:rFonts w:ascii="Consolas" w:hAnsi="Consolas"/>
      <w:color w:val="0000CF"/>
      <w:sz w:val="22"/>
      <w:shd w:val="clear" w:color="auto" w:fill="F8F8F8"/>
    </w:rPr>
  </w:style>
  <w:style w:type="character" w:customStyle="1" w:styleId="44">
    <w:name w:val="ConstantTok"/>
    <w:basedOn w:val="35"/>
    <w:qFormat/>
    <w:uiPriority w:val="0"/>
    <w:rPr>
      <w:rFonts w:ascii="Consolas" w:hAnsi="Consolas"/>
      <w:color w:val="000000"/>
      <w:sz w:val="22"/>
      <w:shd w:val="clear" w:color="auto" w:fill="F8F8F8"/>
    </w:rPr>
  </w:style>
  <w:style w:type="character" w:customStyle="1" w:styleId="45">
    <w:name w:val="CharTok"/>
    <w:basedOn w:val="35"/>
    <w:qFormat/>
    <w:uiPriority w:val="0"/>
    <w:rPr>
      <w:rFonts w:ascii="Consolas" w:hAnsi="Consolas"/>
      <w:color w:val="4E9A06"/>
      <w:sz w:val="22"/>
      <w:shd w:val="clear" w:color="auto" w:fill="F8F8F8"/>
    </w:rPr>
  </w:style>
  <w:style w:type="character" w:customStyle="1" w:styleId="46">
    <w:name w:val="SpecialCharTok"/>
    <w:basedOn w:val="35"/>
    <w:qFormat/>
    <w:uiPriority w:val="0"/>
    <w:rPr>
      <w:rFonts w:ascii="Consolas" w:hAnsi="Consolas"/>
      <w:color w:val="000000"/>
      <w:sz w:val="22"/>
      <w:shd w:val="clear" w:color="auto" w:fill="F8F8F8"/>
    </w:rPr>
  </w:style>
  <w:style w:type="character" w:customStyle="1" w:styleId="47">
    <w:name w:val="StringTok"/>
    <w:basedOn w:val="35"/>
    <w:qFormat/>
    <w:uiPriority w:val="0"/>
    <w:rPr>
      <w:rFonts w:ascii="Consolas" w:hAnsi="Consolas"/>
      <w:color w:val="4E9A06"/>
      <w:sz w:val="22"/>
      <w:shd w:val="clear" w:color="auto" w:fill="F8F8F8"/>
    </w:rPr>
  </w:style>
  <w:style w:type="character" w:customStyle="1" w:styleId="48">
    <w:name w:val="VerbatimStringTok"/>
    <w:basedOn w:val="35"/>
    <w:qFormat/>
    <w:uiPriority w:val="0"/>
    <w:rPr>
      <w:rFonts w:ascii="Consolas" w:hAnsi="Consolas"/>
      <w:color w:val="4E9A06"/>
      <w:sz w:val="22"/>
      <w:shd w:val="clear" w:color="auto" w:fill="F8F8F8"/>
    </w:rPr>
  </w:style>
  <w:style w:type="character" w:customStyle="1" w:styleId="49">
    <w:name w:val="SpecialStringTok"/>
    <w:basedOn w:val="35"/>
    <w:qFormat/>
    <w:uiPriority w:val="0"/>
    <w:rPr>
      <w:rFonts w:ascii="Consolas" w:hAnsi="Consolas"/>
      <w:color w:val="4E9A06"/>
      <w:sz w:val="22"/>
      <w:shd w:val="clear" w:color="auto" w:fill="F8F8F8"/>
    </w:rPr>
  </w:style>
  <w:style w:type="character" w:customStyle="1" w:styleId="50">
    <w:name w:val="ImportTok"/>
    <w:basedOn w:val="35"/>
    <w:qFormat/>
    <w:uiPriority w:val="0"/>
    <w:rPr>
      <w:rFonts w:ascii="Consolas" w:hAnsi="Consolas"/>
      <w:sz w:val="22"/>
      <w:shd w:val="clear" w:color="auto" w:fill="F8F8F8"/>
    </w:rPr>
  </w:style>
  <w:style w:type="character" w:customStyle="1" w:styleId="51">
    <w:name w:val="CommentTok"/>
    <w:basedOn w:val="35"/>
    <w:qFormat/>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qFormat/>
    <w:uiPriority w:val="0"/>
    <w:rPr>
      <w:rFonts w:ascii="Consolas" w:hAnsi="Consolas"/>
      <w:b/>
      <w:i/>
      <w:color w:val="8F5902"/>
      <w:sz w:val="22"/>
      <w:shd w:val="clear" w:color="auto" w:fill="F8F8F8"/>
    </w:rPr>
  </w:style>
  <w:style w:type="character" w:customStyle="1" w:styleId="54">
    <w:name w:val="CommentVarTok"/>
    <w:basedOn w:val="35"/>
    <w:qFormat/>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qFormat/>
    <w:uiPriority w:val="0"/>
    <w:rPr>
      <w:rFonts w:ascii="Consolas" w:hAnsi="Consolas"/>
      <w:color w:val="000000"/>
      <w:sz w:val="22"/>
      <w:shd w:val="clear" w:color="auto" w:fill="F8F8F8"/>
    </w:rPr>
  </w:style>
  <w:style w:type="character" w:customStyle="1" w:styleId="57">
    <w:name w:val="VariableTok"/>
    <w:basedOn w:val="35"/>
    <w:qFormat/>
    <w:uiPriority w:val="0"/>
    <w:rPr>
      <w:rFonts w:ascii="Consolas" w:hAnsi="Consolas"/>
      <w:color w:val="000000"/>
      <w:sz w:val="22"/>
      <w:shd w:val="clear" w:color="auto" w:fill="F8F8F8"/>
    </w:rPr>
  </w:style>
  <w:style w:type="character" w:customStyle="1" w:styleId="58">
    <w:name w:val="ControlFlowTok"/>
    <w:basedOn w:val="35"/>
    <w:qFormat/>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qFormat/>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qFormat/>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qFormat/>
    <w:uiPriority w:val="0"/>
    <w:rPr>
      <w:rFonts w:ascii="Consolas" w:hAnsi="Consolas"/>
      <w:b/>
      <w:i/>
      <w:color w:val="8F5902"/>
      <w:sz w:val="22"/>
      <w:shd w:val="clear" w:color="auto" w:fill="F8F8F8"/>
    </w:rPr>
  </w:style>
  <w:style w:type="character" w:customStyle="1" w:styleId="66">
    <w:name w:val="WarningTok"/>
    <w:basedOn w:val="35"/>
    <w:qFormat/>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qFormat/>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 w:type="character" w:customStyle="1" w:styleId="70">
    <w:name w:val="Основной текст Знак"/>
    <w:basedOn w:val="12"/>
    <w:link w:val="3"/>
    <w:qFormat/>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14</Pages>
  <Words>432</Words>
  <Characters>2464</Characters>
  <Lines>20</Lines>
  <Paragraphs>5</Paragraphs>
  <TotalTime>11</TotalTime>
  <ScaleCrop>false</ScaleCrop>
  <LinksUpToDate>false</LinksUpToDate>
  <CharactersWithSpaces>2891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2025-01-18T15:36:00Z</dcterms:created>
  <dc:creator>google1599737165</dc:creator>
  <cp:lastModifiedBy>google1599737165</cp:lastModifiedBy>
  <dcterms:modified xsi:type="dcterms:W3CDTF">2025-01-18T15:40:03Z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csl">
    <vt:lpwstr>marine-biology.csl</vt:lpwstr>
  </property>
  <property fmtid="{D5CDD505-2E9C-101B-9397-08002B2CF9AE}" pid="4" name="output">
    <vt:lpwstr/>
  </property>
  <property fmtid="{D5CDD505-2E9C-101B-9397-08002B2CF9AE}" pid="5" name="KSOProductBuildVer">
    <vt:lpwstr>1049-12.2.0.19805</vt:lpwstr>
  </property>
  <property fmtid="{D5CDD505-2E9C-101B-9397-08002B2CF9AE}" pid="6" name="ICV">
    <vt:lpwstr>C504E74F26CA446298031A0699C4864D_12</vt:lpwstr>
  </property>
</Properties>
</file>