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87FDF">
      <w:pPr>
        <w:spacing w:after="100"/>
      </w:pPr>
      <w:r>
        <w:t>ВВЕДЕНИЕ</w:t>
      </w:r>
    </w:p>
    <w:p w14:paraId="03914104">
      <w:pPr>
        <w:spacing w:after="100"/>
      </w:pPr>
      <w:r>
        <w:t xml:space="preserve">Естественные поселения беломорских мидий </w:t>
      </w:r>
      <w:r>
        <w:rPr>
          <w:i/>
          <w:iCs/>
        </w:rPr>
        <w:t>Mytilus edulis</w:t>
      </w:r>
      <w:r>
        <w:t xml:space="preserve"> и </w:t>
      </w:r>
      <w:r>
        <w:rPr>
          <w:i/>
          <w:iCs/>
        </w:rPr>
        <w:t>Mytilus trossulus</w:t>
      </w:r>
      <w:r>
        <w:t xml:space="preserve"> подвергаются атакам морских звезд </w:t>
      </w:r>
      <w:r>
        <w:rPr>
          <w:i/>
          <w:iCs/>
        </w:rPr>
        <w:t>Asterias rubens</w:t>
      </w:r>
      <w:r>
        <w:t xml:space="preserve">. Выбор жертвы морскими звездами в смешанном поселении двух видов мидий может зависеть от разных стратегий формирования защитных механизмов жертв. Одним из таких механизмов у моллюсков является создание агрегаций. Известно, что два вида мидий заметно отличаются в своих стратегиях их формирования: </w:t>
      </w:r>
      <w:r>
        <w:rPr>
          <w:i/>
          <w:iCs/>
        </w:rPr>
        <w:t>M.trossulus</w:t>
      </w:r>
      <w:r>
        <w:t xml:space="preserve"> предпочитает покрепче прикрепиться к донному субстрату, а </w:t>
      </w:r>
      <w:r>
        <w:rPr>
          <w:i/>
          <w:iCs/>
        </w:rPr>
        <w:t>M.edulis</w:t>
      </w:r>
      <w:r>
        <w:t xml:space="preserve"> имеет тенденцию к агрегированию в многослойные поселения, в которых моллюски крепятся друг к другу. В следствие этих различий мы предположили, что сосуществование двух конкурирующих видов мидий в смешанных поселениях препятствует проявлению в полной мере внутривидовой кооперации, поселения получаются более «пористыми», что облегчает морским звездам доступ к моллюску. </w:t>
      </w:r>
    </w:p>
    <w:p w14:paraId="2D0CF5F4">
      <w:pPr>
        <w:spacing w:after="100"/>
      </w:pPr>
      <w:r>
        <w:t xml:space="preserve">Мы выдвинули две гипотезы: </w:t>
      </w:r>
    </w:p>
    <w:p w14:paraId="5C764067">
      <w:pPr>
        <w:pStyle w:val="8"/>
        <w:numPr>
          <w:ilvl w:val="0"/>
          <w:numId w:val="1"/>
        </w:numPr>
        <w:spacing w:after="100"/>
      </w:pPr>
      <w:r>
        <w:t>обилие морских звезд на смешанных поселениях должно быть максимально высоким</w:t>
      </w:r>
    </w:p>
    <w:p w14:paraId="528034D2">
      <w:pPr>
        <w:pStyle w:val="8"/>
        <w:numPr>
          <w:ilvl w:val="0"/>
          <w:numId w:val="1"/>
        </w:numPr>
        <w:spacing w:after="100"/>
      </w:pPr>
      <w:r>
        <w:t>гибель жертв в смешанных поселениях должна быть более интенсивной по сравнению с одновидовыми поселениями мидий.</w:t>
      </w:r>
    </w:p>
    <w:p w14:paraId="1E8FB97E">
      <w:pPr>
        <w:spacing w:after="100"/>
      </w:pPr>
      <w:r>
        <w:t xml:space="preserve">ИДЕНТИФИКАЦИЯ </w:t>
      </w:r>
    </w:p>
    <w:p w14:paraId="74F1B255">
      <w:pPr>
        <w:spacing w:after="100"/>
      </w:pPr>
      <w:r>
        <w:t xml:space="preserve">Для надежного определения вида моллюска необходимо проведение генотипирования, однако генетически определенный вид коррелирует с так называемым морфотипом мидии. Беломорские </w:t>
      </w:r>
      <w:r>
        <w:rPr>
          <w:i/>
          <w:iCs/>
        </w:rPr>
        <w:t>M.edulis</w:t>
      </w:r>
      <w:r>
        <w:t xml:space="preserve"> и </w:t>
      </w:r>
      <w:r>
        <w:rPr>
          <w:i/>
          <w:iCs/>
        </w:rPr>
        <w:t>M.trossulus</w:t>
      </w:r>
      <w:r>
        <w:t xml:space="preserve"> различаются по следующему конхологическому признаку: наличием или отсутствием непрерывной полосы призматического слоя под нимфой лигамента на внутренней стороне раковины. T-морфотип, имеет описанную полоску и с высокой вероятностью соответствует </w:t>
      </w:r>
      <w:r>
        <w:rPr>
          <w:i/>
          <w:iCs/>
        </w:rPr>
        <w:t>M.trossulus</w:t>
      </w:r>
      <w:r>
        <w:t xml:space="preserve">. E-морфотип, характеризуется отсутствием полоски призматического слоя и с высокой вероятностью соответствует </w:t>
      </w:r>
      <w:r>
        <w:rPr>
          <w:i/>
          <w:iCs/>
        </w:rPr>
        <w:t>M.edulis</w:t>
      </w:r>
      <w:r>
        <w:t>.</w:t>
      </w:r>
    </w:p>
    <w:p w14:paraId="50ADA1D3">
      <w:pPr>
        <w:spacing w:after="100"/>
      </w:pPr>
      <w:r>
        <w:t>МАТЕРИАЛЫ И МЕТОДИКА</w:t>
      </w:r>
    </w:p>
    <w:p w14:paraId="5FB39FBD">
      <w:pPr>
        <w:pStyle w:val="4"/>
        <w:spacing w:after="100" w:line="240" w:lineRule="auto"/>
      </w:pPr>
      <w:r>
        <w:t>Материал для проведения эксперимента был собран в августе 2024 года на территории вершины Кандалакшского залива Белого моря: Мидии T-морфотипа в Северной губе острова Ряжков, мидии E-морфотипа - на банке острова Большой Ломнишный. Отбирались мидии размером 15-30 мм. Было подготовлено 33 садка из керамической плитки. Мы высадили в каждый садок по 80 моллюсков в разных видовых соотношениях (Чистые поселения Т-морфотипа, чистые поселения Е-морфотипа и смешанные поселения). Перед началом эксперимента садки были закреплены в литоральной луже о. Ряжков и оставлены там на 3 дня для закрепления моллюсков на пластине. Эксперимент был поставлен в верхней сублиторали на глубине около 2 м в случайном порядке. Экспериментальные установки экспонировались в течение 3 дней. После садки были подняты вместе с наползшими на них морскими звездами.</w:t>
      </w:r>
    </w:p>
    <w:p w14:paraId="70B3107E">
      <w:pPr>
        <w:pStyle w:val="4"/>
        <w:spacing w:after="100" w:line="240" w:lineRule="auto"/>
      </w:pPr>
    </w:p>
    <w:p w14:paraId="6CE4007C">
      <w:pPr>
        <w:pStyle w:val="4"/>
        <w:spacing w:after="100" w:line="240" w:lineRule="auto"/>
      </w:pPr>
    </w:p>
    <w:p w14:paraId="5F099F53">
      <w:pPr>
        <w:pStyle w:val="4"/>
        <w:spacing w:after="100" w:line="240" w:lineRule="auto"/>
      </w:pPr>
      <w:r>
        <w:t>РЕЗУЛЬТАТЫ</w:t>
      </w:r>
    </w:p>
    <w:p w14:paraId="12CB6EDF">
      <w:pPr>
        <w:pStyle w:val="4"/>
        <w:spacing w:after="100" w:line="240" w:lineRule="auto"/>
      </w:pPr>
      <w:r>
        <w:t xml:space="preserve">Наибольшая биомасса звезд приходиться на садки со смешанными поселениями (Рис. ++). Это означает ++++ </w:t>
      </w:r>
    </w:p>
    <w:p w14:paraId="1F9C1F07">
      <w:pPr>
        <w:pStyle w:val="4"/>
        <w:spacing w:after="100" w:line="240" w:lineRule="auto"/>
      </w:pPr>
      <w:r>
        <w:rPr>
          <w:lang w:eastAsia="ru-RU"/>
        </w:rPr>
        <w:drawing>
          <wp:inline distT="0" distB="0" distL="114300" distR="114300">
            <wp:extent cx="4619625" cy="3695700"/>
            <wp:effectExtent l="0" t="0" r="0" b="0"/>
            <wp:docPr id="48" name="Picture" descr="Рисунок 4. Боксплоты, отражающие биомассу морских звезд в садках трех типов: Садки с преобладанием Е-морфотипа (80Е), с преобладанием Т-морфотипа (80Т) и садки смешанного типа (40Е и 40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Рисунок 4. Боксплоты, отражающие биомассу морских звезд в садках трех типов: Садки с преобладанием Е-морфотипа (80Е), с преобладанием Т-морфотипа (80Т) и садки смешанного типа (40Е и 40Т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3C01CA">
      <w:pPr>
        <w:pStyle w:val="4"/>
        <w:spacing w:after="100" w:line="240" w:lineRule="auto"/>
      </w:pPr>
    </w:p>
    <w:p w14:paraId="7FFA8C85">
      <w:pPr>
        <w:pStyle w:val="4"/>
        <w:spacing w:after="100" w:line="240" w:lineRule="auto"/>
      </w:pPr>
    </w:p>
    <w:p w14:paraId="1557ACF9">
      <w:pPr>
        <w:pStyle w:val="4"/>
        <w:spacing w:after="100" w:line="240" w:lineRule="auto"/>
      </w:pPr>
    </w:p>
    <w:p w14:paraId="494E53DD">
      <w:pPr>
        <w:pStyle w:val="4"/>
        <w:spacing w:after="100" w:line="240" w:lineRule="auto"/>
      </w:pPr>
      <w:r>
        <w:t>Доля мертвых моллюсков, обнаруженных в садках после окончания эксперимента находилась в явной положительной зависимости от биомассы звезд (Рис. ++).</w:t>
      </w:r>
    </w:p>
    <w:p w14:paraId="6483F240">
      <w:pPr>
        <w:pStyle w:val="4"/>
        <w:spacing w:after="100" w:line="240" w:lineRule="auto"/>
      </w:pPr>
      <w:r>
        <w:rPr>
          <w:lang w:eastAsia="ru-RU"/>
        </w:rPr>
        <w:drawing>
          <wp:inline distT="0" distB="0" distL="114300" distR="114300">
            <wp:extent cx="4619625" cy="3695700"/>
            <wp:effectExtent l="0" t="0" r="0" b="0"/>
            <wp:docPr id="51" name="Picture" descr="Рисунок 5. Зависимость между долей съеденных моллюсков (Prop_T) и биомассой морских звезд (B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Рисунок 5. Зависимость между долей съеденных моллюсков (Prop_T) и биомассой морских звезд (B)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1793A8">
      <w:pPr>
        <w:pStyle w:val="4"/>
        <w:spacing w:after="100" w:line="240" w:lineRule="auto"/>
      </w:pPr>
    </w:p>
    <w:p w14:paraId="6E3C8075">
      <w:pPr>
        <w:pStyle w:val="4"/>
        <w:spacing w:after="100" w:line="240" w:lineRule="auto"/>
      </w:pPr>
    </w:p>
    <w:p w14:paraId="10560868">
      <w:pPr>
        <w:pStyle w:val="4"/>
        <w:spacing w:after="100" w:line="240" w:lineRule="auto"/>
      </w:pPr>
    </w:p>
    <w:p w14:paraId="41C3C7E0">
      <w:pPr>
        <w:pStyle w:val="4"/>
        <w:spacing w:after="100" w:line="240" w:lineRule="auto"/>
      </w:pPr>
      <w:r>
        <w:t>Данные, приведенные в таблице 1 позволяют заметить, что связь между вероятностью гибели носит криволинейный характер в случае влияния Prop_T и N (Эффективное число степеней свободы (</w:t>
      </w:r>
      <w:r>
        <w:rPr>
          <w:lang w:val="en-US"/>
        </w:rPr>
        <w:t>edf</w:t>
      </w:r>
      <w:r>
        <w:t>) больше единицы).</w:t>
      </w:r>
    </w:p>
    <w:p w14:paraId="5E3BC22D">
      <w:pPr>
        <w:pStyle w:val="4"/>
        <w:spacing w:after="100" w:line="240" w:lineRule="auto"/>
      </w:pPr>
    </w:p>
    <w:p w14:paraId="5632E819">
      <w:pPr>
        <w:pStyle w:val="4"/>
        <w:spacing w:after="100" w:line="240" w:lineRule="auto"/>
      </w:pPr>
    </w:p>
    <w:p w14:paraId="251591AC">
      <w:pPr>
        <w:pStyle w:val="4"/>
        <w:spacing w:after="100" w:line="240" w:lineRule="auto"/>
      </w:pPr>
    </w:p>
    <w:tbl>
      <w:tblPr>
        <w:tblStyle w:val="6"/>
        <w:tblW w:w="0" w:type="auto"/>
        <w:tblCaption w:val="Таблица 1. Параметры сглаживающих функций для модели, описывающей связь вероятности быть съеденой в зависмости от таксономического состава поселения (Prop_T), раазмера мидий (Size) и финальной числености моллюсков (N).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2584"/>
        <w:gridCol w:w="1388"/>
        <w:gridCol w:w="1012"/>
      </w:tblGrid>
      <w:tr w14:paraId="425E4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</w:tcPr>
          <w:p w14:paraId="64D2CFB5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Сглаживающая функция</w:t>
            </w:r>
          </w:p>
        </w:tc>
        <w:tc>
          <w:tcPr>
            <w:tcW w:w="0" w:type="auto"/>
          </w:tcPr>
          <w:p w14:paraId="66DC9CC8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 xml:space="preserve">Эффективное число </w:t>
            </w:r>
          </w:p>
          <w:p w14:paraId="26351F75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степеней свободы (</w:t>
            </w:r>
            <w:r>
              <w:t>edf</w:t>
            </w:r>
            <w:r>
              <w:rPr>
                <w:lang w:val="ru-RU"/>
              </w:rPr>
              <w:t>)</w:t>
            </w:r>
          </w:p>
        </w:tc>
        <w:tc>
          <w:tcPr>
            <w:tcW w:w="0" w:type="auto"/>
          </w:tcPr>
          <w:p w14:paraId="5799F62E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Хи-квадрат</w:t>
            </w:r>
          </w:p>
        </w:tc>
        <w:tc>
          <w:tcPr>
            <w:tcW w:w="0" w:type="auto"/>
          </w:tcPr>
          <w:p w14:paraId="136B0864">
            <w:pPr>
              <w:pStyle w:val="12"/>
            </w:pPr>
            <w:r>
              <w:t>p.value</w:t>
            </w:r>
          </w:p>
        </w:tc>
      </w:tr>
      <w:tr w14:paraId="36B1A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FD5EC5">
            <w:pPr>
              <w:pStyle w:val="12"/>
              <w:jc w:val="left"/>
            </w:pPr>
            <w:r>
              <w:t>s(Prop_T)</w:t>
            </w:r>
          </w:p>
        </w:tc>
        <w:tc>
          <w:tcPr>
            <w:tcW w:w="0" w:type="auto"/>
          </w:tcPr>
          <w:p w14:paraId="6348A365">
            <w:pPr>
              <w:pStyle w:val="12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54D8447A">
            <w:pPr>
              <w:pStyle w:val="12"/>
              <w:jc w:val="right"/>
            </w:pPr>
            <w:r>
              <w:t>47.14</w:t>
            </w:r>
          </w:p>
        </w:tc>
        <w:tc>
          <w:tcPr>
            <w:tcW w:w="0" w:type="auto"/>
          </w:tcPr>
          <w:p w14:paraId="4561A8F7">
            <w:pPr>
              <w:pStyle w:val="12"/>
              <w:jc w:val="right"/>
            </w:pPr>
            <w:r>
              <w:t>&lt;0.0001</w:t>
            </w:r>
          </w:p>
        </w:tc>
      </w:tr>
      <w:tr w14:paraId="37819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0B756D">
            <w:pPr>
              <w:pStyle w:val="12"/>
              <w:jc w:val="left"/>
            </w:pPr>
            <w:r>
              <w:t>s(Size)</w:t>
            </w:r>
          </w:p>
        </w:tc>
        <w:tc>
          <w:tcPr>
            <w:tcW w:w="0" w:type="auto"/>
          </w:tcPr>
          <w:p w14:paraId="6E11D078">
            <w:pPr>
              <w:pStyle w:val="12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5F76E7A5">
            <w:pPr>
              <w:pStyle w:val="12"/>
              <w:jc w:val="right"/>
            </w:pPr>
            <w:r>
              <w:t>34.08</w:t>
            </w:r>
          </w:p>
        </w:tc>
        <w:tc>
          <w:tcPr>
            <w:tcW w:w="0" w:type="auto"/>
          </w:tcPr>
          <w:p w14:paraId="56583E4A">
            <w:pPr>
              <w:pStyle w:val="12"/>
              <w:jc w:val="right"/>
            </w:pPr>
            <w:r>
              <w:t>&lt;0.0001</w:t>
            </w:r>
          </w:p>
        </w:tc>
      </w:tr>
      <w:tr w14:paraId="5E963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E27794">
            <w:pPr>
              <w:pStyle w:val="12"/>
              <w:jc w:val="left"/>
            </w:pPr>
            <w:r>
              <w:t>s(N)</w:t>
            </w:r>
          </w:p>
        </w:tc>
        <w:tc>
          <w:tcPr>
            <w:tcW w:w="0" w:type="auto"/>
          </w:tcPr>
          <w:p w14:paraId="1C7BAF60">
            <w:pPr>
              <w:pStyle w:val="12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09E82864">
            <w:pPr>
              <w:pStyle w:val="12"/>
              <w:jc w:val="right"/>
              <w:rPr>
                <w:rFonts w:hint="default"/>
                <w:lang w:val="ru-RU"/>
              </w:rPr>
            </w:pPr>
            <w:r>
              <w:t>26.0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0" w:type="auto"/>
          </w:tcPr>
          <w:p w14:paraId="17E3B153">
            <w:pPr>
              <w:pStyle w:val="12"/>
              <w:jc w:val="right"/>
            </w:pPr>
            <w:r>
              <w:t>&lt;0.0001</w:t>
            </w:r>
          </w:p>
        </w:tc>
      </w:tr>
    </w:tbl>
    <w:p w14:paraId="3BF8D35B">
      <w:pPr>
        <w:pStyle w:val="4"/>
        <w:spacing w:after="100" w:line="240" w:lineRule="auto"/>
      </w:pPr>
    </w:p>
    <w:p w14:paraId="1C38BAFC">
      <w:pPr>
        <w:pStyle w:val="4"/>
        <w:spacing w:after="100" w:line="240" w:lineRule="auto"/>
        <w:rPr>
          <w:rFonts w:hint="default"/>
          <w:lang w:val="ru-RU"/>
        </w:rPr>
      </w:pPr>
      <w:r>
        <w:rPr>
          <w:lang w:val="ru-RU"/>
        </w:rPr>
        <w:t>Вероятность</w:t>
      </w:r>
      <w:r>
        <w:rPr>
          <w:rFonts w:hint="default"/>
          <w:lang w:val="ru-RU"/>
        </w:rPr>
        <w:t xml:space="preserve"> быть съеденной отрицательно коррелировала с размером мидии </w:t>
      </w:r>
      <w:r>
        <w:t xml:space="preserve"> (рис. ++) </w:t>
      </w:r>
      <w:bookmarkStart w:id="1" w:name="_GoBack"/>
      <w:bookmarkEnd w:id="1"/>
      <w:r>
        <w:t>линейна (edf = 1, табл. 1): чем больше размер моллюска, тем меньше у него вероятность быть съеденным. Исходя из этого можно сказать, что морские звезды предпочитают атаковать более мелких мидий. Связь доли мертвых мидий c финальной численностью моллюсков (N) отображена на рисунке ++. Максимальная доля мертвых приходится на садки со средним количеством мидий. При увеличении или уменьшении количества мидий в садке вероятность быть съеденной падает.</w:t>
      </w:r>
      <w:r>
        <w:rPr>
          <w:rFonts w:hint="default"/>
          <w:lang w:val="ru-RU"/>
        </w:rPr>
        <w:t xml:space="preserve"> </w:t>
      </w:r>
      <w:r>
        <w:t xml:space="preserve"> </w:t>
      </w:r>
      <w:r>
        <w:rPr>
          <w:lang w:val="ru-RU"/>
        </w:rPr>
        <w:t>Н</w:t>
      </w:r>
      <w:r>
        <w:t>аибольшая вероятность быть съеденными у мидий, находящихся в смешанных поселениях</w:t>
      </w:r>
      <w:r>
        <w:rPr>
          <w:rFonts w:hint="default"/>
          <w:lang w:val="ru-RU"/>
        </w:rPr>
        <w:t xml:space="preserve"> (Рис. +++)</w:t>
      </w:r>
      <w:r>
        <w:t xml:space="preserve">. </w:t>
      </w:r>
    </w:p>
    <w:p w14:paraId="6B7E3B0D">
      <w:pPr>
        <w:pStyle w:val="4"/>
        <w:spacing w:after="100" w:line="240" w:lineRule="auto"/>
      </w:pPr>
      <w:r>
        <w:rPr>
          <w:lang w:eastAsia="ru-RU"/>
        </w:rPr>
        <w:drawing>
          <wp:inline distT="0" distB="0" distL="114300" distR="114300">
            <wp:extent cx="5940425" cy="2639695"/>
            <wp:effectExtent l="0" t="0" r="3175" b="8255"/>
            <wp:docPr id="54" name="Picture" descr="Рисунок 6. Зависимость между вероятностью быть съеденной для мидий в зависимости от таксономической структуры (доля мидий T-морфотипа, Prop_T), размера моллюсков (L) и численности мидий, обнаруженных в садках в конце эксперимента (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Рисунок 6. Зависимость между вероятностью быть съеденной для мидий в зависимости от таксономической структуры (доля мидий T-морфотипа, Prop_T), размера моллюсков (L) и численности мидий, обнаруженных в садках в конце эксперимента (N)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0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8804ED">
      <w:pPr>
        <w:pStyle w:val="4"/>
        <w:spacing w:after="100" w:line="240" w:lineRule="auto"/>
      </w:pPr>
      <w:r>
        <w:t>ЗАКЛЮЧЕНИЕ</w:t>
      </w:r>
    </w:p>
    <w:p w14:paraId="12DE1BF7">
      <w:pPr>
        <w:pStyle w:val="4"/>
        <w:spacing w:after="100" w:line="240" w:lineRule="auto"/>
      </w:pPr>
      <w:r>
        <w:t>Проведенное исследование показало, что вероятность гибели мидий от морских звезд зависит от размера жертвы (звезды чаще атакуют более мелких мидий), от количества мидий в садке (наиболее вероятным оказалось уничтожение жертв в садках со средней финальной численностью) и от видового состава агрегации. На смешанных поселениях было отмечено набольшее обилие хищников. Вероятность быть съеденной, как и предсказывает гипотеза, которую мы проверяли, имела нелинейную связь с таксономической структурой поселения мидий. Наиболее высокая вероятность гибели была отмечена в садках, где мы моделировали смешанные поселения.</w:t>
      </w:r>
    </w:p>
    <w:p w14:paraId="3165F076">
      <w:pPr>
        <w:pStyle w:val="9"/>
        <w:spacing w:before="0" w:after="100" w:line="240" w:lineRule="auto"/>
        <w:ind w:firstLine="0"/>
        <w:rPr>
          <w:rFonts w:asciiTheme="minorHAnsi" w:hAnsiTheme="minorHAnsi"/>
          <w:sz w:val="22"/>
          <w:szCs w:val="22"/>
          <w:lang w:val="ru-RU"/>
        </w:rPr>
      </w:pPr>
      <w:bookmarkStart w:id="0" w:name="благодарности"/>
      <w:r>
        <w:rPr>
          <w:rFonts w:asciiTheme="minorHAnsi" w:hAnsiTheme="minorHAnsi"/>
          <w:sz w:val="22"/>
          <w:szCs w:val="22"/>
          <w:lang w:val="ru-RU"/>
        </w:rPr>
        <w:t>БЛАГОДАРНОСТИ</w:t>
      </w:r>
    </w:p>
    <w:p w14:paraId="4D432BB5">
      <w:pPr>
        <w:pStyle w:val="9"/>
        <w:spacing w:before="0" w:after="100" w:line="240" w:lineRule="auto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t xml:space="preserve">Я выражаю огромную благодарность моему научному руководителю В. М. Хайтову и всем участникам </w:t>
      </w:r>
      <w:r>
        <w:rPr>
          <w:rFonts w:asciiTheme="minorHAnsi" w:hAnsiTheme="minorHAnsi"/>
          <w:sz w:val="22"/>
          <w:szCs w:val="22"/>
        </w:rPr>
        <w:t>LIX</w:t>
      </w:r>
      <w:r>
        <w:rPr>
          <w:rFonts w:asciiTheme="minorHAnsi" w:hAnsiTheme="minorHAnsi"/>
          <w:sz w:val="22"/>
          <w:szCs w:val="22"/>
          <w:lang w:val="ru-RU"/>
        </w:rPr>
        <w:t xml:space="preserve"> Беломорской экспедиции. Особо я благодарна А. Е. Горных, за проведение водолазных работ. Я признательна сотрудникам Кандалакшского заповедника за неоценимую помощь и поддержку на всех этапах работы.</w:t>
      </w:r>
    </w:p>
    <w:bookmarkEnd w:id="0"/>
    <w:p w14:paraId="6B52DD5C">
      <w:pPr>
        <w:pStyle w:val="4"/>
      </w:pPr>
    </w:p>
    <w:p w14:paraId="72746911">
      <w:pPr>
        <w:pStyle w:val="4"/>
      </w:pPr>
    </w:p>
    <w:p w14:paraId="56DF1D14">
      <w:pPr>
        <w:pStyle w:val="4"/>
      </w:pPr>
    </w:p>
    <w:p w14:paraId="3CD04DFD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645D1"/>
    <w:multiLevelType w:val="multilevel"/>
    <w:tmpl w:val="505645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23"/>
    <w:rsid w:val="003B5611"/>
    <w:rsid w:val="003D7019"/>
    <w:rsid w:val="0074393D"/>
    <w:rsid w:val="007518C0"/>
    <w:rsid w:val="0082489A"/>
    <w:rsid w:val="00A67C3C"/>
    <w:rsid w:val="00B772EE"/>
    <w:rsid w:val="00BC0D47"/>
    <w:rsid w:val="00C85EDD"/>
    <w:rsid w:val="00C91203"/>
    <w:rsid w:val="00EB2823"/>
    <w:rsid w:val="00F23026"/>
    <w:rsid w:val="00F458CD"/>
    <w:rsid w:val="02FC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4"/>
    <w:link w:val="7"/>
    <w:unhideWhenUsed/>
    <w:qFormat/>
    <w:uiPriority w:val="9"/>
    <w:pPr>
      <w:keepNext/>
      <w:keepLines/>
      <w:spacing w:before="200" w:after="0" w:line="360" w:lineRule="auto"/>
      <w:ind w:firstLine="851"/>
      <w:outlineLvl w:val="1"/>
    </w:pPr>
    <w:rPr>
      <w:rFonts w:ascii="Times New Roman" w:hAnsi="Times New Roman" w:eastAsiaTheme="majorEastAsia" w:cstheme="majorBidi"/>
      <w:bCs/>
      <w:i/>
      <w:sz w:val="24"/>
      <w:szCs w:val="28"/>
      <w:lang w:val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semiHidden/>
    <w:unhideWhenUsed/>
    <w:uiPriority w:val="99"/>
    <w:pPr>
      <w:spacing w:after="120"/>
    </w:pPr>
  </w:style>
  <w:style w:type="character" w:customStyle="1" w:styleId="7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Cs/>
      <w:i/>
      <w:sz w:val="24"/>
      <w:szCs w:val="28"/>
      <w:lang w:val="en-US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First Paragraph"/>
    <w:basedOn w:val="4"/>
    <w:next w:val="4"/>
    <w:qFormat/>
    <w:uiPriority w:val="0"/>
    <w:pPr>
      <w:spacing w:before="180" w:after="180" w:line="360" w:lineRule="auto"/>
      <w:ind w:firstLine="851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10">
    <w:name w:val="Основной текст Знак"/>
    <w:basedOn w:val="5"/>
    <w:link w:val="4"/>
    <w:semiHidden/>
    <w:uiPriority w:val="99"/>
  </w:style>
  <w:style w:type="character" w:customStyle="1" w:styleId="11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2">
    <w:name w:val="Compact"/>
    <w:basedOn w:val="4"/>
    <w:qFormat/>
    <w:uiPriority w:val="0"/>
    <w:pPr>
      <w:spacing w:before="36" w:after="36" w:line="360" w:lineRule="auto"/>
      <w:jc w:val="both"/>
    </w:pPr>
    <w:rPr>
      <w:rFonts w:ascii="Times New Roman" w:hAnsi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783</Words>
  <Characters>4464</Characters>
  <Lines>37</Lines>
  <Paragraphs>10</Paragraphs>
  <TotalTime>7</TotalTime>
  <ScaleCrop>false</ScaleCrop>
  <LinksUpToDate>false</LinksUpToDate>
  <CharactersWithSpaces>5237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2025-01-28T15:18:00Z</dcterms:created>
  <dc:creator>User</dc:creator>
  <cp:lastModifiedBy>google1599737165</cp:lastModifiedBy>
  <dcterms:modified xsi:type="dcterms:W3CDTF">2025-01-29T13:43:04Z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F351C2D1B1324BE7A2EA0F3C21E8F27C_12</vt:lpwstr>
  </property>
</Properties>
</file>