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8.png" ContentType="image/png"/>
  <Override PartName="/word/media/rId51.png" ContentType="image/png"/>
  <Override PartName="/word/media/rId45.png" ContentType="image/png"/>
  <Override PartName="/word/media/rId22.jpg" ContentType="image/jpeg"/>
  <Override PartName="/word/media/rId37.png" ContentType="image/png"/>
  <Override PartName="/word/media/rId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drawing>
          <wp:inline>
            <wp:extent cx="6146800" cy="1721104"/>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721104"/>
                    </a:xfrm>
                    <a:prstGeom prst="rect">
                      <a:avLst/>
                    </a:prstGeom>
                    <a:noFill/>
                    <a:ln w="9525">
                      <a:noFill/>
                      <a:headEnd/>
                      <a:tailEnd/>
                    </a:ln>
                  </pic:spPr>
                </pic:pic>
              </a:graphicData>
            </a:graphic>
          </wp:inline>
        </w:drawing>
      </w:r>
    </w:p>
    <w:p>
      <w:pPr>
        <w:pStyle w:val="3"/>
      </w:pPr>
      <w:r>
        <w:t xml:space="preserve"> </w:t>
      </w:r>
    </w:p>
    <w:bookmarkEnd w:id="25"/>
    <w:bookmarkStart w:id="26" w:name="о.-беляева"/>
    <w:p>
      <w:pPr>
        <w:pStyle w:val="2"/>
      </w:pPr>
      <w:r>
        <w:t xml:space="preserve">О. Беляева</w:t>
      </w:r>
    </w:p>
    <w:bookmarkEnd w:id="26"/>
    <w:bookmarkStart w:id="27" w:name="X9df0ad68eea7609b6c1ff48daa0de161c77645c"/>
    <w:p>
      <w:pPr>
        <w:pStyle w:val="2"/>
      </w:pPr>
      <w:r>
        <w:t xml:space="preserve">Совместная жизнь двух видов беломорских мидий (</w:t>
      </w:r>
      <w:r>
        <w:rPr>
          <w:i/>
          <w:iCs/>
        </w:rPr>
        <w:t xml:space="preserve">Mytilus edulis</w:t>
      </w:r>
      <w:r>
        <w:t xml:space="preserve"> </w:t>
      </w:r>
      <w:r>
        <w:t xml:space="preserve">Linnaeus, 1758 и</w:t>
      </w:r>
      <w:r>
        <w:t xml:space="preserve"> </w:t>
      </w:r>
      <w:r>
        <w:rPr>
          <w:i/>
          <w:iCs/>
        </w:rPr>
        <w:t xml:space="preserve">Mytilus trossulus</w:t>
      </w:r>
      <w:r>
        <w:t xml:space="preserve"> </w:t>
      </w:r>
      <w:r>
        <w:t xml:space="preserve">A. Gould, 1850) делает их более уязвимым для хищников (Asterias rubens Linnaeus, 1758)</w:t>
      </w:r>
    </w:p>
    <w:p>
      <w:pPr>
        <w:pStyle w:val="24"/>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ba6e324d73a5c23de9665ffea958fd87849f9cb"/>
    <w:p>
      <w:pPr>
        <w:pStyle w:val="8"/>
      </w:pPr>
      <w:r>
        <w:t xml:space="preserve">Естественные поселения беломорских мидий</w:t>
      </w:r>
      <w:r>
        <w:t xml:space="preserve"> </w:t>
      </w:r>
      <w:r>
        <w:rPr>
          <w:i/>
          <w:iCs/>
        </w:rPr>
        <w:t xml:space="preserve">Mytilus edulis</w:t>
      </w:r>
      <w:r>
        <w:t xml:space="preserve"> </w:t>
      </w:r>
      <w:r>
        <w:t xml:space="preserve">(</w:t>
      </w:r>
      <w:r>
        <w:rPr>
          <w:i/>
          <w:iCs/>
        </w:rPr>
        <w:t xml:space="preserve">Me</w:t>
      </w:r>
      <w:r>
        <w:t xml:space="preserve">) и</w:t>
      </w:r>
      <w:r>
        <w:t xml:space="preserve"> </w:t>
      </w:r>
      <w:r>
        <w:rPr>
          <w:i/>
          <w:iCs/>
        </w:rPr>
        <w:t xml:space="preserve">Mytilus trossulus</w:t>
      </w:r>
      <w:r>
        <w:t xml:space="preserve"> </w:t>
      </w:r>
      <w:r>
        <w:t xml:space="preserve">(</w:t>
      </w:r>
      <w:r>
        <w:rPr>
          <w:i/>
          <w:iCs/>
        </w:rPr>
        <w:t xml:space="preserve">Mt</w:t>
      </w:r>
      <w:r>
        <w:t xml:space="preserve">) подвергаются атакам морских звезд (</w:t>
      </w:r>
      <w:r>
        <w:rPr>
          <w:i/>
          <w:iCs/>
        </w:rPr>
        <w:t xml:space="preserve">Asterias rubens</w:t>
      </w:r>
      <w:r>
        <w:t xml:space="preserve">). 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w:t>
      </w:r>
      <w:r>
        <w:t xml:space="preserve"> </w:t>
      </w:r>
      <w:r>
        <w:rPr>
          <w:i/>
          <w:iCs/>
        </w:rPr>
        <w:t xml:space="preserve">Me</w:t>
      </w:r>
      <w:r>
        <w:t xml:space="preserve"> </w:t>
      </w:r>
      <w:r>
        <w:t xml:space="preserve">или</w:t>
      </w:r>
      <w:r>
        <w:t xml:space="preserve"> </w:t>
      </w:r>
      <w:r>
        <w:rPr>
          <w:i/>
          <w:iCs/>
        </w:rPr>
        <w:t xml:space="preserve">Mt</w:t>
      </w:r>
      <w:r>
        <w:t xml:space="preserve"> </w:t>
      </w:r>
      <w:r>
        <w:t xml:space="preserve">смертность моллюсков была ниже. Это может быть связно с тем, что поселения смешанного типа становятся более</w:t>
      </w:r>
      <w:r>
        <w:t xml:space="preserve"> </w:t>
      </w:r>
      <w:r>
        <w:t xml:space="preserve">“</w:t>
      </w:r>
      <w:r>
        <w:t xml:space="preserve">пористыми</w:t>
      </w:r>
      <w:r>
        <w:t xml:space="preserve">”</w:t>
      </w:r>
      <w:r>
        <w:t xml:space="preserve">, что облегчает морским звездам доступ к жертвам.</w:t>
      </w:r>
    </w:p>
    <w:bookmarkEnd w:id="29"/>
    <w:bookmarkEnd w:id="30"/>
    <w:bookmarkStart w:id="32" w:name="введение"/>
    <w:p>
      <w:pPr>
        <w:pStyle w:val="2"/>
      </w:pPr>
      <w:r>
        <w:t xml:space="preserve">Введение</w:t>
      </w:r>
    </w:p>
    <w:p>
      <w:pPr>
        <w:pStyle w:val="24"/>
      </w:pPr>
      <w:r>
        <w:t xml:space="preserve">Организмы, обитающие в сообществе, связаны между собой разнообразными связями, в том числе трофическими взаимоотношениями</w:t>
      </w:r>
      <w:r>
        <w:t xml:space="preserve"> </w:t>
      </w:r>
      <w:r>
        <w:t xml:space="preserve">(Беклемишев 1951)</w:t>
      </w:r>
      <w:r>
        <w:t xml:space="preserve">.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w:t>
      </w:r>
      <w:r>
        <w:t xml:space="preserve"> </w:t>
      </w:r>
      <w:r>
        <w:t xml:space="preserve">(R. L. Smith et al. 1998b)</w:t>
      </w:r>
      <w:r>
        <w:t xml:space="preserve">.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w:t>
      </w:r>
      <w:r>
        <w:t xml:space="preserve"> </w:t>
      </w:r>
      <w:r>
        <w:t xml:space="preserve">(R. L. Smith et al. 1998a)</w:t>
      </w:r>
      <w:r>
        <w:t xml:space="preserve">.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w:t>
      </w:r>
      <w:r>
        <w:t xml:space="preserve"> </w:t>
      </w:r>
      <w:r>
        <w:t xml:space="preserve">(Макарычева 2016; VM Khaitov et al. 2023)</w:t>
      </w:r>
      <w:r>
        <w:t xml:space="preserve">. Известно, что звезды активно поедают мидий, уничтожая достаточно большие поселения, вплоть до обширных мидиевых банок</w:t>
      </w:r>
      <w:r>
        <w:t xml:space="preserve"> </w:t>
      </w:r>
      <w:r>
        <w:t xml:space="preserve">(VM Khaitov et al. 2023)</w:t>
      </w:r>
      <w:r>
        <w:t xml:space="preserve">.</w:t>
      </w:r>
    </w:p>
    <w:p>
      <w:pPr>
        <w:pStyle w:val="3"/>
      </w:pPr>
      <w:r>
        <w:t xml:space="preserve">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w:t>
      </w:r>
      <w:r>
        <w:t xml:space="preserve"> </w:t>
      </w:r>
      <w:r>
        <w:t xml:space="preserve">(L. Smith and Jennings 2000; Fässler and Kaiser 2008; Lowen, Innes, and Thompson 2013)</w:t>
      </w:r>
      <w:r>
        <w:t xml:space="preserve">. При этом было показано, что морским звездам сложнее питаться в тех поселениях мидий, где моллюски, скрепляясь друг с другом, формируют плотные агрегации</w:t>
      </w:r>
      <w:r>
        <w:t xml:space="preserve"> </w:t>
      </w:r>
      <w:r>
        <w:t xml:space="preserve">(Dolmer 1998)</w:t>
      </w:r>
      <w:r>
        <w:t xml:space="preserve">.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упешной атаки хищника возрастают</w:t>
      </w:r>
      <w:r>
        <w:t xml:space="preserve"> </w:t>
      </w:r>
      <w:r>
        <w:t xml:space="preserve">(Dolmer 1998)</w:t>
      </w:r>
      <w:r>
        <w:t xml:space="preserve">.</w:t>
      </w:r>
    </w:p>
    <w:p>
      <w:pPr>
        <w:pStyle w:val="3"/>
      </w:pPr>
      <w:r>
        <w:t xml:space="preserve">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w:t>
      </w:r>
      <w:r>
        <w:t xml:space="preserve"> </w:t>
      </w:r>
      <w:r>
        <w:rPr>
          <w:i/>
          <w:iCs/>
        </w:rPr>
        <w:t xml:space="preserve">Mytilus</w:t>
      </w:r>
      <w:r>
        <w:t xml:space="preserve">:</w:t>
      </w:r>
      <w:r>
        <w:t xml:space="preserve"> </w:t>
      </w:r>
      <w:r>
        <w:rPr>
          <w:i/>
          <w:iCs/>
        </w:rPr>
        <w:t xml:space="preserve">Mytilus edulis Linnaeus, 1758</w:t>
      </w:r>
      <w:r>
        <w:t xml:space="preserve"> </w:t>
      </w:r>
      <w:r>
        <w:t xml:space="preserve">и</w:t>
      </w:r>
      <w:r>
        <w:t xml:space="preserve"> </w:t>
      </w:r>
      <w:r>
        <w:rPr>
          <w:i/>
          <w:iCs/>
        </w:rPr>
        <w:t xml:space="preserve">Mytilus trossulus A. Gould, 1850</w:t>
      </w:r>
      <w:r>
        <w:t xml:space="preserve"> </w:t>
      </w:r>
      <w:r>
        <w:t xml:space="preserve">(Väinölä and Strelkov 2011)</w:t>
      </w:r>
      <w:r>
        <w:t xml:space="preserve">. Мидии живут либо в моноспецифичных поселениях, например, во внутренней части Балтики обитают, в основном,</w:t>
      </w:r>
      <w:r>
        <w:t xml:space="preserve"> </w:t>
      </w:r>
      <w:r>
        <w:rPr>
          <w:i/>
          <w:iCs/>
        </w:rPr>
        <w:t xml:space="preserve">M.trossulus</w:t>
      </w:r>
      <w:r>
        <w:t xml:space="preserve">, а за Датскими проливами -</w:t>
      </w:r>
      <w:r>
        <w:t xml:space="preserve"> </w:t>
      </w:r>
      <w:r>
        <w:rPr>
          <w:i/>
          <w:iCs/>
        </w:rPr>
        <w:t xml:space="preserve">M.edulis</w:t>
      </w:r>
      <w:r>
        <w:t xml:space="preserve"> </w:t>
      </w:r>
      <w:r>
        <w:t xml:space="preserve">(Väinölä and Strelkov 2011)</w:t>
      </w:r>
      <w:r>
        <w:t xml:space="preserve">.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w:t>
      </w:r>
      <w:r>
        <w:t xml:space="preserve"> </w:t>
      </w:r>
      <w:r>
        <w:t xml:space="preserve">(Väinölä and Strelkov 2011)</w:t>
      </w:r>
      <w:r>
        <w:t xml:space="preserve">, а также на Атлантическом побережье Северной Америки</w:t>
      </w:r>
      <w:r>
        <w:t xml:space="preserve"> </w:t>
      </w:r>
      <w:r>
        <w:t xml:space="preserve">(Riginos and Cunningham 2005)</w:t>
      </w:r>
      <w:r>
        <w:t xml:space="preserve">. В таких смешанных поселениях морские звезды</w:t>
      </w:r>
      <w:r>
        <w:t xml:space="preserve"> </w:t>
      </w:r>
      <w:r>
        <w:rPr>
          <w:i/>
          <w:iCs/>
        </w:rPr>
        <w:t xml:space="preserve">Asterias rubens Linnaeus, 1758</w:t>
      </w:r>
      <w:r>
        <w:t xml:space="preserve"> </w:t>
      </w:r>
      <w:r>
        <w:t xml:space="preserve">охотнее нападают на</w:t>
      </w:r>
      <w:r>
        <w:t xml:space="preserve"> </w:t>
      </w:r>
      <w:r>
        <w:rPr>
          <w:i/>
          <w:iCs/>
        </w:rPr>
        <w:t xml:space="preserve">M.trossulus</w:t>
      </w:r>
      <w:r>
        <w:t xml:space="preserve"> </w:t>
      </w:r>
      <w:r>
        <w:t xml:space="preserve">(Lowen, Innes, and Thompson 2013; Vadim Khaitov et al. 2021; Макарычева 2015)</w:t>
      </w:r>
      <w:r>
        <w:t xml:space="preserve">.Этот выбор может объясняется тем, что в ответ на присутствие морской звезды</w:t>
      </w:r>
      <w:r>
        <w:t xml:space="preserve"> </w:t>
      </w:r>
      <w:r>
        <w:rPr>
          <w:i/>
          <w:iCs/>
        </w:rPr>
        <w:t xml:space="preserve">M.edulis</w:t>
      </w:r>
      <w:r>
        <w:t xml:space="preserve"> </w:t>
      </w:r>
      <w:r>
        <w:t xml:space="preserve">лучше способны к обороне, чем</w:t>
      </w:r>
      <w:r>
        <w:t xml:space="preserve"> </w:t>
      </w:r>
      <w:r>
        <w:rPr>
          <w:i/>
          <w:iCs/>
        </w:rPr>
        <w:t xml:space="preserve">M.trossulus</w:t>
      </w:r>
      <w:r>
        <w:t xml:space="preserve">. Эта лучшая приспособленнось проявляется за счет увеличения толщины стенки раковины, усиления мышцы-аддуктора, повышенния выделения биссуса или уплотнения агрегаций</w:t>
      </w:r>
      <w:r>
        <w:t xml:space="preserve"> </w:t>
      </w:r>
      <w:r>
        <w:t xml:space="preserve">(Lowen, Innes, and Thompson 2013)</w:t>
      </w:r>
      <w:r>
        <w:t xml:space="preserve">. Однако, следует отметить, что все эти реакции требуют от мидий долговременного (более месяца) контакта с хищником</w:t>
      </w:r>
      <w:r>
        <w:t xml:space="preserve"> </w:t>
      </w:r>
      <w:r>
        <w:t xml:space="preserve">(Lowen, Innes, and Thompson 2013)</w:t>
      </w:r>
      <w:r>
        <w:t xml:space="preserve">,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w:t>
      </w:r>
      <w:r>
        <w:t xml:space="preserve"> </w:t>
      </w:r>
      <w:r>
        <w:t xml:space="preserve">(Beaumont et al. 2008; Кириллов 2015)</w:t>
      </w:r>
      <w:r>
        <w:t xml:space="preserve">. Раковины</w:t>
      </w:r>
      <w:r>
        <w:t xml:space="preserve"> </w:t>
      </w:r>
      <w:r>
        <w:rPr>
          <w:i/>
          <w:iCs/>
        </w:rPr>
        <w:t xml:space="preserve">M.trossulus</w:t>
      </w:r>
      <w:r>
        <w:t xml:space="preserve"> </w:t>
      </w:r>
      <w:r>
        <w:t xml:space="preserve">более тонкие и более гибкие, а поэтому звездам легче их вскрывать, растягивая створки</w:t>
      </w:r>
      <w:r>
        <w:t xml:space="preserve"> </w:t>
      </w:r>
      <w:r>
        <w:t xml:space="preserve">(Vadim Khaitov et al. 2021)</w:t>
      </w:r>
      <w:r>
        <w:t xml:space="preserve">.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w:t>
      </w:r>
      <w:r>
        <w:t xml:space="preserve"> </w:t>
      </w:r>
      <w:r>
        <w:rPr>
          <w:i/>
          <w:iCs/>
        </w:rPr>
        <w:t xml:space="preserve">M.edulis</w:t>
      </w:r>
      <w:r>
        <w:t xml:space="preserve"> </w:t>
      </w:r>
      <w:r>
        <w:t xml:space="preserve">лучше приспособлены к влиянию хищников, чем</w:t>
      </w:r>
      <w:r>
        <w:t xml:space="preserve"> </w:t>
      </w:r>
      <w:r>
        <w:rPr>
          <w:i/>
          <w:iCs/>
        </w:rPr>
        <w:t xml:space="preserve">M.trossulus</w:t>
      </w:r>
      <w:r>
        <w:t xml:space="preserve">.</w:t>
      </w:r>
    </w:p>
    <w:p>
      <w:pPr>
        <w:pStyle w:val="3"/>
      </w:pPr>
      <w:r>
        <w:t xml:space="preserve">Учитывая наблюдаемую асимметрию, мы можем ожидать, что максимальная вероятность атаки морскими звездами будет в моноспецифичных поселениях</w:t>
      </w:r>
      <w:r>
        <w:t xml:space="preserve"> </w:t>
      </w:r>
      <w:r>
        <w:rPr>
          <w:i/>
          <w:iCs/>
        </w:rPr>
        <w:t xml:space="preserve">M.trossulus</w:t>
      </w:r>
      <w:r>
        <w:t xml:space="preserve">, а минимальной - в моноспецифичных поселениях</w:t>
      </w:r>
      <w:r>
        <w:t xml:space="preserve"> </w:t>
      </w:r>
      <w:r>
        <w:rPr>
          <w:i/>
          <w:iCs/>
        </w:rPr>
        <w:t xml:space="preserve">M.edulis</w:t>
      </w:r>
      <w:r>
        <w:t xml:space="preserve">. В смешанных поселениях можно ожидать, что морские звезды будут выедать примущественно</w:t>
      </w:r>
      <w:r>
        <w:t xml:space="preserve"> </w:t>
      </w:r>
      <w:r>
        <w:rPr>
          <w:i/>
          <w:iCs/>
        </w:rPr>
        <w:t xml:space="preserve">M.trossulus</w:t>
      </w:r>
      <w:r>
        <w:t xml:space="preserve">. То есть вероятность атаки морских звезд на поселение должна возрастать с увеличением в нем доли</w:t>
      </w:r>
      <w:r>
        <w:t xml:space="preserve"> </w:t>
      </w:r>
      <w:r>
        <w:rPr>
          <w:i/>
          <w:iCs/>
        </w:rPr>
        <w:t xml:space="preserve">M.trossulus</w:t>
      </w:r>
      <w:r>
        <w:t xml:space="preserve"> </w:t>
      </w:r>
      <w:r>
        <w:t xml:space="preserve">(Макарычева 2017)</w:t>
      </w:r>
      <w:r>
        <w:t xml:space="preserve">.</w:t>
      </w:r>
    </w:p>
    <w:p>
      <w:pPr>
        <w:pStyle w:val="3"/>
      </w:pPr>
      <w:r>
        <w:t xml:space="preserve">Однако, такая модель не соответствует наблюдениям. Так, однозначной положительной корреляции между вероятностью гибели мидий и долей</w:t>
      </w:r>
      <w:r>
        <w:t xml:space="preserve"> </w:t>
      </w:r>
      <w:r>
        <w:rPr>
          <w:i/>
          <w:iCs/>
        </w:rPr>
        <w:t xml:space="preserve">M.trossulus</w:t>
      </w:r>
      <w:r>
        <w:t xml:space="preserve"> </w:t>
      </w:r>
      <w:r>
        <w:t xml:space="preserve">в поселении, как предсказывает модель, описанная выше, найдено не было</w:t>
      </w:r>
      <w:r>
        <w:t xml:space="preserve"> </w:t>
      </w:r>
      <w:r>
        <w:t xml:space="preserve">(VM Khaitov et al. 2023)</w:t>
      </w:r>
      <w:r>
        <w:t xml:space="preserve">. Более того, было показано, что звезды чаще атакуют тот вид жертв, относительное количество которого в агрегации меньше, будь то</w:t>
      </w:r>
      <w:r>
        <w:t xml:space="preserve"> </w:t>
      </w:r>
      <w:r>
        <w:rPr>
          <w:i/>
          <w:iCs/>
        </w:rPr>
        <w:t xml:space="preserve">M.trossulus</w:t>
      </w:r>
      <w:r>
        <w:t xml:space="preserve"> </w:t>
      </w:r>
      <w:r>
        <w:t xml:space="preserve">или</w:t>
      </w:r>
      <w:r>
        <w:t xml:space="preserve"> </w:t>
      </w:r>
      <w:r>
        <w:rPr>
          <w:i/>
          <w:iCs/>
        </w:rPr>
        <w:t xml:space="preserve">M.edulis</w:t>
      </w:r>
      <w:r>
        <w:t xml:space="preserve"> </w:t>
      </w:r>
      <w:r>
        <w:t xml:space="preserve">(Макарычева 2016; VM Khaitov et al. 2023)</w:t>
      </w:r>
      <w:r>
        <w:t xml:space="preserve">.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w:t>
      </w:r>
      <w:r>
        <w:t xml:space="preserve"> </w:t>
      </w:r>
      <w:r>
        <w:t xml:space="preserve">(VM Khaitov et al. 2023)</w:t>
      </w:r>
      <w:r>
        <w:t xml:space="preserve">. Изветно, что два вида мидий заметно отличаются в своей стратегии формирования агрегаций:</w:t>
      </w:r>
      <w:r>
        <w:t xml:space="preserve"> </w:t>
      </w:r>
      <w:r>
        <w:rPr>
          <w:i/>
          <w:iCs/>
        </w:rPr>
        <w:t xml:space="preserve">M.trossulus</w:t>
      </w:r>
      <w:r>
        <w:t xml:space="preserve"> </w:t>
      </w:r>
      <w:r>
        <w:t xml:space="preserve">предпочитает покрепче прикрепиться к донному субстрату,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hyperlink r:id="rId31">
        <w:r>
          <w:rPr>
            <w:rStyle w:val="17"/>
          </w:rPr>
          <w:t xml:space="preserve">@</w:t>
        </w:r>
      </w:hyperlink>
      <w:r>
        <w:t xml:space="preserve">. Особенно ярко эти различия проявляются при наличии химических сигналов, исходящих от хищников</w:t>
      </w:r>
      <w:r>
        <w:t xml:space="preserve"> </w:t>
      </w:r>
      <w:r>
        <w:t xml:space="preserve">(Кириллов 2015)</w:t>
      </w:r>
      <w:r>
        <w:t xml:space="preserve">.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bookmarkEnd w:id="32"/>
    <w:bookmarkStart w:id="44" w:name="материалы-и-методика"/>
    <w:p>
      <w:pPr>
        <w:pStyle w:val="2"/>
      </w:pPr>
      <w:r>
        <w:t xml:space="preserve">Материалы и методика</w:t>
      </w:r>
    </w:p>
    <w:bookmarkStart w:id="36" w:name="идентификация-мидий"/>
    <w:p>
      <w:pPr>
        <w:pStyle w:val="4"/>
      </w:pPr>
      <w:r>
        <w:t xml:space="preserve">Идентификация мидий</w:t>
      </w:r>
    </w:p>
    <w:p>
      <w:pPr>
        <w:pStyle w:val="24"/>
      </w:pPr>
      <w:r>
        <w:t xml:space="preserve">Для надежного определения вида моллюска необходимо проведение генотипирования, однако, как было показано в работе В.М.Хайтова и соавторов</w:t>
      </w:r>
      <w:r>
        <w:t xml:space="preserve"> </w:t>
      </w:r>
      <w:r>
        <w:t xml:space="preserve">(Vadim Khaitov et al. 2021)</w:t>
      </w:r>
      <w:r>
        <w:t xml:space="preserve"> </w:t>
      </w:r>
      <w:r>
        <w:t xml:space="preserve">генетически определенный вид коррелирует с так называемым морфотипом мидии. Беломорские</w:t>
      </w:r>
      <w:r>
        <w:t xml:space="preserve"> </w:t>
      </w:r>
      <w:r>
        <w:rPr>
          <w:i/>
          <w:iCs/>
        </w:rPr>
        <w:t xml:space="preserve">M.edulis</w:t>
      </w:r>
      <w:r>
        <w:t xml:space="preserve"> </w:t>
      </w:r>
      <w:r>
        <w:t xml:space="preserve">и</w:t>
      </w:r>
      <w:r>
        <w:t xml:space="preserve"> </w:t>
      </w:r>
      <w:r>
        <w:rPr>
          <w:i/>
          <w:iCs/>
        </w:rPr>
        <w:t xml:space="preserve">M.trossulus</w:t>
      </w:r>
      <w:r>
        <w:t xml:space="preserve"> </w:t>
      </w:r>
      <w:r>
        <w:t xml:space="preserve">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w:t>
      </w:r>
      <w:r>
        <w:t xml:space="preserve"> </w:t>
      </w:r>
      <w:r>
        <w:t xml:space="preserve">(Vadim Khaitov et al. 2021)</w:t>
      </w:r>
      <w:r>
        <w:t xml:space="preserve">. Первая разновидность, T-морфотип, имеет описанную полоску и с высокой вероятностью соответствует</w:t>
      </w:r>
      <w:r>
        <w:t xml:space="preserve"> </w:t>
      </w:r>
      <w:r>
        <w:rPr>
          <w:i/>
          <w:iCs/>
        </w:rPr>
        <w:t xml:space="preserve">M.trossulus</w:t>
      </w:r>
      <w:r>
        <w:t xml:space="preserve">. Вторая форма, E-морфотип, характеризуется отсутствием полоски призматического слоя и с высокой вероятностью соответствует</w:t>
      </w:r>
      <w:r>
        <w:t xml:space="preserve"> </w:t>
      </w:r>
      <w:r>
        <w:rPr>
          <w:i/>
          <w:iCs/>
        </w:rPr>
        <w:t xml:space="preserve">M.edulis</w:t>
      </w:r>
      <w:r>
        <w:t xml:space="preserve">.</w:t>
      </w:r>
    </w:p>
    <w:p>
      <w:pPr>
        <w:pStyle w:val="34"/>
      </w:pPr>
      <w:r>
        <w:drawing>
          <wp:inline>
            <wp:extent cx="2974848" cy="2487168"/>
            <wp:effectExtent b="0" l="0" r="0" t="0"/>
            <wp:docPr descr="Рисунок 1. Морфотипы беломорских мидий" title="" id="34" name="Picture"/>
            <a:graphic>
              <a:graphicData uri="http://schemas.openxmlformats.org/drawingml/2006/picture">
                <pic:pic>
                  <pic:nvPicPr>
                    <pic:cNvPr descr="Figures/Morphotypes_m1.jpg" id="35" name="Picture"/>
                    <pic:cNvPicPr>
                      <a:picLocks noChangeArrowheads="1" noChangeAspect="1"/>
                    </pic:cNvPicPr>
                  </pic:nvPicPr>
                  <pic:blipFill>
                    <a:blip r:embed="rId33"/>
                    <a:stretch>
                      <a:fillRect/>
                    </a:stretch>
                  </pic:blipFill>
                  <pic:spPr bwMode="auto">
                    <a:xfrm>
                      <a:off x="0" y="0"/>
                      <a:ext cx="2974848" cy="2487168"/>
                    </a:xfrm>
                    <a:prstGeom prst="rect">
                      <a:avLst/>
                    </a:prstGeom>
                    <a:noFill/>
                    <a:ln w="9525">
                      <a:noFill/>
                      <a:headEnd/>
                      <a:tailEnd/>
                    </a:ln>
                  </pic:spPr>
                </pic:pic>
              </a:graphicData>
            </a:graphic>
          </wp:inline>
        </w:drawing>
      </w:r>
    </w:p>
    <w:p>
      <w:pPr>
        <w:pStyle w:val="23"/>
      </w:pPr>
      <w:r>
        <w:t xml:space="preserve">Рисунок 1. Морфотипы беломорских мидий</w:t>
      </w:r>
    </w:p>
    <w:p>
      <w:pPr>
        <w:pStyle w:val="3"/>
      </w:pPr>
      <w:r>
        <w:t xml:space="preserve"> </w:t>
      </w:r>
    </w:p>
    <w:bookmarkEnd w:id="36"/>
    <w:bookmarkStart w:id="40" w:name="сбор-животных-для-эксперимента"/>
    <w:p>
      <w:pPr>
        <w:pStyle w:val="4"/>
      </w:pPr>
      <w:r>
        <w:t xml:space="preserve">Сбор животных для эксперимента</w:t>
      </w:r>
    </w:p>
    <w:p>
      <w:pPr>
        <w:pStyle w:val="24"/>
      </w:pPr>
      <w:r>
        <w:t xml:space="preserve">Материал для проведения эксперимента был собран в августе 2024 года. Мидии 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pPr>
        <w:pStyle w:val="3"/>
      </w:pPr>
      <w:r>
        <w:t xml:space="preserve"> </w:t>
      </w:r>
    </w:p>
    <w:p>
      <w:pPr>
        <w:pStyle w:val="34"/>
      </w:pPr>
      <w:r>
        <w:drawing>
          <wp:inline>
            <wp:extent cx="6146800" cy="2968862"/>
            <wp:effectExtent b="0" l="0" r="0" t="0"/>
            <wp:docPr descr="Рисунок 2. Вершина Кандалакшского задива Белого моря, точки сбора материала и постановки эксперимента" title="" id="38" name="Picture"/>
            <a:graphic>
              <a:graphicData uri="http://schemas.openxmlformats.org/drawingml/2006/picture">
                <pic:pic>
                  <pic:nvPicPr>
                    <pic:cNvPr descr="Figures/Map.png" id="39" name="Picture"/>
                    <pic:cNvPicPr>
                      <a:picLocks noChangeArrowheads="1" noChangeAspect="1"/>
                    </pic:cNvPicPr>
                  </pic:nvPicPr>
                  <pic:blipFill>
                    <a:blip r:embed="rId37"/>
                    <a:stretch>
                      <a:fillRect/>
                    </a:stretch>
                  </pic:blipFill>
                  <pic:spPr bwMode="auto">
                    <a:xfrm>
                      <a:off x="0" y="0"/>
                      <a:ext cx="6146800" cy="2968862"/>
                    </a:xfrm>
                    <a:prstGeom prst="rect">
                      <a:avLst/>
                    </a:prstGeom>
                    <a:noFill/>
                    <a:ln w="9525">
                      <a:noFill/>
                      <a:headEnd/>
                      <a:tailEnd/>
                    </a:ln>
                  </pic:spPr>
                </pic:pic>
              </a:graphicData>
            </a:graphic>
          </wp:inline>
        </w:drawing>
      </w:r>
    </w:p>
    <w:p>
      <w:pPr>
        <w:pStyle w:val="23"/>
      </w:pPr>
      <w:r>
        <w:t xml:space="preserve">Рисунок 2. Вершина Кандалакшского задива Белого моря, точки сбора материала и постановки эксперимента</w:t>
      </w:r>
    </w:p>
    <w:p>
      <w:pPr>
        <w:pStyle w:val="3"/>
      </w:pPr>
      <w:r>
        <w:t xml:space="preserve"> </w:t>
      </w:r>
    </w:p>
    <w:p>
      <w:pPr>
        <w:pStyle w:val="3"/>
      </w:pPr>
      <w:r>
        <w:t xml:space="preserve">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w:t>
      </w:r>
      <w:r>
        <w:t xml:space="preserve"> </w:t>
      </w:r>
      <w:r>
        <w:t xml:space="preserve">(Beaumont et al. 2008)</w:t>
      </w:r>
      <w:r>
        <w:t xml:space="preserve">. Мидии подвергались сжатию в спинно-брюшном направлении: у</w:t>
      </w:r>
      <w:r>
        <w:t xml:space="preserve"> </w:t>
      </w:r>
      <w:r>
        <w:rPr>
          <w:i/>
          <w:iCs/>
        </w:rPr>
        <w:t xml:space="preserve">M.trossulus</w:t>
      </w:r>
      <w:r>
        <w:t xml:space="preserve">, обладающих более тонкой раковиной, при этом появляется широкая щель между створками раковины, у</w:t>
      </w:r>
      <w:r>
        <w:t xml:space="preserve"> </w:t>
      </w:r>
      <w:r>
        <w:rPr>
          <w:i/>
          <w:iCs/>
        </w:rPr>
        <w:t xml:space="preserve">M.edulis</w:t>
      </w:r>
      <w:r>
        <w:t xml:space="preserve">, обладающих более толстыми створками, такая щель не образуется.</w:t>
      </w:r>
    </w:p>
    <w:p>
      <w:pPr>
        <w:pStyle w:val="3"/>
      </w:pPr>
      <w:r>
        <w:t xml:space="preserve">До эксперимента мидии были выдержаны в сетках, свешанных в морскую воду, не менее 2-3 дней. Для эксперимента были отобраны мидии размером 15-30 мм.</w:t>
      </w:r>
    </w:p>
    <w:bookmarkEnd w:id="40"/>
    <w:bookmarkStart w:id="41" w:name="проведение-эксперимента"/>
    <w:p>
      <w:pPr>
        <w:pStyle w:val="4"/>
      </w:pPr>
      <w:r>
        <w:t xml:space="preserve">Проведение эксперимента</w:t>
      </w:r>
    </w:p>
    <w:p>
      <w:pPr>
        <w:pStyle w:val="24"/>
      </w:pPr>
      <w:r>
        <w:t xml:space="preserve">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w:t>
      </w:r>
      <w:r>
        <w:t xml:space="preserve"> </w:t>
      </w:r>
      <w:r>
        <w:t xml:space="preserve">(Макарычева 2017)</w:t>
      </w:r>
      <w:r>
        <w:t xml:space="preserve">).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T-морфотипа). Далее этот тип садков будем обозначать, как</w:t>
      </w:r>
      <w:r>
        <w:t xml:space="preserve"> </w:t>
      </w:r>
      <w:r>
        <w:t xml:space="preserve">“</w:t>
      </w:r>
      <w:r>
        <w:t xml:space="preserve">80T</w:t>
      </w:r>
      <w:r>
        <w:t xml:space="preserve">”</w:t>
      </w:r>
      <w:r>
        <w:t xml:space="preserve">. В следующие 11 садков мы посадили по 40 мидий с точки сбор №1 и по 40 мидий с точки сбора №2 (этот тип садков мы рассматривали, как смешанные поселения). Далее этот тип поселения будет обозначаться, как</w:t>
      </w:r>
      <w:r>
        <w:t xml:space="preserve"> </w:t>
      </w:r>
      <w:r>
        <w:t xml:space="preserve">“</w:t>
      </w:r>
      <w:r>
        <w:t xml:space="preserve">40/40</w:t>
      </w:r>
      <w:r>
        <w:t xml:space="preserve">”</w:t>
      </w:r>
      <w:r>
        <w:t xml:space="preserve">. В последние 11 садков было высажено по 80 мидий с точки сбора №2 (чистые поселения мидий E-морфотипа). Далее этот тип садков будет обозначен, как</w:t>
      </w:r>
      <w:r>
        <w:t xml:space="preserve"> </w:t>
      </w:r>
      <w:r>
        <w:t xml:space="preserve">“</w:t>
      </w:r>
      <w:r>
        <w:t xml:space="preserve">80E</w:t>
      </w:r>
      <w:r>
        <w:t xml:space="preserve">”</w:t>
      </w:r>
      <w:r>
        <w:t xml:space="preserve">.</w:t>
      </w:r>
    </w:p>
    <w:p>
      <w:pPr>
        <w:pStyle w:val="3"/>
      </w:pPr>
      <w:r>
        <w:t xml:space="preserve">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pPr>
        <w:pStyle w:val="3"/>
      </w:pPr>
      <w:r>
        <w:t xml:space="preserve">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Asterias rubens.</w:t>
      </w:r>
    </w:p>
    <w:p>
      <w:pPr>
        <w:pStyle w:val="3"/>
      </w:pPr>
      <w:r>
        <w:t xml:space="preserve">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bookmarkEnd w:id="41"/>
    <w:bookmarkStart w:id="42" w:name="обработка-материала"/>
    <w:p>
      <w:pPr>
        <w:pStyle w:val="4"/>
      </w:pPr>
      <w:r>
        <w:t xml:space="preserve">Обработка материала</w:t>
      </w:r>
    </w:p>
    <w:p>
      <w:pPr>
        <w:pStyle w:val="24"/>
      </w:pPr>
      <w:r>
        <w:t xml:space="preserve">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pPr>
        <w:pStyle w:val="3"/>
      </w:pPr>
      <w:r>
        <w:t xml:space="preserve">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(L) и определили морфотип.</w:t>
      </w:r>
    </w:p>
    <w:bookmarkEnd w:id="42"/>
    <w:bookmarkStart w:id="43" w:name="статистическая-обработка"/>
    <w:p>
      <w:pPr>
        <w:pStyle w:val="4"/>
      </w:pPr>
      <w:r>
        <w:t xml:space="preserve">Статистическая обработка</w:t>
      </w:r>
    </w:p>
    <w:p>
      <w:pPr>
        <w:pStyle w:val="24"/>
      </w:pPr>
      <w:r>
        <w:t xml:space="preserve">Обработка проводилась с помощью языка статистического программирования R</w:t>
      </w:r>
      <w:r>
        <w:t xml:space="preserve"> </w:t>
      </w:r>
      <w:r>
        <w:t xml:space="preserve">(R Core Team 2023)</w:t>
      </w:r>
      <w:r>
        <w:t xml:space="preserve">.</w:t>
      </w:r>
    </w:p>
    <w:p>
      <w:pPr>
        <w:pStyle w:val="3"/>
      </w:pPr>
      <w:r>
        <w:t xml:space="preserve">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pPr>
        <w:pStyle w:val="3"/>
      </w:pPr>
      <w:r>
        <w:t xml:space="preserve">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pPr>
        <w:pStyle w:val="3"/>
      </w:pPr>
      <w:r>
        <w:t xml:space="preserve">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T-морфотипа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T-морфотипа, найденных в пределах данного садка, и разделили на общее количество живых и мертвых мидий в том же садке. Эта величина (далее Prop_T)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bookmarkEnd w:id="43"/>
    <w:bookmarkEnd w:id="44"/>
    <w:bookmarkStart w:id="57" w:name="результаты"/>
    <w:p>
      <w:pPr>
        <w:pStyle w:val="2"/>
      </w:pPr>
      <w:r>
        <w:t xml:space="preserve">Результаты</w:t>
      </w:r>
    </w:p>
    <w:p>
      <w:pPr>
        <w:pStyle w:val="24"/>
      </w:pPr>
      <w:r>
        <w:t xml:space="preserve">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w:t>
      </w:r>
      <w:r>
        <w:t xml:space="preserve"> </w:t>
      </w:r>
      <w:r>
        <w:t xml:space="preserve">“</w:t>
      </w:r>
      <w:r>
        <w:t xml:space="preserve">80E</w:t>
      </w:r>
      <w:r>
        <w:t xml:space="preserve">”</w:t>
      </w:r>
      <w:r>
        <w:t xml:space="preserve">, чуть больше - в садках</w:t>
      </w:r>
      <w:r>
        <w:t xml:space="preserve"> </w:t>
      </w:r>
      <w:r>
        <w:t xml:space="preserve">“</w:t>
      </w:r>
      <w:r>
        <w:t xml:space="preserve">40/40</w:t>
      </w:r>
      <w:r>
        <w:t xml:space="preserve">”</w:t>
      </w:r>
      <w:r>
        <w:t xml:space="preserve">, и самое большое количество мидий было представлено в садках</w:t>
      </w:r>
      <w:r>
        <w:t xml:space="preserve"> </w:t>
      </w:r>
      <w:r>
        <w:t xml:space="preserve">“</w:t>
      </w:r>
      <w:r>
        <w:t xml:space="preserve">80T</w:t>
      </w:r>
      <w:r>
        <w:t xml:space="preserve">”</w:t>
      </w:r>
      <w:r>
        <w:t xml:space="preserve">. В 4 садках было обнаружено больше мидий, чем было изначально высажено (81, 83, 85 и 97 особей). Все они относились к садкам типа</w:t>
      </w:r>
      <w:r>
        <w:t xml:space="preserve"> </w:t>
      </w:r>
      <w:r>
        <w:t xml:space="preserve">“</w:t>
      </w:r>
      <w:r>
        <w:t xml:space="preserve">80T</w:t>
      </w:r>
      <w:r>
        <w:t xml:space="preserve">”</w:t>
      </w:r>
      <w:r>
        <w:t xml:space="preserve">.</w:t>
      </w:r>
    </w:p>
    <w:p>
      <w:pPr>
        <w:pStyle w:val="3"/>
      </w:pPr>
      <w:r>
        <w:t xml:space="preserve"> </w:t>
      </w:r>
    </w:p>
    <w:p>
      <w:pPr>
        <w:pStyle w:val="34"/>
      </w:pPr>
      <w:r>
        <w:drawing>
          <wp:inline>
            <wp:extent cx="4620126" cy="3696101"/>
            <wp:effectExtent b="0" l="0" r="0" t="0"/>
            <wp:docPr descr="Рисунок 3. Финальная численность моллюсков (живых и мертвых) в садках трех типов." title="" id="46" name="Picture"/>
            <a:graphic>
              <a:graphicData uri="http://schemas.openxmlformats.org/drawingml/2006/picture">
                <pic:pic>
                  <pic:nvPicPr>
                    <pic:cNvPr descr="Belyayeva_2024_files/figure-docx/рисунок_финальная_численность-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3. Финальная численность моллюсков (живых и мертвых) в садках трех типов.</w:t>
      </w:r>
    </w:p>
    <w:p>
      <w:pPr>
        <w:pStyle w:val="3"/>
      </w:pPr>
      <w:r>
        <w:t xml:space="preserve"> </w:t>
      </w:r>
    </w:p>
    <w:p>
      <w:pPr>
        <w:pStyle w:val="3"/>
      </w:pPr>
      <w:r>
        <w:t xml:space="preserve">На рисунке 4 приведена зависимость биомассы морских звезд от типа садка (тип садка определяется долей 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pPr>
        <w:pStyle w:val="34"/>
      </w:pPr>
      <w:r>
        <w:drawing>
          <wp:inline>
            <wp:extent cx="4620126" cy="3696101"/>
            <wp:effectExtent b="0" l="0" r="0" t="0"/>
            <wp:docPr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title="" id="49" name="Picture"/>
            <a:graphic>
              <a:graphicData uri="http://schemas.openxmlformats.org/drawingml/2006/picture">
                <pic:pic>
                  <pic:nvPicPr>
                    <pic:cNvPr descr="Belyayeva_2024_files/figure-docx/рисунок_биомасса_звезд-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pPr>
        <w:pStyle w:val="3"/>
      </w:pPr>
      <w:r>
        <w:t xml:space="preserve"> </w:t>
      </w:r>
    </w:p>
    <w:p>
      <w:pPr>
        <w:pStyle w:val="3"/>
      </w:pPr>
      <w:r>
        <w:t xml:space="preserve">Доля мертвых моллюсков, обнаруженных в садках после окончания эксперимента находилась в явной положительной зависимости от биомассы звезд (Рис. 5).</w:t>
      </w:r>
    </w:p>
    <w:p>
      <w:pPr>
        <w:pStyle w:val="34"/>
      </w:pPr>
      <w:r>
        <w:drawing>
          <wp:inline>
            <wp:extent cx="4620126" cy="3696101"/>
            <wp:effectExtent b="0" l="0" r="0" t="0"/>
            <wp:docPr descr="Рисунок 5. Зависимость между долей съеденных моллюсков (Prop_T) и биомассой морских звезд (B)." title="" id="52" name="Picture"/>
            <a:graphic>
              <a:graphicData uri="http://schemas.openxmlformats.org/drawingml/2006/picture">
                <pic:pic>
                  <pic:nvPicPr>
                    <pic:cNvPr descr="Belyayeva_2024_files/figure-docx/рисунок_биомасса_зыезд_доля_мертвых-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5. Зависимость между долей съеденных моллюсков (Prop_T) и биомассой морских звезд (B).</w:t>
      </w:r>
    </w:p>
    <w:p>
      <w:pPr>
        <w:pStyle w:val="3"/>
      </w:pPr>
      <w:r>
        <w:t xml:space="preserve"> </w:t>
      </w:r>
    </w:p>
    <w:p>
      <w:pPr>
        <w:pStyle w:val="3"/>
      </w:pPr>
      <w:r>
        <w:t xml:space="preserve">Моделирование зависимости между вероятностью быть съеденной и таксономической структурой (Prop_T), размером моллюска (L) и финальной численностью мидий в садках (N), выявило статистически значимую связь вероятности гибели мидий со всеми изученным предикторами (Табл. 1).</w:t>
      </w:r>
    </w:p>
    <w:p>
      <w:pPr>
        <w:pStyle w:val="3"/>
      </w:pPr>
      <w:r>
        <w:t xml:space="preserve"> </w:t>
      </w:r>
    </w:p>
    <w:p>
      <w:pPr>
        <w:pStyle w:val="32"/>
      </w:pPr>
      <w:r>
        <w:t xml:space="preserve">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w:t>
      </w:r>
    </w:p>
    <w:tbl>
      <w:tblPr>
        <w:tblStyle w:val="Table"/>
        <w:tblW w:type="auto" w:w="0"/>
        <w:tblLook w:firstRow="1" w:lastRow="0" w:firstColumn="0" w:lastColumn="0" w:noHBand="0" w:noVBand="0" w:val="0020"/>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Pr>
      <w:tblGrid>
        <w:gridCol w:w="1584"/>
        <w:gridCol w:w="1584"/>
        <w:gridCol w:w="1584"/>
        <w:gridCol w:w="1584"/>
        <w:gridCol w:w="1584"/>
      </w:tblGrid>
      <w:tr>
        <w:trPr>
          <w:tblHeader w:val="on"/>
        </w:trPr>
        <w:tc>
          <w:tcPr/>
          <w:p>
            <w:pPr>
              <w:pStyle w:val="25"/>
              <w:jc w:val="left"/>
            </w:pPr>
            <w:r>
              <w:t xml:space="preserve">term</w:t>
            </w:r>
          </w:p>
        </w:tc>
        <w:tc>
          <w:tcPr/>
          <w:p>
            <w:pPr>
              <w:pStyle w:val="25"/>
              <w:jc w:val="right"/>
            </w:pPr>
            <w:r>
              <w:t xml:space="preserve">edf</w:t>
            </w:r>
          </w:p>
        </w:tc>
        <w:tc>
          <w:tcPr/>
          <w:p>
            <w:pPr>
              <w:pStyle w:val="25"/>
              <w:jc w:val="right"/>
            </w:pPr>
            <w:r>
              <w:t xml:space="preserve">ref.df</w:t>
            </w:r>
          </w:p>
        </w:tc>
        <w:tc>
          <w:tcPr/>
          <w:p>
            <w:pPr>
              <w:pStyle w:val="25"/>
              <w:jc w:val="right"/>
            </w:pPr>
            <w:r>
              <w:t xml:space="preserve">statistic</w:t>
            </w:r>
          </w:p>
        </w:tc>
        <w:tc>
          <w:tcPr/>
          <w:p>
            <w:pPr>
              <w:pStyle w:val="25"/>
              <w:jc w:val="right"/>
            </w:pPr>
            <w:r>
              <w:t xml:space="preserve">p.value</w:t>
            </w:r>
          </w:p>
        </w:tc>
      </w:tr>
      <w:tr>
        <w:tc>
          <w:tcPr/>
          <w:p>
            <w:pPr>
              <w:pStyle w:val="25"/>
              <w:jc w:val="left"/>
            </w:pPr>
            <w:r>
              <w:t xml:space="preserve">s(Prop_T)</w:t>
            </w:r>
          </w:p>
        </w:tc>
        <w:tc>
          <w:tcPr/>
          <w:p>
            <w:pPr>
              <w:pStyle w:val="25"/>
              <w:jc w:val="right"/>
            </w:pPr>
            <w:r>
              <w:t xml:space="preserve">3.118698</w:t>
            </w:r>
          </w:p>
        </w:tc>
        <w:tc>
          <w:tcPr/>
          <w:p>
            <w:pPr>
              <w:pStyle w:val="25"/>
              <w:jc w:val="right"/>
            </w:pPr>
            <w:r>
              <w:t xml:space="preserve">4.000000</w:t>
            </w:r>
          </w:p>
        </w:tc>
        <w:tc>
          <w:tcPr/>
          <w:p>
            <w:pPr>
              <w:pStyle w:val="25"/>
              <w:jc w:val="right"/>
            </w:pPr>
            <w:r>
              <w:t xml:space="preserve">47.14498</w:t>
            </w:r>
          </w:p>
        </w:tc>
        <w:tc>
          <w:tcPr/>
          <w:p>
            <w:pPr>
              <w:pStyle w:val="25"/>
              <w:jc w:val="right"/>
            </w:pPr>
            <w:r>
              <w:t xml:space="preserve">0.00e+00</w:t>
            </w:r>
          </w:p>
        </w:tc>
      </w:tr>
      <w:tr>
        <w:tc>
          <w:tcPr/>
          <w:p>
            <w:pPr>
              <w:pStyle w:val="25"/>
              <w:jc w:val="left"/>
            </w:pPr>
            <w:r>
              <w:t xml:space="preserve">s(Size)</w:t>
            </w:r>
          </w:p>
        </w:tc>
        <w:tc>
          <w:tcPr/>
          <w:p>
            <w:pPr>
              <w:pStyle w:val="25"/>
              <w:jc w:val="right"/>
            </w:pPr>
            <w:r>
              <w:t xml:space="preserve">1.000412</w:t>
            </w:r>
          </w:p>
        </w:tc>
        <w:tc>
          <w:tcPr/>
          <w:p>
            <w:pPr>
              <w:pStyle w:val="25"/>
              <w:jc w:val="right"/>
            </w:pPr>
            <w:r>
              <w:t xml:space="preserve">1.000824</w:t>
            </w:r>
          </w:p>
        </w:tc>
        <w:tc>
          <w:tcPr/>
          <w:p>
            <w:pPr>
              <w:pStyle w:val="25"/>
              <w:jc w:val="right"/>
            </w:pPr>
            <w:r>
              <w:t xml:space="preserve">34.08030</w:t>
            </w:r>
          </w:p>
        </w:tc>
        <w:tc>
          <w:tcPr/>
          <w:p>
            <w:pPr>
              <w:pStyle w:val="25"/>
              <w:jc w:val="right"/>
            </w:pPr>
            <w:r>
              <w:t xml:space="preserve">0.00e+00</w:t>
            </w:r>
          </w:p>
        </w:tc>
      </w:tr>
      <w:tr>
        <w:tc>
          <w:tcPr/>
          <w:p>
            <w:pPr>
              <w:pStyle w:val="25"/>
              <w:jc w:val="left"/>
            </w:pPr>
            <w:r>
              <w:t xml:space="preserve">s(N)</w:t>
            </w:r>
          </w:p>
        </w:tc>
        <w:tc>
          <w:tcPr/>
          <w:p>
            <w:pPr>
              <w:pStyle w:val="25"/>
              <w:jc w:val="right"/>
            </w:pPr>
            <w:r>
              <w:t xml:space="preserve">3.112971</w:t>
            </w:r>
          </w:p>
        </w:tc>
        <w:tc>
          <w:tcPr/>
          <w:p>
            <w:pPr>
              <w:pStyle w:val="25"/>
              <w:jc w:val="right"/>
            </w:pPr>
            <w:r>
              <w:t xml:space="preserve">3.844476</w:t>
            </w:r>
          </w:p>
        </w:tc>
        <w:tc>
          <w:tcPr/>
          <w:p>
            <w:pPr>
              <w:pStyle w:val="25"/>
              <w:jc w:val="right"/>
            </w:pPr>
            <w:r>
              <w:t xml:space="preserve">26.00789</w:t>
            </w:r>
          </w:p>
        </w:tc>
        <w:tc>
          <w:tcPr/>
          <w:p>
            <w:pPr>
              <w:pStyle w:val="25"/>
              <w:jc w:val="right"/>
            </w:pPr>
            <w:r>
              <w:t xml:space="preserve">3.71e-05</w:t>
            </w:r>
          </w:p>
        </w:tc>
      </w:tr>
    </w:tbl>
    <w:p>
      <w:pPr>
        <w:pStyle w:val="3"/>
      </w:pPr>
      <w:r>
        <w:t xml:space="preserve"> </w:t>
      </w:r>
    </w:p>
    <w:p>
      <w:pPr>
        <w:pStyle w:val="3"/>
      </w:pPr>
      <w:r>
        <w:t xml:space="preserve">Данные, приведенные в таблице 1 позволяют заметить, что связь между вероятностью гибели носит криволинейный характер в случае влияния Prop_T и N (параметр edf &gt; 1).</w:t>
      </w:r>
    </w:p>
    <w:p>
      <w:pPr>
        <w:pStyle w:val="34"/>
      </w:pPr>
      <w:r>
        <w:drawing>
          <wp:inline>
            <wp:extent cx="6146800" cy="2731911"/>
            <wp:effectExtent b="0" l="0" r="0" t="0"/>
            <wp:docPr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title="" id="55" name="Picture"/>
            <a:graphic>
              <a:graphicData uri="http://schemas.openxmlformats.org/drawingml/2006/picture">
                <pic:pic>
                  <pic:nvPicPr>
                    <pic:cNvPr descr="Belyayeva_2024_files/figure-docx/unnamed-chunk-3-1.png" id="56" name="Picture"/>
                    <pic:cNvPicPr>
                      <a:picLocks noChangeArrowheads="1" noChangeAspect="1"/>
                    </pic:cNvPicPr>
                  </pic:nvPicPr>
                  <pic:blipFill>
                    <a:blip r:embed="rId54"/>
                    <a:stretch>
                      <a:fillRect/>
                    </a:stretch>
                  </pic:blipFill>
                  <pic:spPr bwMode="auto">
                    <a:xfrm>
                      <a:off x="0" y="0"/>
                      <a:ext cx="6146800" cy="2731911"/>
                    </a:xfrm>
                    <a:prstGeom prst="rect">
                      <a:avLst/>
                    </a:prstGeom>
                    <a:noFill/>
                    <a:ln w="9525">
                      <a:noFill/>
                      <a:headEnd/>
                      <a:tailEnd/>
                    </a:ln>
                  </pic:spPr>
                </pic:pic>
              </a:graphicData>
            </a:graphic>
          </wp:inline>
        </w:drawing>
      </w:r>
    </w:p>
    <w:p>
      <w:pPr>
        <w:pStyle w:val="23"/>
      </w:pPr>
      <w:r>
        <w:t xml:space="preserve">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w:t>
      </w:r>
    </w:p>
    <w:p>
      <w:pPr>
        <w:pStyle w:val="3"/>
      </w:pPr>
      <w:r>
        <w:t xml:space="preserve"> </w:t>
      </w:r>
    </w:p>
    <w:p>
      <w:pPr>
        <w:pStyle w:val="3"/>
      </w:pPr>
      <w:r>
        <w:t xml:space="preserve">Рисунок 6 отображает зависимость веротяности гибели от таксономического состава поселения (доля Т-морфотипа, Prop_T).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E-морфотипа (низкое значение Prop_T) или T-морфотипа (высокое значение Prop_T) вероятность гибели существенно ниже.</w:t>
      </w:r>
    </w:p>
    <w:p>
      <w:pPr>
        <w:pStyle w:val="3"/>
      </w:pPr>
      <w:r>
        <w:t xml:space="preserve">Зависимость доли мертвых мидий от их размера (рис. 6) линейна (edf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pPr>
        <w:pStyle w:val="3"/>
      </w:pPr>
      <w:r>
        <w:t xml:space="preserve">Связь доли мертвых мидий c финальной численностью моллюсков (N) отображена на рисунке 6. Максимальная доля мертвых приходится на садки со средним количеством мидий. При увеличении или уменьшении количества мидий в садке вероятность быть съеденной падает.</w:t>
      </w:r>
    </w:p>
    <w:bookmarkEnd w:id="57"/>
    <w:bookmarkStart w:id="58" w:name="обсуждение"/>
    <w:p>
      <w:pPr>
        <w:pStyle w:val="2"/>
      </w:pPr>
      <w:r>
        <w:t xml:space="preserve">Обсуждение</w:t>
      </w:r>
    </w:p>
    <w:p>
      <w:pPr>
        <w:pStyle w:val="24"/>
      </w:pPr>
      <w:r>
        <w:t xml:space="preserve">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w:t>
      </w:r>
      <w:r>
        <w:t xml:space="preserve"> </w:t>
      </w:r>
      <w:r>
        <w:t xml:space="preserve">(Макарычева 2015; Vadim Khaitov et al. 2021)</w:t>
      </w:r>
      <w:r>
        <w:t xml:space="preserve">. Вероятно, это связанно с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pPr>
        <w:pStyle w:val="3"/>
      </w:pPr>
      <w:r>
        <w:t xml:space="preserve">Еще одна связь, найденная в нашей работе, (про финальную численность) это зависимость вероятности быть съеденной от количества мидий в садке. В предыдущие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Можно предположить, что это также связано с моделью оптимального фуражирования: сраднего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pPr>
        <w:pStyle w:val="3"/>
      </w:pPr>
      <w:r>
        <w:t xml:space="preserve">Последняя группа результатов данной работы подтверждает гипотезу, выдвинутую в работе</w:t>
      </w:r>
      <w:r>
        <w:t xml:space="preserve"> </w:t>
      </w:r>
      <w:r>
        <w:t xml:space="preserve">(VM Khaitov et al. 2023; Макарычева 2016)</w:t>
      </w:r>
      <w:r>
        <w:t xml:space="preserve">: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w:t>
      </w:r>
      <w:r>
        <w:t xml:space="preserve"> </w:t>
      </w:r>
      <w:r>
        <w:t xml:space="preserve">(VM Khaitov et al. 2023)</w:t>
      </w:r>
      <w:r>
        <w:t xml:space="preserve">. Такая корреляция имеет вполне очевидные биологические механизмы: чем больше обилие хищников, тем выше вероятность быть съеденными для жертв.</w:t>
      </w:r>
    </w:p>
    <w:p>
      <w:pPr>
        <w:pStyle w:val="3"/>
      </w:pPr>
      <w:r>
        <w:t xml:space="preserve">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w:t>
      </w:r>
      <w:r>
        <w:t xml:space="preserve"> </w:t>
      </w:r>
      <w:r>
        <w:t xml:space="preserve">(Dolmer 1998)</w:t>
      </w:r>
      <w:r>
        <w:t xml:space="preserve">. Было показано, что при формировании поселений</w:t>
      </w:r>
      <w:r>
        <w:t xml:space="preserve"> </w:t>
      </w:r>
      <w:r>
        <w:rPr>
          <w:i/>
          <w:iCs/>
        </w:rPr>
        <w:t xml:space="preserve">M.trossulus</w:t>
      </w:r>
      <w:r>
        <w:t xml:space="preserve"> </w:t>
      </w:r>
      <w:r>
        <w:t xml:space="preserve">предпочитает покрепче прикрепиться к донному субстрату,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 (Хайтов и др., 2024). Возможно именно этим и объясняется более интенсивная убыль моллюсков в садках типа</w:t>
      </w:r>
      <w:r>
        <w:t xml:space="preserve"> </w:t>
      </w:r>
      <w:r>
        <w:t xml:space="preserve">“</w:t>
      </w:r>
      <w:r>
        <w:t xml:space="preserve">80E</w:t>
      </w:r>
      <w:r>
        <w:t xml:space="preserve">”</w:t>
      </w:r>
      <w:r>
        <w:t xml:space="preserve"> </w:t>
      </w:r>
      <w:r>
        <w:t xml:space="preserve">вследствие волнового воздействия, которую мы наблюдали. Меньше всего волны выбили мидий из садков типа</w:t>
      </w:r>
      <w:r>
        <w:t xml:space="preserve"> </w:t>
      </w:r>
      <w:r>
        <w:t xml:space="preserve">“</w:t>
      </w:r>
      <w:r>
        <w:t xml:space="preserve">80T</w:t>
      </w:r>
      <w:r>
        <w:t xml:space="preserve">”</w:t>
      </w:r>
      <w:r>
        <w:t xml:space="preserve">, возможно за счет того, что</w:t>
      </w:r>
      <w:r>
        <w:t xml:space="preserve"> </w:t>
      </w:r>
      <w:r>
        <w:rPr>
          <w:i/>
          <w:iCs/>
        </w:rPr>
        <w:t xml:space="preserve">M.trossulus</w:t>
      </w:r>
      <w:r>
        <w:t xml:space="preserve">, в основном представляющие данный тип садков, плотно крепятся ко дну садка и волнами их не отрывает, а</w:t>
      </w:r>
      <w:r>
        <w:t xml:space="preserve"> </w:t>
      </w:r>
      <w:r>
        <w:rPr>
          <w:i/>
          <w:iCs/>
        </w:rPr>
        <w:t xml:space="preserve">M.edulis</w:t>
      </w:r>
      <w:r>
        <w:t xml:space="preserve"> </w:t>
      </w:r>
      <w:r>
        <w:t xml:space="preserve">крепятся друг к другу и очень слабо ко дну садка, следовательно, такие друзы легко отрываются и выносятся.</w:t>
      </w:r>
    </w:p>
    <w:p>
      <w:pPr>
        <w:pStyle w:val="3"/>
      </w:pPr>
      <w:r>
        <w:t xml:space="preserve">Таким образом, при попытке формировании агрегаций из двух видов поселения получаются более</w:t>
      </w:r>
      <w:r>
        <w:t xml:space="preserve"> </w:t>
      </w:r>
      <w:r>
        <w:t xml:space="preserve">“</w:t>
      </w:r>
      <w:r>
        <w:t xml:space="preserve">пористыми</w:t>
      </w:r>
      <w:r>
        <w:t xml:space="preserve">”</w:t>
      </w:r>
      <w:r>
        <w:t xml:space="preserve">, мидии менее плотно прилегают друг к другу, что снижает время, затраченное морскими звездами на добычу 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w:t>
      </w:r>
    </w:p>
    <w:bookmarkEnd w:id="58"/>
    <w:bookmarkStart w:id="59" w:name="благодарности"/>
    <w:p>
      <w:pPr>
        <w:pStyle w:val="2"/>
      </w:pPr>
      <w:r>
        <w:t xml:space="preserve">Благодарности</w:t>
      </w:r>
    </w:p>
    <w:p>
      <w:pPr>
        <w:pStyle w:val="24"/>
      </w:pPr>
      <w:r>
        <w:t xml:space="preserve">Я выражаю огромную благодарность моему научному руководителю В. М. Хайтову, всем участникам LIX Беломорской экспедиции, А. Е. Горных, а так же сотрудникам Кандалакшского заповедника за неоценимую помощь и поддержку на всех этапах работы.</w:t>
      </w:r>
    </w:p>
    <w:bookmarkEnd w:id="59"/>
    <w:bookmarkStart w:id="79" w:name="литература"/>
    <w:p>
      <w:pPr>
        <w:pStyle w:val="2"/>
      </w:pPr>
      <w:r>
        <w:t xml:space="preserve">Литература</w:t>
      </w:r>
    </w:p>
    <w:bookmarkStart w:id="78" w:name="refs"/>
    <w:bookmarkStart w:id="60" w:name="ref-beaumont2008three"/>
    <w:p>
      <w:pPr>
        <w:pStyle w:val="28"/>
      </w:pPr>
      <w:r>
        <w:t xml:space="preserve">Beaumont, Andy R, Marie P Hawkins, Fiona L Doig, Ian M Davies, and Michael Snow. 2008.</w:t>
      </w:r>
      <w:r>
        <w:t xml:space="preserve"> </w:t>
      </w:r>
      <w:r>
        <w:t xml:space="preserve">“Three Species of Mytilus and Their Hybrids Identified in a Scottish Loch: Natives, Relicts and Invaders?”</w:t>
      </w:r>
      <w:r>
        <w:t xml:space="preserve"> </w:t>
      </w:r>
      <w:r>
        <w:rPr>
          <w:i/>
          <w:iCs/>
        </w:rPr>
        <w:t xml:space="preserve">Journal of Experimental Marine Biology and Ecology</w:t>
      </w:r>
      <w:r>
        <w:t xml:space="preserve"> </w:t>
      </w:r>
      <w:r>
        <w:t xml:space="preserve">367 (2): 100–110.</w:t>
      </w:r>
    </w:p>
    <w:bookmarkEnd w:id="60"/>
    <w:bookmarkStart w:id="61" w:name="ref-dolmer1998interactions"/>
    <w:p>
      <w:pPr>
        <w:pStyle w:val="28"/>
      </w:pPr>
      <w:r>
        <w:t xml:space="preserve">Dolmer, Per. 1998.</w:t>
      </w:r>
      <w:r>
        <w:t xml:space="preserve"> </w:t>
      </w:r>
      <w:r>
        <w:t xml:space="preserve">“The Interactions Between Bed Structure of Mytilus Edulis l. And the Predator Asterias Rubens l.”</w:t>
      </w:r>
      <w:r>
        <w:t xml:space="preserve"> </w:t>
      </w:r>
      <w:r>
        <w:rPr>
          <w:i/>
          <w:iCs/>
        </w:rPr>
        <w:t xml:space="preserve">Journal of Experimental Marine Biology and Ecology</w:t>
      </w:r>
      <w:r>
        <w:t xml:space="preserve"> </w:t>
      </w:r>
      <w:r>
        <w:t xml:space="preserve">228 (1): 137–50.</w:t>
      </w:r>
    </w:p>
    <w:bookmarkEnd w:id="61"/>
    <w:bookmarkStart w:id="62" w:name="ref-fassler2008phylogenetically"/>
    <w:p>
      <w:pPr>
        <w:pStyle w:val="28"/>
      </w:pPr>
      <w:r>
        <w:t xml:space="preserve">Fässler, Sascha MM, and Michel J Kaiser. 2008.</w:t>
      </w:r>
      <w:r>
        <w:t xml:space="preserve"> </w:t>
      </w:r>
      <w:r>
        <w:t xml:space="preserve">“Phylogenetically Mediated Anti-Predator Responses in Bivalve Molluscs.”</w:t>
      </w:r>
      <w:r>
        <w:t xml:space="preserve"> </w:t>
      </w:r>
      <w:r>
        <w:rPr>
          <w:i/>
          <w:iCs/>
        </w:rPr>
        <w:t xml:space="preserve">Marine Ecology Progress Series</w:t>
      </w:r>
      <w:r>
        <w:t xml:space="preserve"> </w:t>
      </w:r>
      <w:r>
        <w:t xml:space="preserve">363: 217–25.</w:t>
      </w:r>
    </w:p>
    <w:bookmarkEnd w:id="62"/>
    <w:bookmarkStart w:id="63" w:name="ref-khaitov2021species"/>
    <w:p>
      <w:pPr>
        <w:pStyle w:val="28"/>
      </w:pPr>
      <w:r>
        <w:t xml:space="preserve">Khaitov, Vadim, Julia Marchenko, Marina Katolikova, Risto Väinölä, Sarah E Kingston, David B Carlon, Michael Gantsevich, and Petr Strelkov. 2021.</w:t>
      </w:r>
      <w:r>
        <w:t xml:space="preserve"> </w:t>
      </w:r>
      <w:r>
        <w:t xml:space="preserve">“Species Identification Based on a Semi-Diagnostic Marker: Evaluation of a Simple Conchological Test for Distinguishing Blue Mussels Mytilus Edulis l. And m. Trossulus Gould.”</w:t>
      </w:r>
      <w:r>
        <w:t xml:space="preserve"> </w:t>
      </w:r>
      <w:r>
        <w:rPr>
          <w:i/>
          <w:iCs/>
        </w:rPr>
        <w:t xml:space="preserve">Plos One</w:t>
      </w:r>
      <w:r>
        <w:t xml:space="preserve"> </w:t>
      </w:r>
      <w:r>
        <w:t xml:space="preserve">16 (7): e0249587.</w:t>
      </w:r>
    </w:p>
    <w:bookmarkEnd w:id="63"/>
    <w:bookmarkStart w:id="64" w:name="ref-khaitov2023predators"/>
    <w:p>
      <w:pPr>
        <w:pStyle w:val="28"/>
      </w:pPr>
      <w:r>
        <w:t xml:space="preserve">Khaitov, VM, AY Makarycheva, RB Nematova, and AI Evdokimova. 2023.</w:t>
      </w:r>
      <w:r>
        <w:t xml:space="preserve"> </w:t>
      </w:r>
      <w:r>
        <w:t xml:space="preserve">“Predators Regulate the Taxonomic Structure of Mixed Mytilus Edulis l. And m. Trossulus Gould Settlements in the Shallow Waters of the White Sea.”</w:t>
      </w:r>
      <w:r>
        <w:t xml:space="preserve"> </w:t>
      </w:r>
      <w:r>
        <w:rPr>
          <w:i/>
          <w:iCs/>
        </w:rPr>
        <w:t xml:space="preserve">Proceedings of the Zoological Institute RAS</w:t>
      </w:r>
      <w:r>
        <w:t xml:space="preserve"> </w:t>
      </w:r>
      <w:r>
        <w:t xml:space="preserve">327 (1): 8–24.</w:t>
      </w:r>
    </w:p>
    <w:bookmarkEnd w:id="64"/>
    <w:bookmarkStart w:id="65" w:name="ref-lowen2013predator"/>
    <w:p>
      <w:pPr>
        <w:pStyle w:val="28"/>
      </w:pPr>
      <w:r>
        <w:t xml:space="preserve">Lowen, JB, DJ Innes, and RJ Thompson. 2013.</w:t>
      </w:r>
      <w:r>
        <w:t xml:space="preserve"> </w:t>
      </w:r>
      <w:r>
        <w:t xml:space="preserve">“Predator-Induced Defenses Differ Between Sympatric Mytilus Edulis and m. Trossulus.”</w:t>
      </w:r>
      <w:r>
        <w:t xml:space="preserve"> </w:t>
      </w:r>
      <w:r>
        <w:rPr>
          <w:i/>
          <w:iCs/>
        </w:rPr>
        <w:t xml:space="preserve">Marine Ecology Progress Series</w:t>
      </w:r>
      <w:r>
        <w:t xml:space="preserve"> </w:t>
      </w:r>
      <w:r>
        <w:t xml:space="preserve">475: 135–43.</w:t>
      </w:r>
    </w:p>
    <w:bookmarkEnd w:id="65"/>
    <w:bookmarkStart w:id="67" w:name="ref-Rlanguage"/>
    <w:p>
      <w:pPr>
        <w:pStyle w:val="28"/>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66">
        <w:r>
          <w:rPr>
            <w:rStyle w:val="17"/>
          </w:rPr>
          <w:t xml:space="preserve">https://www.R-project.org/</w:t>
        </w:r>
      </w:hyperlink>
      <w:r>
        <w:t xml:space="preserve">.</w:t>
      </w:r>
    </w:p>
    <w:bookmarkEnd w:id="67"/>
    <w:bookmarkStart w:id="68" w:name="ref-riginos2005invited"/>
    <w:p>
      <w:pPr>
        <w:pStyle w:val="28"/>
      </w:pPr>
      <w:r>
        <w:t xml:space="preserve">Riginos, Cynthia, and Clifford W Cunningham. 2005.</w:t>
      </w:r>
      <w:r>
        <w:t xml:space="preserve"> </w:t>
      </w:r>
      <w:r>
        <w:t xml:space="preserve">“Invited Review: Local Adaptation and Species Segregation in Two Mussel (Mytilus Edulis</w:t>
      </w:r>
      <m:oMath>
        <m:r>
          <m:rPr>
            <m:sty m:val="p"/>
          </m:rPr>
          <m:t>×</m:t>
        </m:r>
      </m:oMath>
      <w:r>
        <w:t xml:space="preserve"> </w:t>
      </w:r>
      <w:r>
        <w:t xml:space="preserve">Mytilus Trossulus) Hybrid Zones.”</w:t>
      </w:r>
      <w:r>
        <w:t xml:space="preserve"> </w:t>
      </w:r>
      <w:r>
        <w:rPr>
          <w:i/>
          <w:iCs/>
        </w:rPr>
        <w:t xml:space="preserve">Molecular Ecology</w:t>
      </w:r>
      <w:r>
        <w:t xml:space="preserve"> </w:t>
      </w:r>
      <w:r>
        <w:t xml:space="preserve">14 (2): 381–400.</w:t>
      </w:r>
    </w:p>
    <w:bookmarkEnd w:id="68"/>
    <w:bookmarkStart w:id="69" w:name="ref-smith2000induced"/>
    <w:p>
      <w:pPr>
        <w:pStyle w:val="28"/>
      </w:pPr>
      <w:r>
        <w:t xml:space="preserve">Smith, LD, and JA Jennings. 2000.</w:t>
      </w:r>
      <w:r>
        <w:t xml:space="preserve"> </w:t>
      </w:r>
      <w:r>
        <w:t xml:space="preserve">“Induced Defensive Responses by the Bivalve Mytilus Edulis to Predators with Different Attack Modes.”</w:t>
      </w:r>
      <w:r>
        <w:t xml:space="preserve"> </w:t>
      </w:r>
      <w:r>
        <w:rPr>
          <w:i/>
          <w:iCs/>
        </w:rPr>
        <w:t xml:space="preserve">Marine Biology</w:t>
      </w:r>
      <w:r>
        <w:t xml:space="preserve"> </w:t>
      </w:r>
      <w:r>
        <w:t xml:space="preserve">136: 461–69.</w:t>
      </w:r>
    </w:p>
    <w:bookmarkEnd w:id="69"/>
    <w:bookmarkStart w:id="70" w:name="ref-smith_15_10"/>
    <w:p>
      <w:pPr>
        <w:pStyle w:val="28"/>
      </w:pPr>
      <w:r>
        <w:t xml:space="preserve">Smith, Robert Leo, Thomas Michael Smith, Graham C Hickman, and Susan M Hickman. 1998a.</w:t>
      </w:r>
      <w:r>
        <w:t xml:space="preserve"> </w:t>
      </w:r>
      <w:r>
        <w:t xml:space="preserve">“</w:t>
      </w:r>
      <w:r>
        <w:t xml:space="preserve">Animal Prey Have Evolved Defenses against Predators</w:t>
      </w:r>
      <w:r>
        <w:t xml:space="preserve">.”</w:t>
      </w:r>
      <w:r>
        <w:t xml:space="preserve"> </w:t>
      </w:r>
      <w:r>
        <w:t xml:space="preserve">In</w:t>
      </w:r>
      <w:r>
        <w:t xml:space="preserve"> </w:t>
      </w:r>
      <w:r>
        <w:rPr>
          <w:i/>
          <w:iCs/>
        </w:rPr>
        <w:t xml:space="preserve">Elements of Ecology</w:t>
      </w:r>
      <w:r>
        <w:t xml:space="preserve">, 285–88. Benjamin Cummings Menlo Parie, CA.</w:t>
      </w:r>
    </w:p>
    <w:bookmarkEnd w:id="70"/>
    <w:bookmarkStart w:id="71" w:name="ref-smith_15_6"/>
    <w:p>
      <w:pPr>
        <w:pStyle w:val="28"/>
      </w:pPr>
      <w:r>
        <w:t xml:space="preserve">———. 1998b.</w:t>
      </w:r>
      <w:r>
        <w:t xml:space="preserve"> </w:t>
      </w:r>
      <w:r>
        <w:t xml:space="preserve">“</w:t>
      </w:r>
      <w:r>
        <w:t xml:space="preserve">Foraging Involves Decision about the Allocation of Time and Energy</w:t>
      </w:r>
      <w:r>
        <w:t xml:space="preserve">.”</w:t>
      </w:r>
      <w:r>
        <w:t xml:space="preserve"> </w:t>
      </w:r>
      <w:r>
        <w:t xml:space="preserve">In</w:t>
      </w:r>
      <w:r>
        <w:t xml:space="preserve"> </w:t>
      </w:r>
      <w:r>
        <w:rPr>
          <w:i/>
          <w:iCs/>
        </w:rPr>
        <w:t xml:space="preserve">Elements of Ecology</w:t>
      </w:r>
      <w:r>
        <w:t xml:space="preserve">, 281–83. Benjamin Cummings Menlo Parie, CA.</w:t>
      </w:r>
    </w:p>
    <w:bookmarkEnd w:id="71"/>
    <w:bookmarkStart w:id="72" w:name="ref-vainola2011mytilus"/>
    <w:p>
      <w:pPr>
        <w:pStyle w:val="28"/>
      </w:pPr>
      <w:r>
        <w:t xml:space="preserve">Väinölä, Risto, and Petr Strelkov. 2011.</w:t>
      </w:r>
      <w:r>
        <w:t xml:space="preserve"> </w:t>
      </w:r>
      <w:r>
        <w:t xml:space="preserve">“Mytilus Trossulus in Northern Europe.”</w:t>
      </w:r>
      <w:r>
        <w:t xml:space="preserve"> </w:t>
      </w:r>
      <w:r>
        <w:rPr>
          <w:i/>
          <w:iCs/>
        </w:rPr>
        <w:t xml:space="preserve">Marine Biology</w:t>
      </w:r>
      <w:r>
        <w:t xml:space="preserve"> </w:t>
      </w:r>
      <w:r>
        <w:t xml:space="preserve">158: 817–33.</w:t>
      </w:r>
    </w:p>
    <w:bookmarkEnd w:id="72"/>
    <w:bookmarkStart w:id="73" w:name="ref-beclemichev1951classification"/>
    <w:p>
      <w:pPr>
        <w:pStyle w:val="28"/>
      </w:pPr>
      <w:r>
        <w:t xml:space="preserve">Беклемишев, ВН. 1951.</w:t>
      </w:r>
      <w:r>
        <w:t xml:space="preserve"> </w:t>
      </w:r>
      <w:r>
        <w:t xml:space="preserve">“О Классификации Биоценологических (Симфизиологических) Связей.”</w:t>
      </w:r>
      <w:r>
        <w:t xml:space="preserve"> </w:t>
      </w:r>
      <w:r>
        <w:rPr>
          <w:i/>
          <w:iCs/>
        </w:rPr>
        <w:t xml:space="preserve">Бюлл. МОИП. Отд. Биол</w:t>
      </w:r>
      <w:r>
        <w:t xml:space="preserve"> </w:t>
      </w:r>
      <w:r>
        <w:t xml:space="preserve">56 (5): 3–30.</w:t>
      </w:r>
    </w:p>
    <w:bookmarkEnd w:id="73"/>
    <w:bookmarkStart w:id="74" w:name="ref-kirillov2015"/>
    <w:p>
      <w:pPr>
        <w:pStyle w:val="28"/>
      </w:pPr>
      <w:r>
        <w:t xml:space="preserve">Кириллов, Олег. 2015.</w:t>
      </w:r>
      <w:r>
        <w:t xml:space="preserve"> </w:t>
      </w:r>
      <w:r>
        <w:t xml:space="preserve">“</w:t>
      </w:r>
      <w:r>
        <w:t xml:space="preserve">Ломкость и толщина раковин беломорских мидий</w:t>
      </w:r>
      <w:r>
        <w:t xml:space="preserve">.”</w:t>
      </w:r>
    </w:p>
    <w:bookmarkEnd w:id="74"/>
    <w:bookmarkStart w:id="75" w:name="ref-macaracheva2015"/>
    <w:p>
      <w:pPr>
        <w:pStyle w:val="28"/>
      </w:pPr>
      <w:r>
        <w:t xml:space="preserve">Макарычева, Анна. 2015.</w:t>
      </w:r>
      <w:r>
        <w:t xml:space="preserve"> </w:t>
      </w:r>
      <w:r>
        <w:t xml:space="preserve">“</w:t>
      </w:r>
      <w:r>
        <w:t xml:space="preserve">Взаимоотношения морских звезд Asterias rubens и беломорских мидий</w:t>
      </w:r>
      <w:r>
        <w:t xml:space="preserve">.”</w:t>
      </w:r>
    </w:p>
    <w:bookmarkEnd w:id="75"/>
    <w:bookmarkStart w:id="76" w:name="ref-macaracheva2016factors"/>
    <w:p>
      <w:pPr>
        <w:pStyle w:val="28"/>
      </w:pPr>
      <w:r>
        <w:t xml:space="preserve">———. 2016.</w:t>
      </w:r>
      <w:r>
        <w:t xml:space="preserve"> </w:t>
      </w:r>
      <w:r>
        <w:t xml:space="preserve">“Факторы, Влияющие На Выбор Мидий Определенного Вида, в Питании Морских Звезд Asterias Rubens.”</w:t>
      </w:r>
      <w:r>
        <w:t xml:space="preserve"> </w:t>
      </w:r>
      <w:r>
        <w:rPr>
          <w:i/>
          <w:iCs/>
        </w:rPr>
        <w:t xml:space="preserve">Депонирована в Библиотеке Лаборатории Экологии Морского Бентоса (Гидробиолигии)</w:t>
      </w:r>
      <w:r>
        <w:t xml:space="preserve">.</w:t>
      </w:r>
    </w:p>
    <w:bookmarkEnd w:id="76"/>
    <w:bookmarkStart w:id="77" w:name="ref-macaracheva2017"/>
    <w:p>
      <w:pPr>
        <w:pStyle w:val="28"/>
      </w:pPr>
      <w:r>
        <w:t xml:space="preserve">———. 2017.</w:t>
      </w:r>
      <w:r>
        <w:t xml:space="preserve"> </w:t>
      </w:r>
      <w:r>
        <w:t xml:space="preserve">“</w:t>
      </w:r>
      <w:r>
        <w:t xml:space="preserve">Взаимодействие морских звезд Asterias rubens с беломорскими мидиями Mytilus edulis и M.trossulus</w:t>
      </w:r>
      <w:r>
        <w:t xml:space="preserve">.”</w:t>
      </w:r>
    </w:p>
    <w:bookmarkEnd w:id="77"/>
    <w:bookmarkEnd w:id="78"/>
    <w:bookmarkEnd w:id="79"/>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22" Target="media/rId22.jpg" /><Relationship Type="http://schemas.openxmlformats.org/officeDocument/2006/relationships/image" Id="rId37" Target="media/rId37.png" /><Relationship Type="http://schemas.openxmlformats.org/officeDocument/2006/relationships/image" Id="rId33" Target="media/rId33.jpg" /><Relationship Type="http://schemas.openxmlformats.org/officeDocument/2006/relationships/hyperlink" Id="rId66" Target="https://www.R-project.org/" TargetMode="External" /><Relationship Type="http://schemas.openxmlformats.org/officeDocument/2006/relationships/hyperlink" Id="rId31" Target="&#1061;&#1072;&#1081;&#1090;&#1086;&#1074;%20&#1080;%20&#1076;&#1088;.,%202024" TargetMode="External" /></Relationships>
</file>

<file path=word/_rels/footnotes.xml.rels><?xml version="1.0" encoding="UTF-8"?><Relationships xmlns="http://schemas.openxmlformats.org/package/2006/relationships"><Relationship Type="http://schemas.openxmlformats.org/officeDocument/2006/relationships/hyperlink" Id="rId66" Target="https://www.R-project.org/" TargetMode="External" /><Relationship Type="http://schemas.openxmlformats.org/officeDocument/2006/relationships/hyperlink" Id="rId31" Target="&#1061;&#1072;&#1081;&#1090;&#1086;&#1074;%20&#1080;%20&#1076;&#1088;.,%2020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2025-01-21T17:12:32Z</dcterms:created>
  <dcterms:modified xsi:type="dcterms:W3CDTF">2025-01-21T17:12:32Z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editor_options">
    <vt:lpwstr/>
  </property>
  <property fmtid="{D5CDD505-2E9C-101B-9397-08002B2CF9AE}" pid="4" name="output">
    <vt:lpwstr/>
  </property>
</Properties>
</file>