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6.png" ContentType="image/png"/>
  <Override PartName="/word/media/rId31.png" ContentType="image/png"/>
  <Override PartName="/word/media/rId43.png" ContentType="image/png"/>
  <Override PartName="/word/media/rId47.png" ContentType="image/png"/>
  <Override PartName="/word/media/rId51.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4536335aade25afef844b2b4584d52d22721370"/>
    <w:p>
      <w:pPr>
        <w:pStyle w:val="1"/>
      </w:pPr>
      <w:r>
        <w:t xml:space="preserve">Разделение каких экологических ниш Littorina saxatilis и L. obtusata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29" w:name="section"/>
    <w:p>
      <w:pPr>
        <w:pStyle w:val="1"/>
      </w:pPr>
      <w:r>
        <w:t xml:space="preserve">2024</w:t>
      </w:r>
    </w:p>
    <w:p>
      <w:r>
        <w:br w:type="page"/>
      </w:r>
    </w:p>
    <w:bookmarkEnd w:id="29"/>
    <w:bookmarkStart w:id="30"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 определяет условия окружающей среды, при которых вид может выживать и размножаться называется фундаментальной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 реализованной нишей (</w:t>
      </w:r>
      <w:r>
        <w:t xml:space="preserve">Smith and Smith (2012)</w:t>
      </w:r>
      <w:r>
        <w:t xml:space="preserve">,</w:t>
      </w:r>
      <w:r>
        <w:t xml:space="preserve"> </w:t>
      </w:r>
      <w:r>
        <w:t xml:space="preserve">Hutchinson (1957)</w:t>
      </w:r>
      <w:r>
        <w:t xml:space="preserve">).</w:t>
      </w:r>
    </w:p>
    <w:p>
      <w:pPr>
        <w:pStyle w:val="a0"/>
      </w:pPr>
      <w:r>
        <w:t xml:space="preserve">Способы изменения</w:t>
      </w:r>
    </w:p>
    <w:p>
      <w:pPr>
        <w:pStyle w:val="a0"/>
      </w:pPr>
      <w:r>
        <w:t xml:space="preserve">, влияя на то, как виды сосуществуют и разделяются, используя различные ресурсы и условия окружающей среды для снижения конкуренции (</w:t>
      </w:r>
      <w:r>
        <w:t xml:space="preserve">Reyes-Puig et al. (2024)</w:t>
      </w:r>
      <w:r>
        <w:t xml:space="preserve">). Дифференциация на специфические ниши включает пространственную, трофическую, временную и/или их комбинацию (</w:t>
      </w:r>
      <w:r>
        <w:t xml:space="preserve">Guo (2012)</w:t>
      </w:r>
      <w:r>
        <w:t xml:space="preserve">).</w:t>
      </w:r>
      <w:r>
        <w:t xml:space="preserve"> </w:t>
      </w:r>
      <w:r>
        <w:t xml:space="preserve">У пресноводных улиток рода</w:t>
      </w:r>
      <w:r>
        <w:t xml:space="preserve"> </w:t>
      </w:r>
      <w:r>
        <w:rPr>
          <w:i/>
          <w:iCs/>
        </w:rPr>
        <w:t xml:space="preserve">Tylomelania</w:t>
      </w:r>
      <w:r>
        <w:t xml:space="preserve"> </w:t>
      </w:r>
      <w:r>
        <w:t xml:space="preserve">адаптивная радиация, вероятно, способствовала трофическая специализация через диверсификацию их ключевого кормового органа - радулы (</w:t>
      </w:r>
      <w:r>
        <w:t xml:space="preserve">Hilgers et al. (2022)</w:t>
      </w:r>
      <w:r>
        <w:t xml:space="preserve">).</w:t>
      </w:r>
      <w:r>
        <w:br/>
      </w:r>
      <w:r>
        <w:t xml:space="preserve">Так в работе Гуо</w:t>
      </w:r>
      <w:r>
        <w:t xml:space="preserve"> </w:t>
      </w:r>
      <w:r>
        <w:t xml:space="preserve">Guo (2012)</w:t>
      </w:r>
      <w:r>
        <w:t xml:space="preserve">, было показано, на примере бычков</w:t>
      </w:r>
      <w:r>
        <w:t xml:space="preserve"> </w:t>
      </w:r>
      <w:r>
        <w:rPr>
          <w:i/>
          <w:iCs/>
        </w:rPr>
        <w:t xml:space="preserve">Rhinogobius cliffordpopei</w:t>
      </w:r>
      <w:r>
        <w:t xml:space="preserve"> </w:t>
      </w:r>
      <w:r>
        <w:t xml:space="preserve">и</w:t>
      </w:r>
      <w:r>
        <w:t xml:space="preserve"> </w:t>
      </w:r>
      <w:r>
        <w:rPr>
          <w:i/>
          <w:iCs/>
        </w:rPr>
        <w:t xml:space="preserve">Rhinogobius giurius</w:t>
      </w:r>
      <w:r>
        <w:t xml:space="preserve">, разделение экологических ниш двумя схожими вида в пространстве, времени и пищевых объектах.</w:t>
      </w:r>
      <w:r>
        <w:t xml:space="preserve"> </w:t>
      </w:r>
      <w:r>
        <w:t xml:space="preserve">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 (</w:t>
      </w:r>
      <w:r>
        <w:t xml:space="preserve">Cooper (2024)</w:t>
      </w:r>
      <w:r>
        <w:t xml:space="preserve">).</w:t>
      </w:r>
    </w:p>
    <w:p>
      <w:pPr>
        <w:pStyle w:val="a0"/>
      </w:pPr>
      <w:r>
        <w:t xml:space="preserve">В данном исследование изучалось разделение экологических ниш между двумя вида моллюсков:</w:t>
      </w:r>
      <w:r>
        <w:t xml:space="preserve"> </w:t>
      </w:r>
      <w:r>
        <w:rPr>
          <w:i/>
          <w:iCs/>
        </w:rPr>
        <w:t xml:space="preserve">L.saxatilis</w:t>
      </w:r>
      <w:r>
        <w:t xml:space="preserve"> </w:t>
      </w:r>
      <w:r>
        <w:t xml:space="preserve">(далее саксатилис) и</w:t>
      </w:r>
      <w:r>
        <w:t xml:space="preserve"> </w:t>
      </w:r>
      <w:r>
        <w:rPr>
          <w:i/>
          <w:iCs/>
        </w:rPr>
        <w:t xml:space="preserve">L.obtusata</w:t>
      </w:r>
      <w:r>
        <w:t xml:space="preserve"> </w:t>
      </w:r>
      <w:r>
        <w:t xml:space="preserve">(далее обтузата). Понимание различий в экологических нишах между</w:t>
      </w:r>
      <w:r>
        <w:t xml:space="preserve"> </w:t>
      </w:r>
      <w:r>
        <w:rPr>
          <w:i/>
          <w:iCs/>
        </w:rPr>
        <w:t xml:space="preserve">L.saxatilis</w:t>
      </w:r>
      <w:r>
        <w:t xml:space="preserve"> </w:t>
      </w:r>
      <w:r>
        <w:t xml:space="preserve">и</w:t>
      </w:r>
      <w:r>
        <w:t xml:space="preserve"> </w:t>
      </w:r>
      <w:r>
        <w:rPr>
          <w:i/>
          <w:iCs/>
        </w:rPr>
        <w:t xml:space="preserve">L.obtusata</w:t>
      </w:r>
      <w:r>
        <w:t xml:space="preserve"> </w:t>
      </w:r>
      <w:r>
        <w:t xml:space="preserve">очень важно, поскольку оно показывает, как экологическая диверсификация смягчает межвидовую конкуренцию, способствует эффективной эксплуатации ресурсов и вносит вклад в процесс экологического видообразования в симпатрических популяциях (</w:t>
      </w:r>
      <w:r>
        <w:t xml:space="preserve">Maltseva et al. (2021)</w:t>
      </w:r>
      <w:r>
        <w:t xml:space="preserve">). Целью данной работы было оценить расхождение ареалов обитания</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и установить возможные причины такого разделения. В задачи исследования входило: определить, как в зависимости от высоты меняется процентное соотношение этих двух видов моллюсков и какие могут быть причины такого разделения экологических ниш.</w:t>
      </w:r>
    </w:p>
    <w:bookmarkEnd w:id="30"/>
    <w:bookmarkStart w:id="42" w:name="материалы-и-методика"/>
    <w:p>
      <w:pPr>
        <w:pStyle w:val="1"/>
      </w:pPr>
      <w:r>
        <w:t xml:space="preserve">Материалы и методика</w:t>
      </w:r>
    </w:p>
    <w:bookmarkStart w:id="34"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w:t>
      </w:r>
    </w:p>
    <w:p>
      <w:pPr>
        <w:pStyle w:val="CaptionedFigure"/>
      </w:pPr>
      <w:r>
        <w:drawing>
          <wp:inline>
            <wp:extent cx="6146800" cy="3911095"/>
            <wp:effectExtent b="0" l="0" r="0" t="0"/>
            <wp:docPr descr="Место сбора материалла для исследования" title="" id="32" name="Picture"/>
            <a:graphic>
              <a:graphicData uri="http://schemas.openxmlformats.org/drawingml/2006/picture">
                <pic:pic>
                  <pic:nvPicPr>
                    <pic:cNvPr descr="Figures/photo_from_satellite.png" id="33" name="Picture"/>
                    <pic:cNvPicPr>
                      <a:picLocks noChangeArrowheads="1" noChangeAspect="1"/>
                    </pic:cNvPicPr>
                  </pic:nvPicPr>
                  <pic:blipFill>
                    <a:blip r:embed="rId31"/>
                    <a:stretch>
                      <a:fillRect/>
                    </a:stretch>
                  </pic:blipFill>
                  <pic:spPr bwMode="auto">
                    <a:xfrm>
                      <a:off x="0" y="0"/>
                      <a:ext cx="6146800" cy="3911095"/>
                    </a:xfrm>
                    <a:prstGeom prst="rect">
                      <a:avLst/>
                    </a:prstGeom>
                    <a:noFill/>
                    <a:ln w="9525">
                      <a:noFill/>
                      <a:headEnd/>
                      <a:tailEnd/>
                    </a:ln>
                  </pic:spPr>
                </pic:pic>
              </a:graphicData>
            </a:graphic>
          </wp:inline>
        </w:drawing>
      </w:r>
    </w:p>
    <w:p>
      <w:pPr>
        <w:pStyle w:val="ImageCaption"/>
      </w:pPr>
      <w:r>
        <w:t xml:space="preserve">Место сбора материалла для исследования</w:t>
      </w:r>
    </w:p>
    <w:bookmarkEnd w:id="34"/>
    <w:bookmarkStart w:id="35"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число моллюсков на разных уровнях литорали. Это нужно, чтобы оценить соотношение Lo и Ls 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 Первая трансекта была поделена на двенадцать уровней. Первый уровень был отмечен колышком, находящимся на высоте 145,9 см над нулем глубин. Все последующие колышки находились на расстоянии 5 метров друг от друга. Вторая трансекта была поделена на девять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 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метровой палке.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находилиась вода на нижнем уровне трансекты (рис. +++).</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Из каждой рамки мы выбирали всех улиток. Виды улиток мы различали по форме раковин и характреу исчерченности периостракума. Моллюсков после определиня подсчитывали.</w:t>
      </w:r>
    </w:p>
    <w:bookmarkEnd w:id="35"/>
    <w:bookmarkStart w:id="39"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Таких моллюсков мы транспортировали в лабораторию, где мы их определяли до вида и помещали по одному в ячейку сорока 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w:t>
      </w:r>
    </w:p>
    <w:p>
      <w:pPr>
        <w:pStyle w:val="CaptionedFigure"/>
      </w:pPr>
      <w:r>
        <w:drawing>
          <wp:inline>
            <wp:extent cx="6146800" cy="4615833"/>
            <wp:effectExtent b="0" l="0" r="0" t="0"/>
            <wp:docPr descr="Внешний вид пеллет Littorina saxatilis" title="" id="37" name="Picture"/>
            <a:graphic>
              <a:graphicData uri="http://schemas.openxmlformats.org/drawingml/2006/picture">
                <pic:pic>
                  <pic:nvPicPr>
                    <pic:cNvPr descr="Figures/Snail&amp;Pels.png" id="38" name="Picture"/>
                    <pic:cNvPicPr>
                      <a:picLocks noChangeArrowheads="1" noChangeAspect="1"/>
                    </pic:cNvPicPr>
                  </pic:nvPicPr>
                  <pic:blipFill>
                    <a:blip r:embed="rId36"/>
                    <a:stretch>
                      <a:fillRect/>
                    </a:stretch>
                  </pic:blipFill>
                  <pic:spPr bwMode="auto">
                    <a:xfrm>
                      <a:off x="0" y="0"/>
                      <a:ext cx="6146800" cy="4615833"/>
                    </a:xfrm>
                    <a:prstGeom prst="rect">
                      <a:avLst/>
                    </a:prstGeom>
                    <a:noFill/>
                    <a:ln w="9525">
                      <a:noFill/>
                      <a:headEnd/>
                      <a:tailEnd/>
                    </a:ln>
                  </pic:spPr>
                </pic:pic>
              </a:graphicData>
            </a:graphic>
          </wp:inline>
        </w:drawing>
      </w:r>
    </w:p>
    <w:p>
      <w:pPr>
        <w:pStyle w:val="ImageCaption"/>
      </w:pPr>
      <w:r>
        <w:t xml:space="preserve">Внешний вид пеллет</w:t>
      </w:r>
      <w:r>
        <w:t xml:space="preserve"> </w:t>
      </w:r>
      <w:r>
        <w:rPr>
          <w:i/>
          <w:iCs/>
        </w:rPr>
        <w:t xml:space="preserve">Littorina saxatilis</w:t>
      </w:r>
    </w:p>
    <w:bookmarkEnd w:id="39"/>
    <w:bookmarkStart w:id="40" w:name="X75b55c15a3e846040d2f877046d7b937b5b1a3d"/>
    <w:p>
      <w:pPr>
        <w:pStyle w:val="2"/>
      </w:pPr>
      <w:r>
        <w:t xml:space="preserve">Экспериментальное изучение влияния типа субстрата на выделение пелет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 Lo были собраны с фукоидов, а Ls -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 (</w:t>
      </w:r>
      <w:r>
        <w:t xml:space="preserve">(</w:t>
      </w:r>
      <w:r>
        <w:rPr>
          <w:b/>
          <w:bCs/>
        </w:rPr>
        <w:t xml:space="preserve">бритиковэколого?</w:t>
      </w:r>
      <w:r>
        <w:t xml:space="preserve">)</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 Фкоиды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юыди помещены в садки, куда затем добавляли по 7-8 голодных особей каждого вида. Далее садки были закрыты делью с размером ячеи 4 мм и к ним были привязанны грузы. Всяконструкция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кторых вынимали моллюсков. Каждая особь далее была помещена индивидуально в ячейки сорока пяти луночного планшета. Планшеты мы помещали в приливно отливную зону на сутки. После периода экспозиции в каждой ячейке мы подсчитывали</w:t>
      </w:r>
      <w:r>
        <w:t xml:space="preserve"> </w:t>
      </w:r>
      <w:r>
        <w:t xml:space="preserve">число выделившихся фекалий.</w:t>
      </w:r>
    </w:p>
    <w:bookmarkEnd w:id="40"/>
    <w:bookmarkStart w:id="41"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 (R Core Team, 2024). В качестве порогового значения отвержения нулевой гипоетзы использовался уровень значимости α=0,05.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распределеине видов носило нелинейный характер для построения модели была выбрана техника аддитивных обобщенных моделей (GAM, +++). Подбор парамтеров модели осуществляли с помощью пакета mgcv (+++).</w:t>
      </w:r>
    </w:p>
    <w:p>
      <w:pPr>
        <w:pStyle w:val="a0"/>
      </w:pPr>
      <w:r>
        <w:t xml:space="preserve">В качестве зависимой переменной в статистическом анализе количества фекалий, выделяемых в естественных условиях мы использовали количество пеллет выделенных моллюсками. Предикторами в этом анализе были вид моллюска и тип субстрата с которого был собран моллюск.</w:t>
      </w:r>
    </w:p>
    <w:p>
      <w:pPr>
        <w:pStyle w:val="a0"/>
      </w:pPr>
      <w:r>
        <w:t xml:space="preserve">В качестве зависимой переменной в статистическом анализе экспериментального изучение влияния типа субстрата на выделение пелет мы использовали колличество пеллет. В качестве изменяемой переменной мы использовали тип субстрата, виды моллюска. Из-за плоховидимых различий в колличестве пеллет в качестве случайного фактора был взят так же номер повторности.</w:t>
      </w:r>
    </w:p>
    <w:bookmarkEnd w:id="41"/>
    <w:bookmarkEnd w:id="42"/>
    <w:bookmarkStart w:id="58" w:name="результаты"/>
    <w:p>
      <w:pPr>
        <w:pStyle w:val="1"/>
      </w:pPr>
      <w:r>
        <w:t xml:space="preserve">Результаты</w:t>
      </w:r>
    </w:p>
    <w:bookmarkStart w:id="46" w:name="X5f89927e313e262fdf2f0c91c4b3f94e77ff7bc"/>
    <w:p>
      <w:pPr>
        <w:pStyle w:val="2"/>
      </w:pPr>
      <w:r>
        <w:t xml:space="preserve">Анализ вертикального распределения видов</w:t>
      </w:r>
    </w:p>
    <w:p>
      <w:pPr>
        <w:pStyle w:val="FirstParagraph"/>
      </w:pPr>
      <w:r>
        <w:t xml:space="preserve">Рисунок +++ показывает изменение колличества моллюсков двух видов в зависимости от высоты над нулем глубин. Вертикальной линией на графиках обазначено приблизительное место окончания пояса фукоидов. На левом графике представлено логорифмическое значение от колличества</w:t>
      </w:r>
      <w:r>
        <w:t xml:space="preserve"> </w:t>
      </w:r>
      <w:r>
        <w:rPr>
          <w:i/>
          <w:iCs/>
        </w:rPr>
        <w:t xml:space="preserve">Ls</w:t>
      </w:r>
      <w:r>
        <w:t xml:space="preserve"> </w:t>
      </w:r>
      <w:r>
        <w:t xml:space="preserve">в зависимости от высоты над уровнем моря. Видно, что обилие этого вида в пределах пояса фукоидов было невелико. Вне пояса фукоидов их обилие резко возрастает и с повышением высоты оно незначительно увеличивается. На правом графике графике представлено логорифмическое значение от колличества</w:t>
      </w:r>
      <w:r>
        <w:t xml:space="preserve"> </w:t>
      </w:r>
      <w:r>
        <w:rPr>
          <w:i/>
          <w:iCs/>
        </w:rPr>
        <w:t xml:space="preserve">Lo</w:t>
      </w:r>
      <w:r>
        <w:t xml:space="preserve"> </w:t>
      </w:r>
      <w:r>
        <w:t xml:space="preserve">в зависимости от высоты над уровнем моря.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моря. После пояса фукоидов их обилие резко падает, после чего, с увеличением высоты, незначительно увеличивается.</w:t>
      </w:r>
    </w:p>
    <w:p>
      <w:pPr>
        <w:pStyle w:val="a0"/>
      </w:pPr>
      <w:r>
        <w:drawing>
          <wp:inline>
            <wp:extent cx="4620126" cy="3696101"/>
            <wp:effectExtent b="0" l="0" r="0" t="0"/>
            <wp:docPr descr="" title="" id="44"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3-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bookmarkEnd w:id="46"/>
    <w:bookmarkStart w:id="50"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Рисунок +++ показывает колличество пеллет выделенных двумя видами моллюсков собранных с двух разных субстратов в естественных условиях. На фукоидах</w:t>
      </w:r>
      <w:r>
        <w:t xml:space="preserve"> </w:t>
      </w:r>
      <w:r>
        <w:rPr>
          <w:i/>
          <w:iCs/>
        </w:rPr>
        <w:t xml:space="preserve">Lo</w:t>
      </w:r>
      <w:r>
        <w:t xml:space="preserve"> </w:t>
      </w:r>
      <w:r>
        <w:t xml:space="preserve">выделяли значимо больше фекалий чем</w:t>
      </w:r>
      <w:r>
        <w:t xml:space="preserve"> </w:t>
      </w:r>
      <w:r>
        <w:rPr>
          <w:i/>
          <w:iCs/>
        </w:rPr>
        <w:t xml:space="preserve">Ls</w:t>
      </w:r>
      <w:r>
        <w:t xml:space="preserve">.</w:t>
      </w:r>
      <w:r>
        <w:t xml:space="preserve"> </w:t>
      </w:r>
      <w:r>
        <w:rPr>
          <w:i/>
          <w:iCs/>
        </w:rPr>
        <w:t xml:space="preserve">L.saxatilis</w:t>
      </w:r>
      <w:r>
        <w:t xml:space="preserve"> </w:t>
      </w:r>
      <w:r>
        <w:t xml:space="preserve">находящиеся на субстратах выделяли значимо больше пеллет, чем представители того же вида на камнях.</w:t>
      </w:r>
    </w:p>
    <w:p>
      <w:pPr>
        <w:pStyle w:val="a0"/>
      </w:pPr>
      <w:r>
        <w:drawing>
          <wp:inline>
            <wp:extent cx="4620126" cy="3696101"/>
            <wp:effectExtent b="0" l="0" r="0" t="0"/>
            <wp:docPr descr=""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4-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bookmarkEnd w:id="50"/>
    <w:bookmarkStart w:id="57" w:name="X8c219a3a0559f29cfb8da8bc481a09fd95be9af"/>
    <w:p>
      <w:pPr>
        <w:pStyle w:val="2"/>
      </w:pPr>
      <w:r>
        <w:t xml:space="preserve">Экспериментальное изучение влияния типа субстрата на выделение пелет</w:t>
      </w:r>
    </w:p>
    <w:p>
      <w:pPr>
        <w:pStyle w:val="FirstParagraph"/>
      </w:pPr>
      <w:r>
        <w:t xml:space="preserve">Рисунок +++ показывает изменение колличества пеллет у двух видов моллюсков в зависимости от типа субстрата и вида моллюска.</w:t>
      </w:r>
      <w:r>
        <w:t xml:space="preserve"> </w:t>
      </w:r>
      <w:r>
        <w:rPr>
          <w:i/>
          <w:iCs/>
        </w:rPr>
        <w:t xml:space="preserve">Lo</w:t>
      </w:r>
      <w:r>
        <w:t xml:space="preserve"> </w:t>
      </w:r>
      <w:r>
        <w:t xml:space="preserve">находящиеся на фукоидах выделяли значимо больше пеллет, чем</w:t>
      </w:r>
      <w:r>
        <w:t xml:space="preserve"> </w:t>
      </w:r>
      <w:r>
        <w:rPr>
          <w:i/>
          <w:iCs/>
        </w:rPr>
        <w:t xml:space="preserve">Lo</w:t>
      </w:r>
      <w:r>
        <w:t xml:space="preserve"> </w:t>
      </w:r>
      <w:r>
        <w:t xml:space="preserve">собранные с камней.</w:t>
      </w:r>
      <w:r>
        <w:t xml:space="preserve"> </w:t>
      </w:r>
      <w:r>
        <w:rPr>
          <w:i/>
          <w:iCs/>
        </w:rPr>
        <w:t xml:space="preserve">Ls</w:t>
      </w:r>
      <w:r>
        <w:t xml:space="preserve"> </w:t>
      </w:r>
      <w:r>
        <w:t xml:space="preserve">собранные с камней выделяли значимо больше пеллет, чем представители того же вида на фукоидах. В то же время,</w:t>
      </w:r>
      <w:r>
        <w:t xml:space="preserve"> </w:t>
      </w:r>
      <w:r>
        <w:rPr>
          <w:i/>
          <w:iCs/>
        </w:rPr>
        <w:t xml:space="preserve">Ls</w:t>
      </w:r>
      <w:r>
        <w:t xml:space="preserve"> </w:t>
      </w:r>
      <w:r>
        <w:t xml:space="preserve">и</w:t>
      </w:r>
      <w:r>
        <w:t xml:space="preserve"> </w:t>
      </w:r>
      <w:r>
        <w:rPr>
          <w:i/>
          <w:iCs/>
        </w:rPr>
        <w:t xml:space="preserve">Lo</w:t>
      </w:r>
      <w:r>
        <w:t xml:space="preserve"> </w:t>
      </w:r>
      <w:r>
        <w:t xml:space="preserve">выделяли больше пеллет на том участке, на котором они встречались чаще всего.</w:t>
      </w:r>
    </w:p>
    <w:p>
      <w:pPr>
        <w:pStyle w:val="a0"/>
      </w:pPr>
      <w:r>
        <w:drawing>
          <wp:inline>
            <wp:extent cx="4620126" cy="3696101"/>
            <wp:effectExtent b="0" l="0" r="0" t="0"/>
            <wp:docPr descr="" title="" id="52"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5-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pStyle w:val="a0"/>
      </w:pPr>
      <w:r>
        <w:t xml:space="preserve">График на рисунке +++ показывает колличество пеллет</w:t>
      </w:r>
    </w:p>
    <w:p>
      <w:pPr>
        <w:pStyle w:val="a0"/>
      </w:pPr>
      <w:r>
        <w:drawing>
          <wp:inline>
            <wp:extent cx="4620126" cy="3696101"/>
            <wp:effectExtent b="0" l="0" r="0" t="0"/>
            <wp:docPr descr="" title="" id="55"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6-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bookmarkEnd w:id="57"/>
    <w:bookmarkEnd w:id="58"/>
    <w:bookmarkStart w:id="59" w:name="обсуждение"/>
    <w:p>
      <w:pPr>
        <w:pStyle w:val="1"/>
      </w:pPr>
      <w:r>
        <w:t xml:space="preserve">Обсуждение</w:t>
      </w:r>
    </w:p>
    <w:bookmarkEnd w:id="59"/>
    <w:bookmarkStart w:id="60" w:name="заключение"/>
    <w:p>
      <w:pPr>
        <w:pStyle w:val="1"/>
      </w:pPr>
      <w:r>
        <w:t xml:space="preserve">Заключение</w:t>
      </w:r>
    </w:p>
    <w:p>
      <w:pPr>
        <w:pStyle w:val="FirstParagraph"/>
      </w:pPr>
      <w:r>
        <w:t xml:space="preserve">Таким образом можно сказать, что соотношение саксатилис и обтузат менялось следующим образом: на более низком уровне литорали преобладали</w:t>
      </w:r>
      <w:r>
        <w:t xml:space="preserve"> </w:t>
      </w:r>
      <w:r>
        <w:rPr>
          <w:i/>
          <w:iCs/>
        </w:rPr>
        <w:t xml:space="preserve">L. obtusata</w:t>
      </w:r>
      <w:r>
        <w:t xml:space="preserve">, а после пояса фукоидов количество</w:t>
      </w:r>
      <w:r>
        <w:t xml:space="preserve"> </w:t>
      </w:r>
      <w:r>
        <w:rPr>
          <w:i/>
          <w:iCs/>
        </w:rPr>
        <w:t xml:space="preserve">L. obtusata</w:t>
      </w:r>
      <w:r>
        <w:t xml:space="preserve"> </w:t>
      </w:r>
      <w:r>
        <w:t xml:space="preserve">уменьшалось, а</w:t>
      </w:r>
      <w:r>
        <w:t xml:space="preserve"> </w:t>
      </w:r>
      <w:r>
        <w:rPr>
          <w:i/>
          <w:iCs/>
        </w:rPr>
        <w:t xml:space="preserve">L. saxatilis</w:t>
      </w:r>
      <w:r>
        <w:t xml:space="preserve">, наоборот, увеличивалось. Такое разделение может быть обусловлено тем что обтузаты, имея фундаментальное разделение ниш, преобладали в нижней зоне литорали, где находятся фукоиды. Саксатилисы имели реализованное разделение экологических ниш встречаясь массово лишь в тех местах, где количество обтузат было не велико.</w:t>
      </w:r>
    </w:p>
    <w:bookmarkEnd w:id="60"/>
    <w:bookmarkStart w:id="61"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1"/>
    <w:bookmarkStart w:id="70" w:name="список-литературы"/>
    <w:p>
      <w:pPr>
        <w:pStyle w:val="1"/>
      </w:pPr>
      <w:r>
        <w:t xml:space="preserve">Список литературы</w:t>
      </w:r>
    </w:p>
    <w:bookmarkStart w:id="69" w:name="refs"/>
    <w:bookmarkStart w:id="62" w:name="ref-cooper2024ecological"/>
    <w:p>
      <w:pPr>
        <w:pStyle w:val="a8"/>
      </w:pPr>
      <w:r>
        <w:t xml:space="preserve">Cooper, Jacob C. 2024.</w:t>
      </w:r>
      <w:r>
        <w:t xml:space="preserve"> </w:t>
      </w:r>
      <w:r>
        <w:t xml:space="preserve">“Ecological Niche Divergence or Ecological Niche Partitioning in a Widespread Neotropical Bird Lineage.”</w:t>
      </w:r>
      <w:r>
        <w:t xml:space="preserve"> </w:t>
      </w:r>
      <w:r>
        <w:rPr>
          <w:i/>
          <w:iCs/>
        </w:rPr>
        <w:t xml:space="preserve">PeerJ</w:t>
      </w:r>
      <w:r>
        <w:t xml:space="preserve"> </w:t>
      </w:r>
      <w:r>
        <w:t xml:space="preserve">12: e17345.</w:t>
      </w:r>
    </w:p>
    <w:bookmarkEnd w:id="62"/>
    <w:bookmarkStart w:id="63" w:name="ref-guo2012separation"/>
    <w:p>
      <w:pPr>
        <w:pStyle w:val="a8"/>
      </w:pPr>
      <w:r>
        <w:t xml:space="preserve">Guo, Zhiqiang. 2012.</w:t>
      </w:r>
      <w:r>
        <w:t xml:space="preserve"> </w:t>
      </w:r>
      <w:r>
        <w:t xml:space="preserve">“S</w:t>
      </w:r>
      <w:r>
        <w:t xml:space="preserve">é</w:t>
      </w:r>
      <w:r>
        <w:t xml:space="preserve">paration de Niche Entre Deux Esp</w:t>
      </w:r>
      <w:r>
        <w:t xml:space="preserve">è</w:t>
      </w:r>
      <w:r>
        <w:t xml:space="preserve">ces Invasives de Gobies.”</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63"/>
    <w:bookmarkStart w:id="64" w:name="ref-hilgers2022evolutionary"/>
    <w:p>
      <w:pPr>
        <w:pStyle w:val="a8"/>
      </w:pPr>
      <w:r>
        <w:t xml:space="preserve">Hilgers, Leon, Stefanie Hartmann, Jobst Pfaender, Nora Lentge-Maaß, Ristiyanti M Marwoto, Thomas von Rintelen, and Michael Hofreiter. 2022.</w:t>
      </w:r>
      <w:r>
        <w:t xml:space="preserve"> </w:t>
      </w:r>
      <w:r>
        <w:t xml:space="preserve">“Evolutionary Divergence and Radula Diversification in Two Ecomorphs from an Adaptive Radiation of Freshwater Snails.”</w:t>
      </w:r>
      <w:r>
        <w:t xml:space="preserve"> </w:t>
      </w:r>
      <w:r>
        <w:rPr>
          <w:i/>
          <w:iCs/>
        </w:rPr>
        <w:t xml:space="preserve">Genes</w:t>
      </w:r>
      <w:r>
        <w:t xml:space="preserve"> </w:t>
      </w:r>
      <w:r>
        <w:t xml:space="preserve">13 (6): 1029.</w:t>
      </w:r>
    </w:p>
    <w:bookmarkEnd w:id="64"/>
    <w:bookmarkStart w:id="65" w:name="ref-hutchinson1957concluding"/>
    <w:p>
      <w:pPr>
        <w:pStyle w:val="a8"/>
      </w:pPr>
      <w:r>
        <w:t xml:space="preserve">Hutchinson, G. 1957.</w:t>
      </w:r>
      <w:r>
        <w:t xml:space="preserve"> </w:t>
      </w:r>
      <w:r>
        <w:t xml:space="preserve">“Concluding Remarks–Cold Spring Harbor Symposia on Quantitative Biology 22: 415–427. Reprinted in 1991: Classics in Theoritical Biology.”</w:t>
      </w:r>
      <w:r>
        <w:t xml:space="preserve"> </w:t>
      </w:r>
      <w:r>
        <w:rPr>
          <w:i/>
          <w:iCs/>
        </w:rPr>
        <w:t xml:space="preserve">Bull. Math. Biol</w:t>
      </w:r>
      <w:r>
        <w:t xml:space="preserve"> </w:t>
      </w:r>
      <w:r>
        <w:t xml:space="preserve">53: 193–213.</w:t>
      </w:r>
    </w:p>
    <w:bookmarkEnd w:id="65"/>
    <w:bookmarkStart w:id="66" w:name="ref-maltseva2021linking"/>
    <w:p>
      <w:pPr>
        <w:pStyle w:val="a8"/>
      </w:pPr>
      <w:r>
        <w:t xml:space="preserve">Maltseva, Arina L, Marina A Varfolomeeva, Roman V Ayanka, Elizaveta R Gafarova, Egor A Repkin, Polina A Pavlova, Alexei L Shavarda, Natalia A Mikhailova, and Andrei I Granovitch. 2021.</w:t>
      </w:r>
      <w:r>
        <w:t xml:space="preserve"> </w:t>
      </w:r>
      <w:r>
        <w:t xml:space="preserve">“Linking Ecology, Morphology, and Metabolism: Niche Differentiation in Sympatric Populations of Closely Related Species of the Genus Littorina (Neritrema).”</w:t>
      </w:r>
      <w:r>
        <w:t xml:space="preserve"> </w:t>
      </w:r>
      <w:r>
        <w:rPr>
          <w:i/>
          <w:iCs/>
        </w:rPr>
        <w:t xml:space="preserve">Ecology and Evolution</w:t>
      </w:r>
      <w:r>
        <w:t xml:space="preserve"> </w:t>
      </w:r>
      <w:r>
        <w:t xml:space="preserve">11 (16): 11134–54.</w:t>
      </w:r>
    </w:p>
    <w:bookmarkEnd w:id="66"/>
    <w:bookmarkStart w:id="67" w:name="ref-reyes2024all"/>
    <w:p>
      <w:pPr>
        <w:pStyle w:val="a8"/>
      </w:pPr>
      <w:r>
        <w:t xml:space="preserve">Reyes-Puig, Carolina, Urtzi Enriquez-Urzelai, Miguel A Carretero, and Antigoni Kaliontzopoulou. 2024.</w:t>
      </w:r>
      <w:r>
        <w:t xml:space="preserve"> </w:t>
      </w:r>
      <w:r>
        <w:t xml:space="preserve">“Is It All about Size? Dismantling the Integrated Phenotype to Understand Species Coexistence and Niche Segregation.”</w:t>
      </w:r>
      <w:r>
        <w:t xml:space="preserve"> </w:t>
      </w:r>
      <w:r>
        <w:rPr>
          <w:i/>
          <w:iCs/>
        </w:rPr>
        <w:t xml:space="preserve">Functional Ecology</w:t>
      </w:r>
      <w:r>
        <w:t xml:space="preserve"> </w:t>
      </w:r>
      <w:r>
        <w:t xml:space="preserve">38 (11): 2350–68.</w:t>
      </w:r>
    </w:p>
    <w:bookmarkEnd w:id="67"/>
    <w:bookmarkStart w:id="68" w:name="ref-smith2012elements"/>
    <w:p>
      <w:pPr>
        <w:pStyle w:val="a8"/>
      </w:pPr>
      <w:r>
        <w:t xml:space="preserve">Smith, Thomas M, and RL Smith. 2012.</w:t>
      </w:r>
      <w:r>
        <w:t xml:space="preserve"> </w:t>
      </w:r>
      <w:r>
        <w:t xml:space="preserve">“Elements of Ecology, Eight Editions.”</w:t>
      </w:r>
      <w:r>
        <w:t xml:space="preserve"> </w:t>
      </w:r>
      <w:r>
        <w:rPr>
          <w:i/>
          <w:iCs/>
        </w:rPr>
        <w:t xml:space="preserve">Person Benjamin Cummings: San Francisco</w:t>
      </w:r>
      <w:r>
        <w:t xml:space="preserve">, 1–611.</w:t>
      </w:r>
    </w:p>
    <w:bookmarkEnd w:id="68"/>
    <w:bookmarkEnd w:id="69"/>
    <w:bookmarkEnd w:id="70"/>
    <w:sectPr w:rsidR="00B72B85" w:rsidRPr="00584126">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9AE4A2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4DCD06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C681CE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178CC75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7ACE48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E48EEB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6CA2E6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DE442B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A3EC8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CA4D87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51B040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style>
  <w:style w:styleId="1" w:type="paragraph">
    <w:name w:val="heading 1"/>
    <w:basedOn w:val="a"/>
    <w:next w:val="a0"/>
    <w:uiPriority w:val="9"/>
    <w:qFormat/>
    <w:rsid w:val="007B1750"/>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rsid w:val="007B1750"/>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584126"/>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7B1750"/>
    <w:pPr>
      <w:spacing w:after="180" w:before="180" w:line="360" w:lineRule="auto"/>
      <w:ind w:firstLine="851"/>
      <w:jc w:val="both"/>
    </w:pPr>
    <w:rPr>
      <w:rFonts w:ascii="Times New Roman" w:hAnsi="Times New Roman"/>
    </w:rPr>
  </w:style>
  <w:style w:customStyle="1" w:styleId="FirstParagraph" w:type="paragraph">
    <w:name w:val="First Paragraph"/>
    <w:basedOn w:val="a0"/>
    <w:next w:val="a0"/>
    <w:qFormat/>
    <w:rsid w:val="00D212B6"/>
  </w:style>
  <w:style w:customStyle="1" w:styleId="Compact" w:type="paragraph">
    <w:name w:val="Compact"/>
    <w:basedOn w:val="a0"/>
    <w:qFormat/>
    <w:rsid w:val="007B1750"/>
    <w:pPr>
      <w:spacing w:after="36" w:before="36"/>
      <w:ind w:firstLine="0"/>
    </w:pPr>
  </w:style>
  <w:style w:styleId="a5" w:type="paragraph">
    <w:name w:val="Title"/>
    <w:basedOn w:val="a"/>
    <w:next w:val="a0"/>
    <w:qFormat/>
    <w:rsid w:val="007B1750"/>
    <w:pPr>
      <w:keepNext/>
      <w:keepLines/>
      <w:spacing w:after="240" w:before="480"/>
      <w:jc w:val="center"/>
    </w:pPr>
    <w:rPr>
      <w:rFonts w:ascii="Times New Roman" w:cstheme="majorBidi" w:eastAsiaTheme="majorEastAsia" w:hAnsi="Times New Roman"/>
      <w:b/>
      <w:bCs/>
      <w:sz w:val="28"/>
      <w:szCs w:val="36"/>
    </w:rPr>
  </w:style>
  <w:style w:styleId="a6" w:type="paragraph">
    <w:name w:val="Subtitle"/>
    <w:basedOn w:val="a5"/>
    <w:next w:val="a0"/>
    <w:qFormat/>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firstLine="0" w:left="480" w:right="480"/>
    </w:pPr>
  </w:style>
  <w:style w:styleId="aa"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rPr>
      <w:color w:themeColor="accent1" w:val="4F81BD"/>
    </w:rPr>
  </w:style>
  <w:style w:styleId="af"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sid w:val="007B175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553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432</Words>
  <Characters>2464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Влияние мидий на двигательные способности литоральных брюхоногих моллюсков</vt:lpstr>
    </vt:vector>
  </TitlesOfParts>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2025-01-09T16:24:49Z</dcterms:created>
  <dcterms:modified xsi:type="dcterms:W3CDTF">2025-01-09T16:24:49Z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