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34.jpg" ContentType="image/jpeg"/>
  <Override PartName="/word/media/rId31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X102bf2fd33f87f55533b6013c918a3587fd6a00"/>
    <w:p>
      <w:pPr>
        <w:pStyle w:val="1"/>
      </w:pPr>
      <w:r>
        <w:t xml:space="preserve">Эколого-биологический центр</w:t>
      </w:r>
      <w:r>
        <w:t xml:space="preserve"> </w:t>
      </w:r>
      <w:r>
        <w:t xml:space="preserve">“</w:t>
      </w:r>
      <w:r>
        <w:t xml:space="preserve">Крестовский остров</w:t>
      </w:r>
      <w:r>
        <w:t xml:space="preserve">”</w:t>
      </w:r>
    </w:p>
    <w:bookmarkEnd w:id="20"/>
    <w:bookmarkStart w:id="21" w:name="лаборатория-экологии-морского-бентоса"/>
    <w:p>
      <w:pPr>
        <w:pStyle w:val="1"/>
      </w:pPr>
      <w:r>
        <w:t xml:space="preserve">Лаборатория Экологии Морского Бентоса</w:t>
      </w:r>
    </w:p>
    <w:bookmarkEnd w:id="21"/>
    <w:bookmarkStart w:id="25" w:name="гидробиологии"/>
    <w:p>
      <w:pPr>
        <w:pStyle w:val="1"/>
      </w:pPr>
      <w:r>
        <w:t xml:space="preserve">(гидробиологии)</w:t>
      </w:r>
    </w:p>
    <w:p>
      <w:pPr>
        <w:pStyle w:val="FirstParagraph"/>
      </w:pPr>
      <w:r>
        <w:t xml:space="preserve"> </w:t>
      </w:r>
    </w:p>
    <w:p>
      <w:pPr>
        <w:pStyle w:val="a0"/>
      </w:pPr>
      <w:r>
        <w:t xml:space="preserve"> </w:t>
      </w:r>
    </w:p>
    <w:p>
      <w:pPr>
        <w:pStyle w:val="a0"/>
      </w:pPr>
      <w:r>
        <w:drawing>
          <wp:inline>
            <wp:extent cx="2382981" cy="2456872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Figures/Logotype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981" cy="2456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t xml:space="preserve"> </w:t>
      </w:r>
    </w:p>
    <w:bookmarkEnd w:id="25"/>
    <w:bookmarkStart w:id="26" w:name="а.-бритиков"/>
    <w:p>
      <w:pPr>
        <w:pStyle w:val="1"/>
      </w:pPr>
      <w:r>
        <w:t xml:space="preserve">А. Бритиков</w:t>
      </w:r>
    </w:p>
    <w:bookmarkEnd w:id="26"/>
    <w:bookmarkStart w:id="27" w:name="X4536335aade25afef844b2b4584d52d22721370"/>
    <w:p>
      <w:pPr>
        <w:pStyle w:val="1"/>
      </w:pPr>
      <w:r>
        <w:t xml:space="preserve">Разделение каких экологических ниш Littorina saxatilis и L. obtusata мы наблюдаем на литорали Белого моря?</w:t>
      </w:r>
    </w:p>
    <w:p>
      <w:pPr>
        <w:pStyle w:val="FirstParagraph"/>
      </w:pPr>
      <w:r>
        <w:t xml:space="preserve"> </w:t>
      </w:r>
    </w:p>
    <w:p>
      <w:pPr>
        <w:pStyle w:val="a0"/>
      </w:pPr>
      <w:r>
        <w:t xml:space="preserve"> </w:t>
      </w:r>
    </w:p>
    <w:bookmarkEnd w:id="27"/>
    <w:bookmarkStart w:id="28" w:name="санкт-петербург"/>
    <w:p>
      <w:pPr>
        <w:pStyle w:val="1"/>
      </w:pPr>
      <w:r>
        <w:t xml:space="preserve">Санкт-Петербург</w:t>
      </w:r>
    </w:p>
    <w:bookmarkEnd w:id="28"/>
    <w:bookmarkStart w:id="29" w:name="section"/>
    <w:p>
      <w:pPr>
        <w:pStyle w:val="1"/>
      </w:pPr>
      <w:r>
        <w:t xml:space="preserve">2024</w:t>
      </w:r>
    </w:p>
    <w:p>
      <w:r>
        <w:br w:type="page"/>
      </w:r>
    </w:p>
    <w:bookmarkEnd w:id="29"/>
    <w:bookmarkStart w:id="30" w:name="введение"/>
    <w:p>
      <w:pPr>
        <w:pStyle w:val="1"/>
      </w:pPr>
      <w:r>
        <w:t xml:space="preserve">Введение</w:t>
      </w:r>
    </w:p>
    <w:p>
      <w:pPr>
        <w:pStyle w:val="FirstParagraph"/>
      </w:pPr>
      <w:r>
        <w:t xml:space="preserve">Экологическая ниша - это многомерное пространство, формируемое условиями и ресурсами, которые обеспечивают существование видов, влияя на то, как виды сосуществуют и разделяются, используя различные ресурсы и условия окружающей среды для снижения конкуренции (</w:t>
      </w:r>
      <w:r>
        <w:t xml:space="preserve">Reyes-Puig et al. (2024)</w:t>
      </w:r>
      <w:r>
        <w:t xml:space="preserve">). Дифференциация на специфические ниши включает пространственную, трофическую, временную и/или их комбинацию (</w:t>
      </w:r>
      <w:r>
        <w:t xml:space="preserve">Guo (2012)</w:t>
      </w:r>
      <w:r>
        <w:t xml:space="preserve">).</w:t>
      </w:r>
    </w:p>
    <w:p>
      <w:pPr>
        <w:pStyle w:val="a0"/>
      </w:pPr>
      <w:r>
        <w:t xml:space="preserve">Адаптивная диверсификация сложных признаков играет ключевую роль в эволюции разнообразия организмов. У пресноводных улиток рода Tylomelania адаптивные радикации, вероятно, способствовала трофическая специализация через диверсификацию их ключевого кормового органа - радулы (</w:t>
      </w:r>
      <w:r>
        <w:t xml:space="preserve">Hilgers et al. (2022)</w:t>
      </w:r>
      <w:r>
        <w:t xml:space="preserve">). Так в работе Гуо</w:t>
      </w:r>
      <w:r>
        <w:t xml:space="preserve"> </w:t>
      </w:r>
      <w:r>
        <w:t xml:space="preserve">Guo (2012)</w:t>
      </w:r>
      <w:r>
        <w:t xml:space="preserve">, было показано, на примере бычков</w:t>
      </w:r>
      <w:r>
        <w:t xml:space="preserve"> </w:t>
      </w:r>
      <w:r>
        <w:rPr>
          <w:i/>
          <w:iCs/>
        </w:rPr>
        <w:t xml:space="preserve">Rhinogobius cliffordpopei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Rhinogobius giurius</w:t>
      </w:r>
      <w:r>
        <w:t xml:space="preserve">, разделение экологических ниш двумя схожими вида в пространстве, времени и пищевых объектах. Понимание как похожие между собой виды разделяют свои экологические ниши, имеет решающее значение для понимания эволюционных процессов, приспособляемости видов к разнообразным условиям среды и механизмов, определяющих биоразнообразие. Это позволяет разрабатывать стратегии сохранения и прогнозировать реакцию на изменения окружающей среды в экосистемах (</w:t>
      </w:r>
      <w:r>
        <w:t xml:space="preserve">Cooper (2024)</w:t>
      </w:r>
      <w:r>
        <w:t xml:space="preserve">).</w:t>
      </w:r>
    </w:p>
    <w:p>
      <w:pPr>
        <w:pStyle w:val="a0"/>
      </w:pPr>
      <w:r>
        <w:t xml:space="preserve">В данном исследование изучалось разделение экологических ниш между двумя вида моллюсков:</w:t>
      </w:r>
      <w:r>
        <w:t xml:space="preserve"> </w:t>
      </w:r>
      <w:r>
        <w:rPr>
          <w:i/>
          <w:iCs/>
        </w:rPr>
        <w:t xml:space="preserve">L.saxatilis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L.obtusata</w:t>
      </w:r>
      <w:r>
        <w:t xml:space="preserve">. Понимание различий в экологических нишах между</w:t>
      </w:r>
      <w:r>
        <w:t xml:space="preserve"> </w:t>
      </w:r>
      <w:r>
        <w:rPr>
          <w:i/>
          <w:iCs/>
        </w:rPr>
        <w:t xml:space="preserve">L.saxatilis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L.obtusata</w:t>
      </w:r>
      <w:r>
        <w:t xml:space="preserve"> </w:t>
      </w:r>
      <w:r>
        <w:t xml:space="preserve">очень важно, поскольку оно показывает, как экологическая диверсификация смягчает межвидовую конкуренцию, способствует эффективной эксплуатации ресурсов и вносит вклад в процесс экологического видообразования в симпатрических популяциях (</w:t>
      </w:r>
      <w:r>
        <w:t xml:space="preserve">Maltseva et al. (2021)</w:t>
      </w:r>
      <w:r>
        <w:t xml:space="preserve">). Целью этой работы было определить разделение каких экологических ниш</w:t>
      </w:r>
      <w:r>
        <w:t xml:space="preserve"> </w:t>
      </w:r>
      <w:r>
        <w:rPr>
          <w:i/>
          <w:iCs/>
        </w:rPr>
        <w:t xml:space="preserve">Littorina saxatilis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L. obtusata</w:t>
      </w:r>
      <w:r>
        <w:t xml:space="preserve"> </w:t>
      </w:r>
      <w:r>
        <w:t xml:space="preserve">мы наблюдаем на литорали Белого моря. В задачи исследования входило: определить, как в зависимости от высоты меняется процентное соотношение этих двух видов моллюсков и какие могут быть причины такого разделения экологических ниш.</w:t>
      </w:r>
    </w:p>
    <w:bookmarkEnd w:id="30"/>
    <w:bookmarkStart w:id="40" w:name="материалы-и-методика"/>
    <w:p>
      <w:pPr>
        <w:pStyle w:val="1"/>
      </w:pPr>
      <w:r>
        <w:t xml:space="preserve">Материалы и методика</w:t>
      </w:r>
    </w:p>
    <w:bookmarkStart w:id="37" w:name="место-сбора"/>
    <w:p>
      <w:pPr>
        <w:pStyle w:val="2"/>
      </w:pPr>
      <w:r>
        <w:t xml:space="preserve">Место сбора</w:t>
      </w:r>
    </w:p>
    <w:p>
      <w:pPr>
        <w:pStyle w:val="FirstParagraph"/>
      </w:pPr>
      <w:r>
        <w:t xml:space="preserve">Работа проводилась на территории Кандалакшского заповедника на острове Ряжков. Непосредственный сбор материалов происходил на илисто-песчаной литорали Южной губы (координаты точки сбора 667°00’27.2”N 32°34’34.4”E) и на литорали около скальных выходов (координаты точки сбора 67°00’27.6”N 32°35’07.5”E) (рис. +++).</w:t>
      </w:r>
    </w:p>
    <w:p>
      <w:pPr>
        <w:pStyle w:val="CaptionedFigure"/>
      </w:pPr>
      <w:r>
        <w:drawing>
          <wp:inline>
            <wp:extent cx="6146800" cy="3911095"/>
            <wp:effectExtent b="0" l="0" r="0" t="0"/>
            <wp:docPr descr="Место сбора материалла для исследования" title="" id="32" name="Picture"/>
            <a:graphic>
              <a:graphicData uri="http://schemas.openxmlformats.org/drawingml/2006/picture">
                <pic:pic>
                  <pic:nvPicPr>
                    <pic:cNvPr descr="Figures/photo_from_satellite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3911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Место сбора материалла для исследования</w:t>
      </w:r>
    </w:p>
    <w:p>
      <w:pPr>
        <w:pStyle w:val="a0"/>
      </w:pPr>
      <w:r>
        <w:t xml:space="preserve">По малой воде мы заложили две трансекты - колышки расположенные в одну линию через определенное расстояние. Одну - на литорали Южной губы (трансекта 1), другую на литорали у скальных выступов (трансекта 2). На первой трансекте было сделано двенадцать разрезов, с промежутками между колышков в 5 метров, на второй - девять, с промежутком между колышками в 10 метров, кроме трех последних, расстояние между которыми было 5 метров.</w:t>
      </w:r>
    </w:p>
    <w:p>
      <w:pPr>
        <w:pStyle w:val="a0"/>
      </w:pPr>
      <w:r>
        <w:t xml:space="preserve">Используя рамку 1/40 квадратного метра нами было взято по три рамки на один колышек на первой трансекте и по 5 рамок на каждый колышек второй трансекты. Из каждой рамки мы выбирали всех моллюсков вида L.saxatilis и L.obtusata. Обтузат мы определяли по округлой форме раковины, маленьким и часто расположенным продольным бороздкам на раковине и запаяным швам между завитками раковины. Саксатилис мы различали по Вытянутой раковине с более крупными и более редкими, чем у обтузат, продольными бороздами и вдавленным швам между завитками раковины (рис.+++). Этих улиток мы подсчитывали, чтобы понять распределение этих двух видов в зависимости от высоты литорали. Высоту, на которых находились колышки, а следовательно и рамки, мы определяли с помощью водяного уровня.</w:t>
      </w:r>
    </w:p>
    <w:p>
      <w:pPr>
        <w:pStyle w:val="CaptionedFigure"/>
      </w:pPr>
      <w:r>
        <w:drawing>
          <wp:inline>
            <wp:extent cx="6146800" cy="1903034"/>
            <wp:effectExtent b="0" l="0" r="0" t="0"/>
            <wp:docPr descr="Два вида моллюсков (слева - L.saxatilis, справа - L.obtusata)" title="" id="35" name="Picture"/>
            <a:graphic>
              <a:graphicData uri="http://schemas.openxmlformats.org/drawingml/2006/picture">
                <pic:pic>
                  <pic:nvPicPr>
                    <pic:cNvPr descr="Figures/Lsaxobt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1903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Два вида моллюсков (слева -</w:t>
      </w:r>
      <w:r>
        <w:t xml:space="preserve"> </w:t>
      </w:r>
      <w:r>
        <w:rPr>
          <w:i/>
          <w:iCs/>
        </w:rPr>
        <w:t xml:space="preserve">L.saxatilis</w:t>
      </w:r>
      <w:r>
        <w:t xml:space="preserve">, справа -</w:t>
      </w:r>
      <w:r>
        <w:t xml:space="preserve"> </w:t>
      </w:r>
      <w:r>
        <w:rPr>
          <w:i/>
          <w:iCs/>
        </w:rPr>
        <w:t xml:space="preserve">L.obtusata</w:t>
      </w:r>
      <w:r>
        <w:t xml:space="preserve">)</w:t>
      </w:r>
    </w:p>
    <w:bookmarkEnd w:id="37"/>
    <w:bookmarkStart w:id="38" w:name="проведение-эксперимента"/>
    <w:p>
      <w:pPr>
        <w:pStyle w:val="2"/>
      </w:pPr>
      <w:r>
        <w:t xml:space="preserve">Проведение эксперимента</w:t>
      </w:r>
    </w:p>
    <w:p>
      <w:pPr>
        <w:pStyle w:val="FirstParagraph"/>
      </w:pPr>
      <w:r>
        <w:t xml:space="preserve">Чтобы проверить возможную причину разделения, связанную с разницей пищевых объектов, во время отлива, мы собирали представителей двух видов моллюсков с различных субстратов: с фукоидов и с камней. Таких моллюсков мы транспортировали в лабораторию, где они определялись до вида и помещались по одному в ячейку сорока пяти луночного планшета с морской водой без взвеси. После мы закрывали планшеты, привязывали к ним утяжелитель и оставляли на литорали на одни сутки. У собранных нами после этого моллюсков мы измеряли размер устья, а также колличество выделившихся фекалий (пеллет) (рис.+++).</w:t>
      </w:r>
    </w:p>
    <w:p>
      <w:pPr>
        <w:pStyle w:val="a0"/>
      </w:pPr>
      <w:r>
        <w:t xml:space="preserve">Помимо этого, мы собирали улиток и помещали их в контейнеры с водой накрытые сеткой на 24 часа. Так мы получали</w:t>
      </w:r>
      <w:r>
        <w:t xml:space="preserve"> </w:t>
      </w:r>
      <w:r>
        <w:t xml:space="preserve">“</w:t>
      </w:r>
      <w:r>
        <w:t xml:space="preserve">голодных</w:t>
      </w:r>
      <w:r>
        <w:t xml:space="preserve">”</w:t>
      </w:r>
      <w:r>
        <w:t xml:space="preserve"> </w:t>
      </w:r>
      <w:r>
        <w:t xml:space="preserve">улиток. Голодных улиток мы помещали в садки Содержащие различный субстрат: камни, на которых раньше находились литторины, перед экспериментом эти камни были отчищены от моллюсков, и фукоиды, которые аналогично камням отчищались от диких улиток (рис. +++). Эти садки с привязанными к ним грузами мы помещали на литораль на сутки, после чего перемещали их в индивидуальные лунки планшета, как в первом случае. Планшеты аналогично помещались в приливно отливную зону на день, после чего мы измеряли размер устья у улиток и считали число фекалий. Вторая часть эксперимента, нужа была, чтобы минимизировать различия между этими двумя видами моллюсков и сравнить их различия, только по эффективности питания на разных субстратах.</w:t>
      </w:r>
    </w:p>
    <w:bookmarkEnd w:id="38"/>
    <w:bookmarkStart w:id="39" w:name="статистическая-обработка"/>
    <w:p>
      <w:pPr>
        <w:pStyle w:val="2"/>
      </w:pPr>
      <w:r>
        <w:t xml:space="preserve">Статистическая обработка</w:t>
      </w:r>
    </w:p>
    <w:p>
      <w:pPr>
        <w:pStyle w:val="FirstParagraph"/>
      </w:pPr>
      <w:r>
        <w:t xml:space="preserve">В качестве зависимой переменной в статистическом анализе мы использовали количество пеллет выделенных моллюсками (Pell). +++ На основе дисперсионного анализа полученных моделей принималось решение о статистической значимости влияния того или иного фактора. В качестве порогового значения для отвержения нулевой гипотезы использовался уровень значимости α=0,05. Все расчеты проводились с использованием функций языка статистического программирования R 4.4.2 (R Core Team, 2024).</w:t>
      </w:r>
    </w:p>
    <w:bookmarkEnd w:id="39"/>
    <w:bookmarkEnd w:id="40"/>
    <w:bookmarkStart w:id="56" w:name="результаты"/>
    <w:p>
      <w:pPr>
        <w:pStyle w:val="1"/>
      </w:pPr>
      <w:r>
        <w:t xml:space="preserve">Результаты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Разделение-каких-экологических-ниш-Littorina-saxatilis-и-L.-obtusata-мы-наблюдаем-на-литорали-Белого-моря_Бритиков-А.-И._2024-2025_files/figure-docx/unnamed-chunk-1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Разделение-каких-экологических-ниш-Littorina-saxatilis-и-L.-obtusata-мы-наблюдаем-на-литорали-Белого-моря_Бритиков-А.-И._2024-2025_files/figure-docx/unnamed-chunk-1-2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Разделение-каких-экологических-ниш-Littorina-saxatilis-и-L.-obtusata-мы-наблюдаем-на-литорали-Белого-моря_Бритиков-А.-И._2024-2025_files/figure-docx/unnamed-chunk-1-3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Разделение-каких-экологических-ниш-Littorina-saxatilis-и-L.-obtusata-мы-наблюдаем-на-литорали-Белого-моря_Бритиков-А.-И._2024-2025_files/figure-docx/unnamed-chunk-1-4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Разделение-каких-экологических-ниш-Littorina-saxatilis-и-L.-obtusata-мы-наблюдаем-на-литорали-Белого-моря_Бритиков-А.-И._2024-2025_files/figure-docx/unnamed-chunk-1-5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Start w:id="57" w:name="обсуждение"/>
    <w:p>
      <w:pPr>
        <w:pStyle w:val="1"/>
      </w:pPr>
      <w:r>
        <w:t xml:space="preserve">Обсуждение</w:t>
      </w:r>
    </w:p>
    <w:bookmarkEnd w:id="57"/>
    <w:bookmarkStart w:id="64" w:name="выводы"/>
    <w:p>
      <w:pPr>
        <w:pStyle w:val="1"/>
      </w:pPr>
      <w:r>
        <w:t xml:space="preserve">Выводы</w:t>
      </w:r>
    </w:p>
    <w:bookmarkStart w:id="63" w:name="refs"/>
    <w:bookmarkStart w:id="58" w:name="ref-cooper2024ecological"/>
    <w:p>
      <w:pPr>
        <w:pStyle w:val="a8"/>
      </w:pPr>
      <w:r>
        <w:t xml:space="preserve">Cooper, Jacob C. 2024.</w:t>
      </w:r>
      <w:r>
        <w:t xml:space="preserve"> </w:t>
      </w:r>
      <w:r>
        <w:t xml:space="preserve">“Ecological Niche Divergence or Ecological Niche Partitioning in a Widespread Neotropical Bird Lineage.”</w:t>
      </w:r>
      <w:r>
        <w:t xml:space="preserve"> </w:t>
      </w:r>
      <w:r>
        <w:rPr>
          <w:i/>
          <w:iCs/>
        </w:rPr>
        <w:t xml:space="preserve">PeerJ</w:t>
      </w:r>
      <w:r>
        <w:t xml:space="preserve"> </w:t>
      </w:r>
      <w:r>
        <w:t xml:space="preserve">12: e17345.</w:t>
      </w:r>
    </w:p>
    <w:bookmarkEnd w:id="58"/>
    <w:bookmarkStart w:id="59" w:name="ref-guo2012separation"/>
    <w:p>
      <w:pPr>
        <w:pStyle w:val="a8"/>
      </w:pPr>
      <w:r>
        <w:t xml:space="preserve">Guo, Zhiqiang. 2012.</w:t>
      </w:r>
      <w:r>
        <w:t xml:space="preserve"> </w:t>
      </w:r>
      <w:r>
        <w:t xml:space="preserve">“S</w:t>
      </w:r>
      <w:r>
        <w:t xml:space="preserve">é</w:t>
      </w:r>
      <w:r>
        <w:t xml:space="preserve">paration de Niche Entre Deux Esp</w:t>
      </w:r>
      <w:r>
        <w:t xml:space="preserve">è</w:t>
      </w:r>
      <w:r>
        <w:t xml:space="preserve">ces Invasives de Gobies.”</w:t>
      </w:r>
      <w:r>
        <w:t xml:space="preserve"> </w:t>
      </w:r>
      <w:r>
        <w:t xml:space="preserve">PhD thesis, Universit</w:t>
      </w:r>
      <w:r>
        <w:t xml:space="preserve">é</w:t>
      </w:r>
      <w:r>
        <w:t xml:space="preserve"> </w:t>
      </w:r>
      <w:r>
        <w:t xml:space="preserve">de Toulouse, Universit</w:t>
      </w:r>
      <w:r>
        <w:t xml:space="preserve">é</w:t>
      </w:r>
      <w:r>
        <w:t xml:space="preserve"> </w:t>
      </w:r>
      <w:r>
        <w:t xml:space="preserve">Toulouse III-Paul Sabatier.</w:t>
      </w:r>
    </w:p>
    <w:bookmarkEnd w:id="59"/>
    <w:bookmarkStart w:id="60" w:name="ref-hilgers2022evolutionary"/>
    <w:p>
      <w:pPr>
        <w:pStyle w:val="a8"/>
      </w:pPr>
      <w:r>
        <w:t xml:space="preserve">Hilgers, Leon, Stefanie Hartmann, Jobst Pfaender, Nora Lentge-Maaß, Ristiyanti M Marwoto, Thomas von Rintelen, and Michael Hofreiter. 2022.</w:t>
      </w:r>
      <w:r>
        <w:t xml:space="preserve"> </w:t>
      </w:r>
      <w:r>
        <w:t xml:space="preserve">“Evolutionary Divergence and Radula Diversification in Two Ecomorphs from an Adaptive Radiation of Freshwater Snails.”</w:t>
      </w:r>
      <w:r>
        <w:t xml:space="preserve"> </w:t>
      </w:r>
      <w:r>
        <w:rPr>
          <w:i/>
          <w:iCs/>
        </w:rPr>
        <w:t xml:space="preserve">Genes</w:t>
      </w:r>
      <w:r>
        <w:t xml:space="preserve"> </w:t>
      </w:r>
      <w:r>
        <w:t xml:space="preserve">13 (6): 1029.</w:t>
      </w:r>
    </w:p>
    <w:bookmarkEnd w:id="60"/>
    <w:bookmarkStart w:id="61" w:name="ref-maltseva2021linking"/>
    <w:p>
      <w:pPr>
        <w:pStyle w:val="a8"/>
      </w:pPr>
      <w:r>
        <w:t xml:space="preserve">Maltseva, Arina L, Marina A Varfolomeeva, Roman V Ayanka, Elizaveta R Gafarova, Egor A Repkin, Polina A Pavlova, Alexei L Shavarda, Natalia A Mikhailova, and Andrei I Granovitch. 2021.</w:t>
      </w:r>
      <w:r>
        <w:t xml:space="preserve"> </w:t>
      </w:r>
      <w:r>
        <w:t xml:space="preserve">“Linking Ecology, Morphology, and Metabolism: Niche Differentiation in Sympatric Populations of Closely Related Species of the Genus Littorina (Neritrema).”</w:t>
      </w:r>
      <w:r>
        <w:t xml:space="preserve"> </w:t>
      </w:r>
      <w:r>
        <w:rPr>
          <w:i/>
          <w:iCs/>
        </w:rPr>
        <w:t xml:space="preserve">Ecology and Evolution</w:t>
      </w:r>
      <w:r>
        <w:t xml:space="preserve"> </w:t>
      </w:r>
      <w:r>
        <w:t xml:space="preserve">11 (16): 11134–54.</w:t>
      </w:r>
    </w:p>
    <w:bookmarkEnd w:id="61"/>
    <w:bookmarkStart w:id="62" w:name="ref-reyes2024all"/>
    <w:p>
      <w:pPr>
        <w:pStyle w:val="a8"/>
      </w:pPr>
      <w:r>
        <w:t xml:space="preserve">Reyes-Puig, Carolina, Urtzi Enriquez-Urzelai, Miguel A Carretero, and Antigoni Kaliontzopoulou. 2024.</w:t>
      </w:r>
      <w:r>
        <w:t xml:space="preserve"> </w:t>
      </w:r>
      <w:r>
        <w:t xml:space="preserve">“Is It All about Size? Dismantling the Integrated Phenotype to Understand Species Coexistence and Niche Segregation.”</w:t>
      </w:r>
      <w:r>
        <w:t xml:space="preserve"> </w:t>
      </w:r>
      <w:r>
        <w:rPr>
          <w:i/>
          <w:iCs/>
        </w:rPr>
        <w:t xml:space="preserve">Functional Ecology</w:t>
      </w:r>
      <w:r>
        <w:t xml:space="preserve"> </w:t>
      </w:r>
      <w:r>
        <w:t xml:space="preserve">38 (11): 2350–68.</w:t>
      </w:r>
    </w:p>
    <w:bookmarkEnd w:id="62"/>
    <w:bookmarkEnd w:id="63"/>
    <w:bookmarkEnd w:id="64"/>
    <w:sectPr w:rsidR="00B72B85" w:rsidRPr="00584126">
      <w:pgSz w:h="15840" w:w="12240"/>
      <w:pgMar w:bottom="1134" w:footer="720" w:gutter="0" w:header="720" w:left="1701" w:right="850" w:top="1134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cx="http://schemas.microsoft.com/office/drawing/20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abstractNum w15:restartNumberingAfterBreak="0" w:abstractNumId="0">
    <w:nsid w:val="FFFFFF7C"/>
    <w:multiLevelType w:val="singleLevel"/>
    <w:tmpl w:val="9AE4A2CC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B4DCD06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7C681CEE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178CC75E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A7ACE488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7E48EEB8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A6CA2E6E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0DE442BC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FA3EC8F4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9CA4D872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000A990"/>
    <w:multiLevelType w:val="multilevel"/>
    <w:tmpl w:val="51B04066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allStyles="0" w:alternateStyleNames="0" w:clearFormatting="0" w:customStyles="0" w:directFormattingOnNumbering="0" w:directFormattingOnParagraphs="0" w:directFormattingOnRuns="0" w:directFormattingOnTables="0" w:headingStyles="0" w:latentStyles="1" w:numberingStyles="0" w:stylesInUse="0" w:tableStyles="0" w:top3HeadingStyles="0" w:val="0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E6B"/>
    <w:rsid w:val="001704AA"/>
    <w:rsid w:val="002349FE"/>
    <w:rsid w:val="00301E6B"/>
    <w:rsid w:val="003A2761"/>
    <w:rsid w:val="004C4EF7"/>
    <w:rsid w:val="00584126"/>
    <w:rsid w:val="007B1750"/>
    <w:rsid w:val="00813075"/>
    <w:rsid w:val="00984031"/>
    <w:rsid w:val="00B203B9"/>
    <w:rsid w:val="00B72B85"/>
    <w:rsid w:val="00D212B6"/>
    <w:rsid w:val="00D52295"/>
    <w:rsid w:val="00EB1193"/>
    <w:rsid w:val="00F126BA"/>
    <w:rsid w:val="00FF79E5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1026" v:ext="edit"/>
    <o:shapelayout v:ext="edit">
      <o:idmap data="1" v:ext="edit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1" w:defLockedState="0" w:defQFormat="0" w:defSemiHidden="0" w:defUIPriority="0" w:defUnhideWhenUsed="0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a" w:type="paragraph">
    <w:name w:val="Normal"/>
    <w:qFormat/>
  </w:style>
  <w:style w:styleId="1" w:type="paragraph">
    <w:name w:val="heading 1"/>
    <w:basedOn w:val="a"/>
    <w:next w:val="a0"/>
    <w:uiPriority w:val="9"/>
    <w:qFormat/>
    <w:rsid w:val="007B1750"/>
    <w:pPr>
      <w:keepNext/>
      <w:keepLines/>
      <w:spacing w:after="0" w:before="480"/>
      <w:jc w:val="center"/>
      <w:outlineLvl w:val="0"/>
    </w:pPr>
    <w:rPr>
      <w:rFonts w:ascii="Times New Roman" w:cstheme="majorBidi" w:eastAsiaTheme="majorEastAsia" w:hAnsi="Times New Roman"/>
      <w:b/>
      <w:bCs/>
      <w:sz w:val="28"/>
      <w:szCs w:val="32"/>
    </w:rPr>
  </w:style>
  <w:style w:styleId="2" w:type="paragraph">
    <w:name w:val="heading 2"/>
    <w:basedOn w:val="a"/>
    <w:next w:val="a0"/>
    <w:uiPriority w:val="9"/>
    <w:unhideWhenUsed/>
    <w:qFormat/>
    <w:rsid w:val="007B1750"/>
    <w:pPr>
      <w:keepNext/>
      <w:keepLines/>
      <w:spacing w:after="0" w:before="200" w:line="360" w:lineRule="auto"/>
      <w:ind w:firstLine="851"/>
      <w:outlineLvl w:val="1"/>
    </w:pPr>
    <w:rPr>
      <w:rFonts w:ascii="Times New Roman" w:cstheme="majorBidi" w:eastAsiaTheme="majorEastAsia" w:hAnsi="Times New Roman"/>
      <w:bCs/>
      <w:i/>
      <w:szCs w:val="28"/>
    </w:rPr>
  </w:style>
  <w:style w:styleId="3" w:type="paragraph">
    <w:name w:val="heading 3"/>
    <w:basedOn w:val="a"/>
    <w:next w:val="a0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4" w:type="paragraph">
    <w:name w:val="heading 4"/>
    <w:basedOn w:val="a"/>
    <w:next w:val="a0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</w:rPr>
  </w:style>
  <w:style w:styleId="5" w:type="paragraph">
    <w:name w:val="heading 5"/>
    <w:basedOn w:val="a"/>
    <w:next w:val="a0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6" w:type="paragraph">
    <w:name w:val="heading 6"/>
    <w:basedOn w:val="a"/>
    <w:next w:val="a0"/>
    <w:uiPriority w:val="9"/>
    <w:unhideWhenUsed/>
    <w:qFormat/>
    <w:rsid w:val="00584126"/>
    <w:pPr>
      <w:keepNext/>
      <w:keepLines/>
      <w:spacing w:after="0" w:before="200"/>
      <w:outlineLvl w:val="5"/>
    </w:pPr>
    <w:rPr>
      <w:rFonts w:ascii="Times New Roman" w:cstheme="majorBidi" w:eastAsiaTheme="majorEastAsia" w:hAnsi="Times New Roman"/>
      <w:color w:themeColor="text1" w:val="000000"/>
      <w:sz w:val="20"/>
    </w:rPr>
  </w:style>
  <w:style w:styleId="7" w:type="paragraph">
    <w:name w:val="heading 7"/>
    <w:basedOn w:val="a"/>
    <w:next w:val="a0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8" w:type="paragraph">
    <w:name w:val="heading 8"/>
    <w:basedOn w:val="a"/>
    <w:next w:val="a0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9" w:type="paragraph">
    <w:name w:val="heading 9"/>
    <w:basedOn w:val="a"/>
    <w:next w:val="a0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1" w:type="character">
    <w:name w:val="Default Paragraph Font"/>
    <w:uiPriority w:val="1"/>
    <w:semiHidden/>
    <w:unhideWhenUsed/>
  </w:style>
  <w:style w:default="1" w:styleId="a2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3" w:type="numbering">
    <w:name w:val="No List"/>
    <w:uiPriority w:val="99"/>
    <w:semiHidden/>
    <w:unhideWhenUsed/>
  </w:style>
  <w:style w:styleId="a0" w:type="paragraph">
    <w:name w:val="Body Text"/>
    <w:basedOn w:val="a"/>
    <w:link w:val="a4"/>
    <w:qFormat/>
    <w:rsid w:val="007B1750"/>
    <w:pPr>
      <w:spacing w:after="180" w:before="180" w:line="360" w:lineRule="auto"/>
      <w:ind w:firstLine="851"/>
      <w:jc w:val="both"/>
    </w:pPr>
    <w:rPr>
      <w:rFonts w:ascii="Times New Roman" w:hAnsi="Times New Roman"/>
    </w:rPr>
  </w:style>
  <w:style w:customStyle="1" w:styleId="FirstParagraph" w:type="paragraph">
    <w:name w:val="First Paragraph"/>
    <w:basedOn w:val="a0"/>
    <w:next w:val="a0"/>
    <w:qFormat/>
    <w:rsid w:val="00D212B6"/>
  </w:style>
  <w:style w:customStyle="1" w:styleId="Compact" w:type="paragraph">
    <w:name w:val="Compact"/>
    <w:basedOn w:val="a0"/>
    <w:qFormat/>
    <w:rsid w:val="007B1750"/>
    <w:pPr>
      <w:spacing w:after="36" w:before="36"/>
      <w:ind w:firstLine="0"/>
    </w:pPr>
  </w:style>
  <w:style w:styleId="a5" w:type="paragraph">
    <w:name w:val="Title"/>
    <w:basedOn w:val="a"/>
    <w:next w:val="a0"/>
    <w:qFormat/>
    <w:rsid w:val="007B1750"/>
    <w:pPr>
      <w:keepNext/>
      <w:keepLines/>
      <w:spacing w:after="240" w:before="480"/>
      <w:jc w:val="center"/>
    </w:pPr>
    <w:rPr>
      <w:rFonts w:ascii="Times New Roman" w:cstheme="majorBidi" w:eastAsiaTheme="majorEastAsia" w:hAnsi="Times New Roman"/>
      <w:b/>
      <w:bCs/>
      <w:sz w:val="28"/>
      <w:szCs w:val="36"/>
    </w:rPr>
  </w:style>
  <w:style w:styleId="a6" w:type="paragraph">
    <w:name w:val="Subtitle"/>
    <w:basedOn w:val="a5"/>
    <w:next w:val="a0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a0"/>
    <w:qFormat/>
    <w:pPr>
      <w:keepNext/>
      <w:keepLines/>
      <w:jc w:val="center"/>
    </w:pPr>
  </w:style>
  <w:style w:styleId="a7" w:type="paragraph">
    <w:name w:val="Date"/>
    <w:next w:val="a0"/>
    <w:qFormat/>
    <w:pPr>
      <w:keepNext/>
      <w:keepLines/>
      <w:jc w:val="center"/>
    </w:pPr>
  </w:style>
  <w:style w:customStyle="1" w:styleId="Abstract" w:type="paragraph">
    <w:name w:val="Abstract"/>
    <w:basedOn w:val="a"/>
    <w:next w:val="a0"/>
    <w:qFormat/>
    <w:pPr>
      <w:keepNext/>
      <w:keepLines/>
      <w:spacing w:after="300" w:before="300"/>
    </w:pPr>
    <w:rPr>
      <w:sz w:val="20"/>
      <w:szCs w:val="20"/>
    </w:rPr>
  </w:style>
  <w:style w:styleId="a8" w:type="paragraph">
    <w:name w:val="Bibliography"/>
    <w:basedOn w:val="a"/>
    <w:qFormat/>
  </w:style>
  <w:style w:styleId="a9" w:type="paragraph">
    <w:name w:val="Block Text"/>
    <w:basedOn w:val="a0"/>
    <w:next w:val="a0"/>
    <w:uiPriority w:val="9"/>
    <w:unhideWhenUsed/>
    <w:qFormat/>
    <w:pPr>
      <w:spacing w:after="100" w:before="100"/>
      <w:ind w:firstLine="0" w:left="480" w:right="480"/>
    </w:pPr>
  </w:style>
  <w:style w:styleId="aa" w:type="paragraph">
    <w:name w:val="footnote text"/>
    <w:basedOn w:val="a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a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a"/>
  </w:style>
  <w:style w:styleId="ab" w:type="paragraph">
    <w:name w:val="caption"/>
    <w:basedOn w:val="a"/>
    <w:link w:val="ac"/>
    <w:pPr>
      <w:spacing w:after="120"/>
    </w:pPr>
    <w:rPr>
      <w:i/>
    </w:rPr>
  </w:style>
  <w:style w:customStyle="1" w:styleId="TableCaption" w:type="paragraph">
    <w:name w:val="Table Caption"/>
    <w:basedOn w:val="ab"/>
    <w:pPr>
      <w:keepNext/>
    </w:pPr>
  </w:style>
  <w:style w:customStyle="1" w:styleId="ImageCaption" w:type="paragraph">
    <w:name w:val="Image Caption"/>
    <w:basedOn w:val="ab"/>
  </w:style>
  <w:style w:customStyle="1" w:styleId="Figure" w:type="paragraph">
    <w:name w:val="Figure"/>
    <w:basedOn w:val="a"/>
  </w:style>
  <w:style w:customStyle="1" w:styleId="CaptionedFigure" w:type="paragraph">
    <w:name w:val="Captioned Figure"/>
    <w:basedOn w:val="Figure"/>
    <w:pPr>
      <w:keepNext/>
    </w:pPr>
  </w:style>
  <w:style w:customStyle="1" w:styleId="ac" w:type="character">
    <w:name w:val="Название объекта Знак"/>
    <w:basedOn w:val="a1"/>
    <w:link w:val="ab"/>
  </w:style>
  <w:style w:customStyle="1" w:styleId="VerbatimChar" w:type="character">
    <w:name w:val="Verbatim Char"/>
    <w:basedOn w:val="ac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ac"/>
  </w:style>
  <w:style w:styleId="ad" w:type="character">
    <w:name w:val="footnote reference"/>
    <w:basedOn w:val="ac"/>
    <w:rPr>
      <w:vertAlign w:val="superscript"/>
    </w:rPr>
  </w:style>
  <w:style w:styleId="ae" w:type="character">
    <w:name w:val="Hyperlink"/>
    <w:basedOn w:val="ac"/>
    <w:rPr>
      <w:color w:themeColor="accent1" w:val="4F81BD"/>
    </w:rPr>
  </w:style>
  <w:style w:styleId="af" w:type="paragraph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SourceCode" w:type="paragraph">
    <w:name w:val="Source Code"/>
    <w:basedOn w:val="a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customStyle="1" w:styleId="a4" w:type="character">
    <w:name w:val="Основной текст Знак"/>
    <w:basedOn w:val="a1"/>
    <w:link w:val="a0"/>
    <w:rsid w:val="007B1750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55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34" Target="media/rId34.jpg" /><Relationship Type="http://schemas.openxmlformats.org/officeDocument/2006/relationships/image" Id="rId31" Target="media/rId31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432</Words>
  <Characters>2464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Влияние мидий на двигательные способности литоральных брюхоногих моллюсков</vt:lpstr>
    </vt:vector>
  </TitlesOfParts>
  <Company/>
  <LinksUpToDate>false</LinksUpToDate>
  <CharactersWithSpaces>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2024-12-21T14:52:33Z</dcterms:created>
  <dcterms:modified xsi:type="dcterms:W3CDTF">2024-12-21T14:52:33Z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bibliography.bib</vt:lpwstr>
  </property>
  <property fmtid="{D5CDD505-2E9C-101B-9397-08002B2CF9AE}" pid="3" name="output">
    <vt:lpwstr/>
  </property>
</Properties>
</file>