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0.png" ContentType="image/png"/>
  <Override PartName="/word/media/rId36.png" ContentType="image/png"/>
  <Override PartName="/word/media/rId32.png" ContentType="image/png"/>
  <Override PartName="/word/media/rId47.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2"/>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2"/>
      </w:pPr>
      <w:r>
        <w:t xml:space="preserve">Лаборатория Экологии Морского Бентоса</w:t>
      </w:r>
    </w:p>
    <w:bookmarkEnd w:id="21"/>
    <w:bookmarkStart w:id="25" w:name="гидробиологии"/>
    <w:p>
      <w:pPr>
        <w:pStyle w:val="2"/>
      </w:pPr>
      <w:r>
        <w:t xml:space="preserve">(гидробиологии)</w:t>
      </w:r>
    </w:p>
    <w:p>
      <w:pPr>
        <w:pStyle w:val="24"/>
      </w:pPr>
      <w:r>
        <w:t xml:space="preserve"> </w:t>
      </w:r>
    </w:p>
    <w:p>
      <w:pPr>
        <w:pStyle w:val="3"/>
      </w:pPr>
      <w:r>
        <w:t xml:space="preserve"> </w:t>
      </w:r>
    </w:p>
    <w:p>
      <w:pPr>
        <w:pStyle w:val="3"/>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3"/>
      </w:pPr>
      <w:r>
        <w:t xml:space="preserve"> </w:t>
      </w:r>
    </w:p>
    <w:bookmarkEnd w:id="25"/>
    <w:bookmarkStart w:id="26" w:name="а.-бритиков"/>
    <w:p>
      <w:pPr>
        <w:pStyle w:val="2"/>
      </w:pPr>
      <w:r>
        <w:t xml:space="preserve">А. Бритиков</w:t>
      </w:r>
    </w:p>
    <w:bookmarkEnd w:id="26"/>
    <w:bookmarkStart w:id="27" w:name="Xe9590009f8b99b5535705c7e0209c8a884b9555"/>
    <w:p>
      <w:pPr>
        <w:pStyle w:val="2"/>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24"/>
      </w:pPr>
      <w:r>
        <w:t xml:space="preserve"> </w:t>
      </w:r>
    </w:p>
    <w:p>
      <w:pPr>
        <w:pStyle w:val="3"/>
      </w:pPr>
      <w:r>
        <w:t xml:space="preserve"> </w:t>
      </w:r>
    </w:p>
    <w:bookmarkEnd w:id="27"/>
    <w:bookmarkStart w:id="28" w:name="санкт-петербург"/>
    <w:p>
      <w:pPr>
        <w:pStyle w:val="2"/>
      </w:pPr>
      <w:r>
        <w:t xml:space="preserve">Санкт-Петербург</w:t>
      </w:r>
    </w:p>
    <w:bookmarkEnd w:id="28"/>
    <w:bookmarkStart w:id="30" w:name="section"/>
    <w:p>
      <w:pPr>
        <w:pStyle w:val="2"/>
      </w:pPr>
      <w:r>
        <w:t xml:space="preserve">2024</w:t>
      </w:r>
    </w:p>
    <w:p>
      <w:r>
        <w:br w:type="page"/>
      </w:r>
    </w:p>
    <w:bookmarkStart w:id="29" w:name="Xbdda458cb02ae5a14a1ca7ccf12773461d11711"/>
    <w:p>
      <w:pPr>
        <w:pStyle w:val="8"/>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распространеный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w:t>
      </w:r>
      <w:r>
        <w:t xml:space="preserve">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2"/>
      </w:pPr>
      <w:r>
        <w:t xml:space="preserve">Введение</w:t>
      </w:r>
    </w:p>
    <w:p>
      <w:pPr>
        <w:pStyle w:val="24"/>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3"/>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3"/>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(Ekendahl 1998; Ingólfsson 2009)</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et al. 2000)</w:t>
      </w:r>
      <w:r>
        <w:t xml:space="preserve">.</w:t>
      </w:r>
    </w:p>
    <w:p>
      <w:pPr>
        <w:pStyle w:val="3"/>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(Наумов and Оленев 1981)</w:t>
      </w:r>
      <w:r>
        <w:t xml:space="preserve">. Однако что лежит в основе такой вертикальной сегрегации пока неизвестно.</w:t>
      </w:r>
    </w:p>
    <w:p>
      <w:pPr>
        <w:pStyle w:val="36"/>
      </w:pPr>
      <w:r>
        <w:rPr>
          <w:rStyle w:val="35"/>
        </w:rPr>
        <w:t xml:space="preserve">Целью данной работы было оценить механизмы, лежащие в основе расхождения ниш *Ls* и *Lo*. В рамках поставленной цели мы попытались решить следующие задачи.</w:t>
      </w:r>
    </w:p>
    <w:p>
      <w:pPr>
        <w:pStyle w:val="25"/>
        <w:numPr>
          <w:ilvl w:val="0"/>
          <w:numId w:val="1001"/>
        </w:numPr>
      </w:pPr>
      <w:r>
        <w:t xml:space="preserve">Описать вертикальное распределение двух видов на каменистой литорали о. Ряжков.</w:t>
      </w:r>
    </w:p>
    <w:p>
      <w:pPr>
        <w:pStyle w:val="25"/>
        <w:numPr>
          <w:ilvl w:val="0"/>
          <w:numId w:val="1001"/>
        </w:numPr>
      </w:pPr>
      <w:r>
        <w:t xml:space="preserve">Оценить интенсивность питания двух видов в разных условиях.</w:t>
      </w:r>
    </w:p>
    <w:bookmarkEnd w:id="31"/>
    <w:bookmarkStart w:id="46" w:name="материалы-и-методика"/>
    <w:p>
      <w:pPr>
        <w:pStyle w:val="2"/>
      </w:pPr>
      <w:r>
        <w:t xml:space="preserve">Материалы и методика</w:t>
      </w:r>
    </w:p>
    <w:bookmarkStart w:id="35" w:name="место-сбора"/>
    <w:p>
      <w:pPr>
        <w:pStyle w:val="4"/>
      </w:pPr>
      <w:r>
        <w:t xml:space="preserve">Место сбора</w:t>
      </w:r>
    </w:p>
    <w:p>
      <w:pPr>
        <w:pStyle w:val="24"/>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34"/>
      </w:pPr>
      <w:r>
        <w:drawing>
          <wp:inline>
            <wp:extent cx="6146800" cy="3911095"/>
            <wp:effectExtent b="0" l="0" r="0" t="0"/>
            <wp:docPr descr="Рисунок 1, Место сбора материал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6146800" cy="3911095"/>
                    </a:xfrm>
                    <a:prstGeom prst="rect">
                      <a:avLst/>
                    </a:prstGeom>
                    <a:noFill/>
                    <a:ln w="9525">
                      <a:noFill/>
                      <a:headEnd/>
                      <a:tailEnd/>
                    </a:ln>
                  </pic:spPr>
                </pic:pic>
              </a:graphicData>
            </a:graphic>
          </wp:inline>
        </w:drawing>
      </w:r>
    </w:p>
    <w:p>
      <w:pPr>
        <w:pStyle w:val="23"/>
      </w:pPr>
      <w:r>
        <w:t xml:space="preserve">Рисунок 1, Место сбора материалла для исследования</w:t>
      </w:r>
    </w:p>
    <w:bookmarkEnd w:id="35"/>
    <w:bookmarkStart w:id="39" w:name="анализ-вертикального-распределения-видов"/>
    <w:p>
      <w:pPr>
        <w:pStyle w:val="4"/>
      </w:pPr>
      <w:r>
        <w:t xml:space="preserve">Анализ вертикального распределения видов</w:t>
      </w:r>
    </w:p>
    <w:p>
      <w:pPr>
        <w:pStyle w:val="24"/>
      </w:pPr>
      <w:r>
        <w:t xml:space="preserve">В этом эксперименте подсчитывали число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3"/>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двенадцать уровней. Первый уровень был отмечен колышком, находящимся на высоте 145,9 см над нулем глубин. Все последующие колышки находились на расстоянии 5 метров друг от друга. Вторая трансекта была поделена на девять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3"/>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3"/>
      </w:pPr>
      <w:r>
        <w:drawing>
          <wp:inline>
            <wp:extent cx="6083166" cy="4196614"/>
            <wp:effectExtent b="0" l="0" r="0" t="0"/>
            <wp:docPr descr="Рисунок 2, Принцы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6083166" cy="4196614"/>
                    </a:xfrm>
                    <a:prstGeom prst="rect">
                      <a:avLst/>
                    </a:prstGeom>
                    <a:noFill/>
                    <a:ln w="9525">
                      <a:noFill/>
                      <a:headEnd/>
                      <a:tailEnd/>
                    </a:ln>
                  </pic:spPr>
                </pic:pic>
              </a:graphicData>
            </a:graphic>
          </wp:inline>
        </w:drawing>
      </w:r>
      <w:r>
        <w:t xml:space="preserve"> </w:t>
      </w: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4"/>
      </w:pPr>
      <w:r>
        <w:t xml:space="preserve">Оценка количества фекалий, выделяемых в естественных условиях</w:t>
      </w:r>
    </w:p>
    <w:p>
      <w:pPr>
        <w:pStyle w:val="24"/>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3"/>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34"/>
      </w:pPr>
      <w:r>
        <w:drawing>
          <wp:inline>
            <wp:extent cx="6146800" cy="4615833"/>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6146800" cy="4615833"/>
                    </a:xfrm>
                    <a:prstGeom prst="rect">
                      <a:avLst/>
                    </a:prstGeom>
                    <a:noFill/>
                    <a:ln w="9525">
                      <a:noFill/>
                      <a:headEnd/>
                      <a:tailEnd/>
                    </a:ln>
                  </pic:spPr>
                </pic:pic>
              </a:graphicData>
            </a:graphic>
          </wp:inline>
        </w:drawing>
      </w:r>
    </w:p>
    <w:p>
      <w:pPr>
        <w:pStyle w:val="23"/>
      </w:pPr>
      <w:r>
        <w:t xml:space="preserve">Рисунок 3, Внешний вид пеллет</w:t>
      </w:r>
      <w:r>
        <w:t xml:space="preserve"> </w:t>
      </w:r>
      <w:r>
        <w:rPr>
          <w:i/>
          <w:iCs/>
        </w:rPr>
        <w:t xml:space="preserve">Littorina saxatilis</w:t>
      </w:r>
    </w:p>
    <w:bookmarkEnd w:id="43"/>
    <w:bookmarkStart w:id="44" w:name="X75b55c15a3e846040d2f877046d7b937b5b1a3d"/>
    <w:p>
      <w:pPr>
        <w:pStyle w:val="4"/>
      </w:pPr>
      <w:r>
        <w:t xml:space="preserve">Экспериментальное изучение влияния типа субстрата на выделение пелет</w:t>
      </w:r>
    </w:p>
    <w:p>
      <w:pPr>
        <w:pStyle w:val="24"/>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w:t>
      </w:r>
      <w:r>
        <w:t xml:space="preserve"> </w:t>
      </w:r>
      <w:r>
        <w:t xml:space="preserve">(</w:t>
      </w:r>
      <w:r>
        <w:rPr>
          <w:b/>
          <w:bCs/>
        </w:rPr>
        <w:t xml:space="preserve">бритиковэколого?</w:t>
      </w:r>
      <w:r>
        <w:t xml:space="preserve">)</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3"/>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делью с размером ячеи 4 мм и к ним были привязанны грузы. Всяконструкция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w:t>
      </w:r>
      <w:r>
        <w:t xml:space="preserve"> </w:t>
      </w:r>
      <w:r>
        <w:t xml:space="preserve">число выделившихся фекалий.</w:t>
      </w:r>
    </w:p>
    <w:bookmarkEnd w:id="44"/>
    <w:bookmarkStart w:id="45" w:name="статистическая-обработка"/>
    <w:p>
      <w:pPr>
        <w:pStyle w:val="4"/>
      </w:pPr>
      <w:r>
        <w:t xml:space="preserve">Статистическая обработка</w:t>
      </w:r>
    </w:p>
    <w:p>
      <w:pPr>
        <w:pStyle w:val="24"/>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3"/>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3"/>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 естественных биотопах.</w:t>
      </w:r>
    </w:p>
    <w:p>
      <w:pPr>
        <w:pStyle w:val="3"/>
      </w:pPr>
      <w:r>
        <w:t xml:space="preserve">В качестве зависимой переменной в статистическом анализе экспериментального изучение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2"/>
      </w:pPr>
      <w:r>
        <w:t xml:space="preserve">Результаты</w:t>
      </w:r>
    </w:p>
    <w:bookmarkStart w:id="50" w:name="X5f89927e313e262fdf2f0c91c4b3f94e77ff7bc"/>
    <w:p>
      <w:pPr>
        <w:pStyle w:val="4"/>
      </w:pPr>
      <w:r>
        <w:t xml:space="preserve">Анализ вертикального распределения видов</w:t>
      </w:r>
    </w:p>
    <w:p>
      <w:pPr>
        <w:pStyle w:val="24"/>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32"/>
      </w:pPr>
      <w:r>
        <w:t xml:space="preserve">Таблица 1. Параметры модели, описывающей вертикальное распределине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ине видов улиток"/>
      </w:tblPr>
      <w:tblGrid>
        <w:gridCol w:w="1980"/>
        <w:gridCol w:w="1980"/>
        <w:gridCol w:w="1980"/>
        <w:gridCol w:w="1980"/>
      </w:tblGrid>
      <w:tr>
        <w:trPr>
          <w:tblHeader w:val="on"/>
        </w:trPr>
        <w:tc>
          <w:tcPr/>
          <w:p>
            <w:pPr>
              <w:pStyle w:val="25"/>
              <w:jc w:val="left"/>
            </w:pPr>
            <w:r>
              <w:t xml:space="preserve">Член модели</w:t>
            </w:r>
          </w:p>
        </w:tc>
        <w:tc>
          <w:tcPr/>
          <w:p>
            <w:pPr>
              <w:pStyle w:val="25"/>
              <w:jc w:val="right"/>
            </w:pPr>
            <w:r>
              <w:t xml:space="preserve">edf</w:t>
            </w:r>
          </w:p>
        </w:tc>
        <w:tc>
          <w:tcPr/>
          <w:p>
            <w:pPr>
              <w:pStyle w:val="25"/>
              <w:jc w:val="right"/>
            </w:pPr>
            <w:r>
              <w:t xml:space="preserve">F-критерий</w:t>
            </w:r>
          </w:p>
        </w:tc>
        <w:tc>
          <w:tcPr/>
          <w:p>
            <w:pPr>
              <w:pStyle w:val="25"/>
              <w:jc w:val="right"/>
            </w:pPr>
            <w:r>
              <w:t xml:space="preserve">p-value</w:t>
            </w:r>
          </w:p>
        </w:tc>
      </w:tr>
      <w:tr>
        <w:tc>
          <w:tcPr/>
          <w:p>
            <w:pPr>
              <w:pStyle w:val="25"/>
              <w:jc w:val="left"/>
            </w:pPr>
            <w:r>
              <w:t xml:space="preserve">s(Real_H):SpeciesL.saxatilis</w:t>
            </w:r>
          </w:p>
        </w:tc>
        <w:tc>
          <w:tcPr/>
          <w:p>
            <w:pPr>
              <w:pStyle w:val="25"/>
              <w:jc w:val="right"/>
            </w:pPr>
            <w:r>
              <w:t xml:space="preserve">4.73</w:t>
            </w:r>
          </w:p>
        </w:tc>
        <w:tc>
          <w:tcPr/>
          <w:p>
            <w:pPr>
              <w:pStyle w:val="25"/>
              <w:jc w:val="right"/>
            </w:pPr>
            <w:r>
              <w:t xml:space="preserve">11.8</w:t>
            </w:r>
          </w:p>
        </w:tc>
        <w:tc>
          <w:tcPr/>
          <w:p>
            <w:pPr>
              <w:pStyle w:val="25"/>
              <w:jc w:val="right"/>
            </w:pPr>
            <w:r>
              <w:t xml:space="preserve">0e+00</w:t>
            </w:r>
          </w:p>
        </w:tc>
      </w:tr>
      <w:tr>
        <w:tc>
          <w:tcPr/>
          <w:p>
            <w:pPr>
              <w:pStyle w:val="25"/>
              <w:jc w:val="left"/>
            </w:pPr>
            <w:r>
              <w:t xml:space="preserve">s(Real_H):SpeciesL.obtusata</w:t>
            </w:r>
          </w:p>
        </w:tc>
        <w:tc>
          <w:tcPr/>
          <w:p>
            <w:pPr>
              <w:pStyle w:val="25"/>
              <w:jc w:val="right"/>
            </w:pPr>
            <w:r>
              <w:t xml:space="preserve">5.90</w:t>
            </w:r>
          </w:p>
        </w:tc>
        <w:tc>
          <w:tcPr/>
          <w:p>
            <w:pPr>
              <w:pStyle w:val="25"/>
              <w:jc w:val="right"/>
            </w:pPr>
            <w:r>
              <w:t xml:space="preserve">4.7</w:t>
            </w:r>
          </w:p>
        </w:tc>
        <w:tc>
          <w:tcPr/>
          <w:p>
            <w:pPr>
              <w:pStyle w:val="25"/>
              <w:jc w:val="right"/>
            </w:pPr>
            <w:r>
              <w:t xml:space="preserve">2e-04</w:t>
            </w:r>
          </w:p>
        </w:tc>
      </w:tr>
    </w:tbl>
    <w:p>
      <w:pPr>
        <w:pStyle w:val="3"/>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 этого вида в пределах пояса фукоидов было невелико. Вне пояса фукоидов их обилие резко возрастает и с повышением высоты оно незначительно увеличивается.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моря. После пояса фукоидов их обилие резко падает, после чего, с увеличением высоты, незначительно увеличивается.</w:t>
      </w:r>
    </w:p>
    <w:p>
      <w:pPr>
        <w:pStyle w:val="34"/>
      </w:pPr>
      <w:r>
        <w:drawing>
          <wp:inline>
            <wp:extent cx="4620126" cy="3696101"/>
            <wp:effectExtent b="0" l="0" r="0" t="0"/>
            <wp:docPr descr="Рисунок 4, Распределение двух видов литторин по литорали (A. L.saxatilis B. L.obtusata).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3-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4, Распределение двух видов литторин по литорали (A. L.saxatilis B. L.obtusata). Вертикальной линией на графиках обазначено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4"/>
      </w:pPr>
      <w:r>
        <w:t xml:space="preserve">Оценка количества фекалий, выделяемых в естественных условиях</w:t>
      </w:r>
    </w:p>
    <w:p>
      <w:pPr>
        <w:pStyle w:val="24"/>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 пеллет (средняя ++ стандартное отклонение), а</w:t>
      </w:r>
      <w:r>
        <w:t xml:space="preserve"> </w:t>
      </w:r>
      <w:r>
        <w:rPr>
          <w:i/>
          <w:iCs/>
        </w:rPr>
        <w:t xml:space="preserve">Ls</w:t>
      </w:r>
      <w:r>
        <w:t xml:space="preserve"> </w:t>
      </w:r>
      <w:r>
        <w:t xml:space="preserve">за сутки выделяли 11.8 ++++ пеллет.</w:t>
      </w:r>
    </w:p>
    <w:bookmarkEnd w:id="51"/>
    <w:bookmarkStart w:id="58" w:name="X8c219a3a0559f29cfb8da8bc481a09fd95be9af"/>
    <w:p>
      <w:pPr>
        <w:pStyle w:val="4"/>
      </w:pPr>
      <w:r>
        <w:t xml:space="preserve">Экспериментальное изучение влияния типа субстрата на выделение пелет</w:t>
      </w:r>
    </w:p>
    <w:p>
      <w:pPr>
        <w:pStyle w:val="24"/>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34"/>
      </w:pPr>
      <w:r>
        <w:drawing>
          <wp:inline>
            <wp:extent cx="4620126" cy="3696101"/>
            <wp:effectExtent b="0" l="0" r="0" t="0"/>
            <wp:docPr descr="Рисунок 5, Зависимость кол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улитками разны видов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4-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5, Зависимость колличества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улитками разны видов в естественных условиях в пределах того биотопа, где наблюдается максимальное обилие.</w:t>
      </w:r>
    </w:p>
    <w:p>
      <w:pPr>
        <w:pStyle w:val="3"/>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32"/>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698"/>
        <w:gridCol w:w="931"/>
        <w:gridCol w:w="1514"/>
        <w:gridCol w:w="990"/>
        <w:gridCol w:w="1106"/>
        <w:gridCol w:w="1339"/>
        <w:gridCol w:w="757"/>
        <w:gridCol w:w="582"/>
      </w:tblGrid>
      <w:tr>
        <w:trPr>
          <w:tblHeader w:val="on"/>
        </w:trPr>
        <w:tc>
          <w:tcPr/>
          <w:p>
            <w:pPr>
              <w:pStyle w:val="25"/>
              <w:jc w:val="left"/>
            </w:pPr>
            <w:r>
              <w:t xml:space="preserve">Тип эффекта</w:t>
            </w:r>
          </w:p>
        </w:tc>
        <w:tc>
          <w:tcPr/>
          <w:p>
            <w:pPr>
              <w:pStyle w:val="25"/>
              <w:jc w:val="left"/>
            </w:pPr>
            <w:r>
              <w:t xml:space="preserve">случайны фактор</w:t>
            </w:r>
          </w:p>
        </w:tc>
        <w:tc>
          <w:tcPr/>
          <w:p>
            <w:pPr>
              <w:pStyle w:val="25"/>
              <w:jc w:val="left"/>
            </w:pPr>
            <w:r>
              <w:t xml:space="preserve">Член модели</w:t>
            </w:r>
          </w:p>
        </w:tc>
        <w:tc>
          <w:tcPr/>
          <w:p>
            <w:pPr>
              <w:pStyle w:val="25"/>
              <w:jc w:val="right"/>
            </w:pPr>
            <w:r>
              <w:t xml:space="preserve">Оценка парамтера</w:t>
            </w:r>
          </w:p>
        </w:tc>
        <w:tc>
          <w:tcPr/>
          <w:p>
            <w:pPr>
              <w:pStyle w:val="25"/>
              <w:jc w:val="right"/>
            </w:pPr>
            <w:r>
              <w:t xml:space="preserve">Стандартная ошибка</w:t>
            </w:r>
          </w:p>
        </w:tc>
        <w:tc>
          <w:tcPr/>
          <w:p>
            <w:pPr>
              <w:pStyle w:val="25"/>
              <w:jc w:val="right"/>
            </w:pPr>
            <w:r>
              <w:t xml:space="preserve">Число степеней свободы</w:t>
            </w:r>
          </w:p>
        </w:tc>
        <w:tc>
          <w:tcPr/>
          <w:p>
            <w:pPr>
              <w:pStyle w:val="25"/>
              <w:jc w:val="right"/>
            </w:pPr>
            <w:r>
              <w:t xml:space="preserve">t-статистика</w:t>
            </w:r>
          </w:p>
        </w:tc>
        <w:tc>
          <w:tcPr/>
          <w:p>
            <w:pPr>
              <w:pStyle w:val="25"/>
              <w:jc w:val="right"/>
            </w:pPr>
            <w:r>
              <w:t xml:space="preserve">p-value</w:t>
            </w:r>
          </w:p>
        </w:tc>
      </w:tr>
      <w:tr>
        <w:tc>
          <w:tcPr/>
          <w:p>
            <w:pPr>
              <w:pStyle w:val="25"/>
              <w:jc w:val="left"/>
            </w:pPr>
            <w:r>
              <w:t xml:space="preserve">fixed</w:t>
            </w:r>
          </w:p>
        </w:tc>
        <w:tc>
          <w:tcPr/>
          <w:p>
            <w:pPr>
              <w:pStyle w:val="25"/>
            </w:pPr>
          </w:p>
        </w:tc>
        <w:tc>
          <w:tcPr/>
          <w:p>
            <w:pPr>
              <w:pStyle w:val="25"/>
              <w:jc w:val="left"/>
            </w:pPr>
            <w:r>
              <w:t xml:space="preserve">(Intercept)</w:t>
            </w:r>
          </w:p>
        </w:tc>
        <w:tc>
          <w:tcPr/>
          <w:p>
            <w:pPr>
              <w:pStyle w:val="25"/>
              <w:jc w:val="right"/>
            </w:pPr>
            <w:r>
              <w:t xml:space="preserve">3.0242547</w:t>
            </w:r>
          </w:p>
        </w:tc>
        <w:tc>
          <w:tcPr/>
          <w:p>
            <w:pPr>
              <w:pStyle w:val="25"/>
              <w:jc w:val="right"/>
            </w:pPr>
            <w:r>
              <w:t xml:space="preserve">0.3685177</w:t>
            </w:r>
          </w:p>
        </w:tc>
        <w:tc>
          <w:tcPr/>
          <w:p>
            <w:pPr>
              <w:pStyle w:val="25"/>
              <w:jc w:val="right"/>
            </w:pPr>
            <w:r>
              <w:t xml:space="preserve">211</w:t>
            </w:r>
          </w:p>
        </w:tc>
        <w:tc>
          <w:tcPr/>
          <w:p>
            <w:pPr>
              <w:pStyle w:val="25"/>
              <w:jc w:val="right"/>
            </w:pPr>
            <w:r>
              <w:t xml:space="preserve">8.206539</w:t>
            </w:r>
          </w:p>
        </w:tc>
        <w:tc>
          <w:tcPr/>
          <w:p>
            <w:pPr>
              <w:pStyle w:val="25"/>
              <w:jc w:val="right"/>
            </w:pPr>
            <w:r>
              <w:t xml:space="preserve">0.0000000</w:t>
            </w:r>
          </w:p>
        </w:tc>
      </w:tr>
      <w:tr>
        <w:tc>
          <w:tcPr/>
          <w:p>
            <w:pPr>
              <w:pStyle w:val="25"/>
              <w:jc w:val="left"/>
            </w:pPr>
            <w:r>
              <w:t xml:space="preserve">fixed</w:t>
            </w:r>
          </w:p>
        </w:tc>
        <w:tc>
          <w:tcPr/>
          <w:p>
            <w:pPr>
              <w:pStyle w:val="25"/>
            </w:pPr>
          </w:p>
        </w:tc>
        <w:tc>
          <w:tcPr/>
          <w:p>
            <w:pPr>
              <w:pStyle w:val="25"/>
              <w:jc w:val="left"/>
            </w:pPr>
            <w:r>
              <w:t xml:space="preserve">SpeciesSax</w:t>
            </w:r>
          </w:p>
        </w:tc>
        <w:tc>
          <w:tcPr/>
          <w:p>
            <w:pPr>
              <w:pStyle w:val="25"/>
              <w:jc w:val="right"/>
            </w:pPr>
            <w:r>
              <w:t xml:space="preserve">-0.7887271</w:t>
            </w:r>
          </w:p>
        </w:tc>
        <w:tc>
          <w:tcPr/>
          <w:p>
            <w:pPr>
              <w:pStyle w:val="25"/>
              <w:jc w:val="right"/>
            </w:pPr>
            <w:r>
              <w:t xml:space="preserve">0.2008290</w:t>
            </w:r>
          </w:p>
        </w:tc>
        <w:tc>
          <w:tcPr/>
          <w:p>
            <w:pPr>
              <w:pStyle w:val="25"/>
              <w:jc w:val="right"/>
            </w:pPr>
            <w:r>
              <w:t xml:space="preserve">211</w:t>
            </w:r>
          </w:p>
        </w:tc>
        <w:tc>
          <w:tcPr/>
          <w:p>
            <w:pPr>
              <w:pStyle w:val="25"/>
              <w:jc w:val="right"/>
            </w:pPr>
            <w:r>
              <w:t xml:space="preserve">-3.927356</w:t>
            </w:r>
          </w:p>
        </w:tc>
        <w:tc>
          <w:tcPr/>
          <w:p>
            <w:pPr>
              <w:pStyle w:val="25"/>
              <w:jc w:val="right"/>
            </w:pPr>
            <w:r>
              <w:t xml:space="preserve">0.0001163</w:t>
            </w:r>
          </w:p>
        </w:tc>
      </w:tr>
      <w:tr>
        <w:tc>
          <w:tcPr/>
          <w:p>
            <w:pPr>
              <w:pStyle w:val="25"/>
              <w:jc w:val="left"/>
            </w:pPr>
            <w:r>
              <w:t xml:space="preserve">fixed</w:t>
            </w:r>
          </w:p>
        </w:tc>
        <w:tc>
          <w:tcPr/>
          <w:p>
            <w:pPr>
              <w:pStyle w:val="25"/>
            </w:pPr>
          </w:p>
        </w:tc>
        <w:tc>
          <w:tcPr/>
          <w:p>
            <w:pPr>
              <w:pStyle w:val="25"/>
              <w:jc w:val="left"/>
            </w:pPr>
            <w:r>
              <w:t xml:space="preserve">SubstrateStone</w:t>
            </w:r>
          </w:p>
        </w:tc>
        <w:tc>
          <w:tcPr/>
          <w:p>
            <w:pPr>
              <w:pStyle w:val="25"/>
              <w:jc w:val="right"/>
            </w:pPr>
            <w:r>
              <w:t xml:space="preserve">-0.8773645</w:t>
            </w:r>
          </w:p>
        </w:tc>
        <w:tc>
          <w:tcPr/>
          <w:p>
            <w:pPr>
              <w:pStyle w:val="25"/>
              <w:jc w:val="right"/>
            </w:pPr>
            <w:r>
              <w:t xml:space="preserve">0.2543986</w:t>
            </w:r>
          </w:p>
        </w:tc>
        <w:tc>
          <w:tcPr/>
          <w:p>
            <w:pPr>
              <w:pStyle w:val="25"/>
              <w:jc w:val="right"/>
            </w:pPr>
            <w:r>
              <w:t xml:space="preserve">211</w:t>
            </w:r>
          </w:p>
        </w:tc>
        <w:tc>
          <w:tcPr/>
          <w:p>
            <w:pPr>
              <w:pStyle w:val="25"/>
              <w:jc w:val="right"/>
            </w:pPr>
            <w:r>
              <w:t xml:space="preserve">-3.448778</w:t>
            </w:r>
          </w:p>
        </w:tc>
        <w:tc>
          <w:tcPr/>
          <w:p>
            <w:pPr>
              <w:pStyle w:val="25"/>
              <w:jc w:val="right"/>
            </w:pPr>
            <w:r>
              <w:t xml:space="preserve">0.0006798</w:t>
            </w:r>
          </w:p>
        </w:tc>
      </w:tr>
      <w:tr>
        <w:tc>
          <w:tcPr/>
          <w:p>
            <w:pPr>
              <w:pStyle w:val="25"/>
              <w:jc w:val="left"/>
            </w:pPr>
            <w:r>
              <w:t xml:space="preserve">fixed</w:t>
            </w:r>
          </w:p>
        </w:tc>
        <w:tc>
          <w:tcPr/>
          <w:p>
            <w:pPr>
              <w:pStyle w:val="25"/>
            </w:pPr>
          </w:p>
        </w:tc>
        <w:tc>
          <w:tcPr/>
          <w:p>
            <w:pPr>
              <w:pStyle w:val="25"/>
              <w:jc w:val="left"/>
            </w:pPr>
            <w:r>
              <w:t xml:space="preserve">SpeciesSax:SubstrateStone</w:t>
            </w:r>
          </w:p>
        </w:tc>
        <w:tc>
          <w:tcPr/>
          <w:p>
            <w:pPr>
              <w:pStyle w:val="25"/>
              <w:jc w:val="right"/>
            </w:pPr>
            <w:r>
              <w:t xml:space="preserve">0.7533914</w:t>
            </w:r>
          </w:p>
        </w:tc>
        <w:tc>
          <w:tcPr/>
          <w:p>
            <w:pPr>
              <w:pStyle w:val="25"/>
              <w:jc w:val="right"/>
            </w:pPr>
            <w:r>
              <w:t xml:space="preserve">0.3543587</w:t>
            </w:r>
          </w:p>
        </w:tc>
        <w:tc>
          <w:tcPr/>
          <w:p>
            <w:pPr>
              <w:pStyle w:val="25"/>
              <w:jc w:val="right"/>
            </w:pPr>
            <w:r>
              <w:t xml:space="preserve">211</w:t>
            </w:r>
          </w:p>
        </w:tc>
        <w:tc>
          <w:tcPr/>
          <w:p>
            <w:pPr>
              <w:pStyle w:val="25"/>
              <w:jc w:val="right"/>
            </w:pPr>
            <w:r>
              <w:t xml:space="preserve">2.126070</w:t>
            </w:r>
          </w:p>
        </w:tc>
        <w:tc>
          <w:tcPr/>
          <w:p>
            <w:pPr>
              <w:pStyle w:val="25"/>
              <w:jc w:val="right"/>
            </w:pPr>
            <w:r>
              <w:t xml:space="preserve">0.0346595</w:t>
            </w:r>
          </w:p>
        </w:tc>
      </w:tr>
      <w:tr>
        <w:tc>
          <w:tcPr/>
          <w:p>
            <w:pPr>
              <w:pStyle w:val="25"/>
              <w:jc w:val="left"/>
            </w:pPr>
            <w:r>
              <w:t xml:space="preserve">ran_pars</w:t>
            </w:r>
          </w:p>
        </w:tc>
        <w:tc>
          <w:tcPr/>
          <w:p>
            <w:pPr>
              <w:pStyle w:val="25"/>
              <w:jc w:val="left"/>
            </w:pPr>
            <w:r>
              <w:t xml:space="preserve">Experiment</w:t>
            </w:r>
          </w:p>
        </w:tc>
        <w:tc>
          <w:tcPr/>
          <w:p>
            <w:pPr>
              <w:pStyle w:val="25"/>
              <w:jc w:val="left"/>
            </w:pPr>
            <w:r>
              <w:t xml:space="preserve">sd_(Intercept)</w:t>
            </w:r>
          </w:p>
        </w:tc>
        <w:tc>
          <w:tcPr/>
          <w:p>
            <w:pPr>
              <w:pStyle w:val="25"/>
              <w:jc w:val="right"/>
            </w:pPr>
            <w:r>
              <w:t xml:space="preserve">0.5906440</w:t>
            </w:r>
          </w:p>
        </w:tc>
        <w:tc>
          <w:tcPr/>
          <w:p>
            <w:pPr>
              <w:pStyle w:val="25"/>
            </w:pPr>
          </w:p>
        </w:tc>
        <w:tc>
          <w:tcPr/>
          <w:p>
            <w:pPr>
              <w:pStyle w:val="25"/>
            </w:pPr>
          </w:p>
        </w:tc>
        <w:tc>
          <w:tcPr/>
          <w:p>
            <w:pPr>
              <w:pStyle w:val="25"/>
            </w:pPr>
          </w:p>
        </w:tc>
        <w:tc>
          <w:tcPr/>
          <w:p>
            <w:pPr>
              <w:pStyle w:val="25"/>
            </w:pPr>
          </w:p>
        </w:tc>
      </w:tr>
      <w:tr>
        <w:tc>
          <w:tcPr/>
          <w:p>
            <w:pPr>
              <w:pStyle w:val="25"/>
              <w:jc w:val="left"/>
            </w:pPr>
            <w:r>
              <w:t xml:space="preserve">ran_pars</w:t>
            </w:r>
          </w:p>
        </w:tc>
        <w:tc>
          <w:tcPr/>
          <w:p>
            <w:pPr>
              <w:pStyle w:val="25"/>
              <w:jc w:val="left"/>
            </w:pPr>
            <w:r>
              <w:t xml:space="preserve">Residual</w:t>
            </w:r>
          </w:p>
        </w:tc>
        <w:tc>
          <w:tcPr/>
          <w:p>
            <w:pPr>
              <w:pStyle w:val="25"/>
              <w:jc w:val="left"/>
            </w:pPr>
            <w:r>
              <w:t xml:space="preserve">sd_Observation</w:t>
            </w:r>
          </w:p>
        </w:tc>
        <w:tc>
          <w:tcPr/>
          <w:p>
            <w:pPr>
              <w:pStyle w:val="25"/>
              <w:jc w:val="right"/>
            </w:pPr>
            <w:r>
              <w:t xml:space="preserve">1.2137753</w:t>
            </w:r>
          </w:p>
        </w:tc>
        <w:tc>
          <w:tcPr/>
          <w:p>
            <w:pPr>
              <w:pStyle w:val="25"/>
            </w:pPr>
          </w:p>
        </w:tc>
        <w:tc>
          <w:tcPr/>
          <w:p>
            <w:pPr>
              <w:pStyle w:val="25"/>
            </w:pPr>
          </w:p>
        </w:tc>
        <w:tc>
          <w:tcPr/>
          <w:p>
            <w:pPr>
              <w:pStyle w:val="25"/>
            </w:pPr>
          </w:p>
        </w:tc>
        <w:tc>
          <w:tcPr/>
          <w:p>
            <w:pPr>
              <w:pStyle w:val="25"/>
            </w:pPr>
          </w:p>
        </w:tc>
      </w:tr>
    </w:tbl>
    <w:p>
      <w:pPr>
        <w:pStyle w:val="3"/>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34"/>
      </w:pPr>
      <w:r>
        <w:drawing>
          <wp:inline>
            <wp:extent cx="4620126" cy="3696101"/>
            <wp:effectExtent b="0" l="0" r="0" t="0"/>
            <wp:docPr descr="Рисунок 6, Зависимость колличества пеллет у двух видов моллюсков от типа субстрата в экспериментальных условиях (обрабтанные данные)."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6-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6, Зависимость колличества пеллет у двух видов моллюсков от типа субстрата в экспериментальных условиях (обрабтанные данные).</w:t>
      </w:r>
    </w:p>
    <w:bookmarkEnd w:id="58"/>
    <w:bookmarkEnd w:id="59"/>
    <w:bookmarkStart w:id="60" w:name="обсуждение"/>
    <w:p>
      <w:pPr>
        <w:pStyle w:val="2"/>
      </w:pPr>
      <w:r>
        <w:t xml:space="preserve">Обсуждение</w:t>
      </w:r>
    </w:p>
    <w:p>
      <w:pPr>
        <w:pStyle w:val="24"/>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3"/>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фекалий.</w:t>
      </w:r>
    </w:p>
    <w:p>
      <w:pPr>
        <w:pStyle w:val="3"/>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сдесь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(Наумов and Федяков 1993)</w:t>
      </w:r>
      <w:r>
        <w:t xml:space="preserve">. Обилие этого вида часто коррелирует с обилием макрофитов</w:t>
      </w:r>
      <w:r>
        <w:t xml:space="preserve"> </w:t>
      </w:r>
      <w:r>
        <w:t xml:space="preserve">(Sergievsky et al. 1997)</w:t>
      </w:r>
      <w:r>
        <w:t xml:space="preserve">.</w:t>
      </w:r>
    </w:p>
    <w:p>
      <w:pPr>
        <w:pStyle w:val="3"/>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3"/>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et al.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3"/>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(Watson and Norton 1987; Rolán-Alvarez et al.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3"/>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1" w:name="заключение"/>
    <w:p>
      <w:pPr>
        <w:pStyle w:val="2"/>
      </w:pPr>
      <w:r>
        <w:t xml:space="preserve">Заключение</w:t>
      </w:r>
    </w:p>
    <w:p>
      <w:pPr>
        <w:pStyle w:val="24"/>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лежащею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(рис. +++).</w:t>
      </w:r>
    </w:p>
    <w:bookmarkEnd w:id="61"/>
    <w:bookmarkStart w:id="62" w:name="благодарности"/>
    <w:p>
      <w:pPr>
        <w:pStyle w:val="2"/>
      </w:pPr>
      <w:r>
        <w:t xml:space="preserve">Благодарности</w:t>
      </w:r>
    </w:p>
    <w:p>
      <w:pPr>
        <w:pStyle w:val="24"/>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2"/>
    <w:bookmarkStart w:id="85" w:name="список-литературы"/>
    <w:p>
      <w:pPr>
        <w:pStyle w:val="2"/>
      </w:pPr>
      <w:r>
        <w:t xml:space="preserve">Список литературы</w:t>
      </w:r>
    </w:p>
    <w:bookmarkStart w:id="84" w:name="refs"/>
    <w:bookmarkStart w:id="64" w:name="ref-WoRMS20250114"/>
    <w:p>
      <w:pPr>
        <w:pStyle w:val="28"/>
      </w:pPr>
      <w:r>
        <w:t xml:space="preserve">Ahyong S, Boyko CB, Bernot J, et al (2025)</w:t>
      </w:r>
      <w:r>
        <w:t xml:space="preserve"> </w:t>
      </w:r>
      <w:hyperlink r:id="rId63">
        <w:r>
          <w:rPr>
            <w:rStyle w:val="17"/>
          </w:rPr>
          <w:t xml:space="preserve">World register of marine species (WoRMS)</w:t>
        </w:r>
      </w:hyperlink>
    </w:p>
    <w:bookmarkEnd w:id="64"/>
    <w:bookmarkStart w:id="65" w:name="ref-cooper2024ecological"/>
    <w:p>
      <w:pPr>
        <w:pStyle w:val="28"/>
      </w:pPr>
      <w:r>
        <w:t xml:space="preserve">Cooper JC (2024) Ecological niche divergence or ecological niche partitioning in a widespread neotropical bird lineage. PeerJ 12:e17345</w:t>
      </w:r>
    </w:p>
    <w:bookmarkEnd w:id="65"/>
    <w:bookmarkStart w:id="66" w:name="ref-costa2019competition"/>
    <w:p>
      <w:pPr>
        <w:pStyle w:val="28"/>
      </w:pPr>
      <w:r>
        <w:t xml:space="preserve">Costa-Pereira R, Araújo MS, Souza FL, Ingram T (2019) Competition and resource breadth shape niche variation and overlap in multiple trophic dimensions. Proceedings of the Royal Society B 286:20190369</w:t>
      </w:r>
    </w:p>
    <w:bookmarkEnd w:id="66"/>
    <w:bookmarkStart w:id="67" w:name="ref-ekendahl1998colour"/>
    <w:p>
      <w:pPr>
        <w:pStyle w:val="28"/>
      </w:pPr>
      <w:r>
        <w:t xml:space="preserve">Ekendahl A (1998) Colour polymorphic prey (littorina saxatilis olivi) and predatory effects of a crab population (carcinus maenas l.). Journal of Experimental Marine Biology and Ecology 222:239–246</w:t>
      </w:r>
    </w:p>
    <w:bookmarkEnd w:id="67"/>
    <w:bookmarkStart w:id="68" w:name="ref-granovitch2000spatial"/>
    <w:p>
      <w:pPr>
        <w:pStyle w:val="28"/>
      </w:pPr>
      <w:r>
        <w:t xml:space="preserve">Granovitch A, Sergievsky S, Sokolova I (2000) Spatial and temporal variation of trematode infection in coexisting populations of intertidal gastropods littorina saxatilis and l. Obtusata in the white sea. Diseases of aquatic organisms 41:53–64</w:t>
      </w:r>
    </w:p>
    <w:bookmarkEnd w:id="68"/>
    <w:bookmarkStart w:id="69" w:name="ref-guo2012separation"/>
    <w:p>
      <w:pPr>
        <w:pStyle w:val="28"/>
      </w:pPr>
      <w:r>
        <w:t xml:space="preserve">Guo Z (2012) S</w:t>
      </w:r>
      <w:r>
        <w:t xml:space="preserve">é</w:t>
      </w:r>
      <w:r>
        <w:t xml:space="preserve">paration de niche entre deux esp</w:t>
      </w:r>
      <w:r>
        <w:t xml:space="preserve">è</w:t>
      </w:r>
      <w:r>
        <w:t xml:space="preserve">ces invasives de gobies. PhD thesis, Universit</w:t>
      </w:r>
      <w:r>
        <w:t xml:space="preserve">é</w:t>
      </w:r>
      <w:r>
        <w:t xml:space="preserve"> </w:t>
      </w:r>
      <w:r>
        <w:t xml:space="preserve">de Toulouse, Universit</w:t>
      </w:r>
      <w:r>
        <w:t xml:space="preserve">é</w:t>
      </w:r>
      <w:r>
        <w:t xml:space="preserve"> </w:t>
      </w:r>
      <w:r>
        <w:t xml:space="preserve">Toulouse III-Paul Sabatier</w:t>
      </w:r>
    </w:p>
    <w:bookmarkEnd w:id="69"/>
    <w:bookmarkStart w:id="70" w:name="ref-hilgers2022evolutionary"/>
    <w:p>
      <w:pPr>
        <w:pStyle w:val="28"/>
      </w:pPr>
      <w:r>
        <w:t xml:space="preserve">Hilgers L, Hartmann S, Pfaender J, et al (2022) Evolutionary divergence and radula diversification in two ecomorphs from an adaptive radiation of freshwater snails. Genes 13:1029</w:t>
      </w:r>
    </w:p>
    <w:bookmarkEnd w:id="70"/>
    <w:bookmarkStart w:id="71" w:name="ref-hutchinson1957concluding"/>
    <w:p>
      <w:pPr>
        <w:pStyle w:val="28"/>
      </w:pPr>
      <w:r>
        <w:t xml:space="preserve">Hutchinson G (1957) Concluding remarks–cold spring harbor symposia on quantitative biology 22: 415–427. Reprinted in 1991: Classics in theoritical biology. Bull Math Biol 53:193–213</w:t>
      </w:r>
    </w:p>
    <w:bookmarkEnd w:id="71"/>
    <w:bookmarkStart w:id="72" w:name="ref-ingolfsson2009predators"/>
    <w:p>
      <w:pPr>
        <w:pStyle w:val="28"/>
      </w:pPr>
      <w:r>
        <w:t xml:space="preserve">Ingólfsson A (2009) Predators on rocky shores in the northern atlantic: Can the results of local experiments be generalized on a geographical scale? Estuarine, Coastal and Shelf Science 83:287–295</w:t>
      </w:r>
    </w:p>
    <w:bookmarkEnd w:id="72"/>
    <w:bookmarkStart w:id="73" w:name="ref-maltseva2021linking"/>
    <w:p>
      <w:pPr>
        <w:pStyle w:val="28"/>
      </w:pPr>
      <w:r>
        <w:t xml:space="preserve">Maltseva AL, Varfolomeeva MA, Ayanka RV, et al (2021) Linking ecology, morphology, and metabolism: Niche differentiation in sympatric populations of closely related species of the genus littorina (neritrema). Ecology and evolution 11:11134–11154</w:t>
      </w:r>
    </w:p>
    <w:bookmarkEnd w:id="73"/>
    <w:bookmarkStart w:id="74" w:name="ref-mcmahon1990thermal"/>
    <w:p>
      <w:pPr>
        <w:pStyle w:val="28"/>
      </w:pPr>
      <w:r>
        <w:t xml:space="preserve">McMahon RF (1990) Thermal tolerance, evaporative water loss, air-water oxygen consumption and zonation of intertidal prosobranchs: A new synthesis. In: Progress in littorinid and muricid biology: Proceedings of the second european meeting on littorinid biology, tj</w:t>
      </w:r>
      <w:r>
        <w:t xml:space="preserve">ä</w:t>
      </w:r>
      <w:r>
        <w:t xml:space="preserve">rn</w:t>
      </w:r>
      <w:r>
        <w:t xml:space="preserve">ö</w:t>
      </w:r>
      <w:r>
        <w:t xml:space="preserve"> </w:t>
      </w:r>
      <w:r>
        <w:t xml:space="preserve">marine biological laboratory, sweden, july 4–8, 1988. Springer, pp 241–260</w:t>
      </w:r>
    </w:p>
    <w:bookmarkEnd w:id="74"/>
    <w:bookmarkStart w:id="76" w:name="ref-R"/>
    <w:p>
      <w:pPr>
        <w:pStyle w:val="28"/>
      </w:pPr>
      <w:r>
        <w:t xml:space="preserve">R Core Team (2023)</w:t>
      </w:r>
      <w:r>
        <w:t xml:space="preserve"> </w:t>
      </w:r>
      <w:hyperlink r:id="rId75">
        <w:r>
          <w:rPr>
            <w:rStyle w:val="17"/>
          </w:rPr>
          <w:t xml:space="preserve">R: A language and environment for statistical computing</w:t>
        </w:r>
      </w:hyperlink>
      <w:r>
        <w:t xml:space="preserve">. R Foundation for Statistical Computing, Vienna, Austria</w:t>
      </w:r>
    </w:p>
    <w:bookmarkEnd w:id="76"/>
    <w:bookmarkStart w:id="77" w:name="ref-rolan1996differentiation"/>
    <w:p>
      <w:pPr>
        <w:pStyle w:val="28"/>
      </w:pPr>
      <w:r>
        <w:t xml:space="preserve">Rolán-Alvarez E, Rolán E, Johannesson K (1996) Differentiation in radular and embryonic characters, and further comments on gene flow, between two sympatric morphs of littorina saxatilis (olivi). Ophelia 45:1–15</w:t>
      </w:r>
    </w:p>
    <w:bookmarkEnd w:id="77"/>
    <w:bookmarkStart w:id="78" w:name="ref-sergievsky1997long"/>
    <w:p>
      <w:pPr>
        <w:pStyle w:val="28"/>
      </w:pPr>
      <w:r>
        <w:t xml:space="preserve">Sergievsky S, Granovitch A, Sokolova I (1997) Long-term studies of littorina obtusata and littorina saxatilis populations in the white sea. Oceanolica Acta 20:259–265</w:t>
      </w:r>
    </w:p>
    <w:bookmarkEnd w:id="78"/>
    <w:bookmarkStart w:id="79" w:name="ref-smith2012elements"/>
    <w:p>
      <w:pPr>
        <w:pStyle w:val="28"/>
      </w:pPr>
      <w:r>
        <w:t xml:space="preserve">Smith TM, Smith R (2012) Elements of ecology, eight editions. Person Benjamin Cummings: San Francisco 1–611</w:t>
      </w:r>
    </w:p>
    <w:bookmarkEnd w:id="79"/>
    <w:bookmarkStart w:id="80" w:name="ref-watson1987habitat"/>
    <w:p>
      <w:pPr>
        <w:pStyle w:val="28"/>
      </w:pPr>
      <w:r>
        <w:t xml:space="preserve">Watson DC, Norton TA (1987) The habitat and feeding preferences of littorina obtusata (l.) and l. Mariae sacchi et rastelli. Journal of Experimental Marine Biology and Ecology 112:61–72</w:t>
      </w:r>
    </w:p>
    <w:bookmarkEnd w:id="80"/>
    <w:bookmarkStart w:id="81" w:name="ref-mgcv2017"/>
    <w:p>
      <w:pPr>
        <w:pStyle w:val="28"/>
      </w:pPr>
      <w:r>
        <w:t xml:space="preserve">Wood SN (2017) Generalized additive models: An introduction with r, 2nd edn. Chapman; Hall/CRC</w:t>
      </w:r>
    </w:p>
    <w:bookmarkEnd w:id="81"/>
    <w:bookmarkStart w:id="82" w:name="ref-наумов1981зоологические"/>
    <w:p>
      <w:pPr>
        <w:pStyle w:val="28"/>
      </w:pPr>
      <w:r>
        <w:t xml:space="preserve">Наумов АД, Оленев АВ (1981) Зоологические экскурсии на белом море: Пособие для летней учебной практики по зоологии беспозвоночных. ЛГУ</w:t>
      </w:r>
    </w:p>
    <w:bookmarkEnd w:id="82"/>
    <w:bookmarkStart w:id="83" w:name="ref-наумов1993вечно"/>
    <w:p>
      <w:pPr>
        <w:pStyle w:val="28"/>
      </w:pPr>
      <w:r>
        <w:t xml:space="preserve">Наумов А, Федяков В (1993) Вечно живое белое море. СПб: Изд СПбГДТЮ</w:t>
      </w:r>
    </w:p>
    <w:bookmarkEnd w:id="83"/>
    <w:bookmarkEnd w:id="84"/>
    <w:bookmarkEnd w:id="85"/>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ocumentProtection w:enforcement="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qFormat="1" w:semiHidden="0" w:uiPriority="9"/>
    <w:lsdException w:name="annotation text" w:uiPriority="0"/>
    <w:lsdException w:name="header" w:uiPriority="0"/>
    <w:lsdException w:name="footer" w:uiPriority="0"/>
    <w:lsdException w:name="index heading" w:uiPriority="0"/>
    <w:lsdException w:name="caption" w:semiHidden="0" w:uiPriority="0" w:unhideWhenUsed="0"/>
    <w:lsdException w:name="table of figures" w:uiPriority="0"/>
    <w:lsdException w:name="envelope address" w:uiPriority="0"/>
    <w:lsdException w:name="envelope return" w:uiPriority="0"/>
    <w:lsdException w:name="footnote reference" w:semiHidden="0" w:uiPriority="0" w:unhideWhenUsed="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qFormat="1" w:semiHidden="0" w:uiPriority="0" w:unhideWhenUsed="0"/>
    <w:lsdException w:name="Closing" w:uiPriority="0"/>
    <w:lsdException w:name="Signature" w:uiPriority="0"/>
    <w:lsdException w:name="Default Paragraph Font" w:uiPriority="1"/>
    <w:lsdException w:name="Body Text" w:qFormat="1" w:semiHidden="0" w:uiPriority="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qFormat="1" w:semiHidden="0" w:uiPriority="0" w:unhideWhenUsed="0"/>
    <w:lsdException w:name="Salutation" w:uiPriority="0"/>
    <w:lsdException w:name="Date" w:qFormat="1" w:semiHidden="0" w:uiPriority="0" w:unhideWhenUsed="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semiHidden="0" w:uiPriority="0" w:unhideWhenUsed="0"/>
    <w:lsdException w:name="Block Text" w:qFormat="1" w:semiHidden="0" w:uiPriority="9"/>
    <w:lsdException w:name="Hyperlink"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0" w:unhideWhenUsed="0"/>
    <w:lsdException w:name="Table Theme" w:uiPriority="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jc w:val="center"/>
      <w:outlineLvl w:val="0"/>
    </w:pPr>
    <w:rPr>
      <w:rFonts w:ascii="Times New Roman" w:cstheme="majorBidi" w:eastAsiaTheme="majorEastAsia" w:hAnsi="Times New Roman"/>
      <w:b/>
      <w:bCs/>
      <w:sz w:val="28"/>
      <w:szCs w:val="32"/>
    </w:rPr>
  </w:style>
  <w:style w:styleId="4" w:type="paragraph">
    <w:name w:val="heading 2"/>
    <w:basedOn w:val="1"/>
    <w:next w:val="3"/>
    <w:unhideWhenUsed/>
    <w:qFormat/>
    <w:uiPriority w:val="9"/>
    <w:pPr>
      <w:keepNext/>
      <w:keepLines/>
      <w:spacing w:after="0" w:before="200" w:line="360" w:lineRule="auto"/>
      <w:ind w:firstLine="851"/>
      <w:outlineLvl w:val="1"/>
    </w:pPr>
    <w:rPr>
      <w:rFonts w:ascii="Times New Roman" w:cstheme="majorBidi" w:eastAsiaTheme="majorEastAsia" w:hAnsi="Times New Roman"/>
      <w:bCs/>
      <w:i/>
      <w:szCs w:val="28"/>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Cs/>
      <w:i/>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imes New Roman" w:cstheme="majorBidi" w:eastAsiaTheme="majorEastAsia" w:hAnsi="Times New Roman"/>
      <w:color w:themeColor="text1" w:val="000000"/>
      <w:sz w:val="20"/>
      <w14:textFill>
        <w14:solidFill>
          <w14:schemeClr w14:val="tx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14:textFill>
        <w14:solidFill>
          <w14:schemeClr w14:val="accent1"/>
        </w14:solidFill>
      </w14:textFill>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14:textFill>
        <w14:solidFill>
          <w14:schemeClr w14:val="accent1"/>
        </w14:solidFill>
      </w14:textFill>
    </w:rPr>
  </w:style>
  <w:style w:default="1" w:styleId="12" w:type="character">
    <w:name w:val="Default Paragraph Font"/>
    <w:semiHidden/>
    <w:unhideWhenUsed/>
    <w:uiPriority w:val="1"/>
  </w:style>
  <w:style w:default="1" w:styleId="13" w:type="table">
    <w:name w:val="Normal Table"/>
    <w:semiHidden/>
    <w:unhideWhenUsed/>
    <w:uiPriority w:val="99"/>
    <w:tblPr>
      <w:tblCellMar>
        <w:top w:type="dxa" w:w="0"/>
        <w:left w:type="dxa" w:w="108"/>
        <w:bottom w:type="dxa" w:w="0"/>
        <w:right w:type="dxa" w:w="108"/>
      </w:tblCellMar>
    </w:tblPr>
  </w:style>
  <w:style w:styleId="3" w:type="paragraph">
    <w:name w:val="Body Text"/>
    <w:basedOn w:val="1"/>
    <w:link w:val="70"/>
    <w:qFormat/>
    <w:uiPriority w:val="0"/>
    <w:pPr>
      <w:spacing w:after="180" w:before="180" w:line="360" w:lineRule="auto"/>
      <w:ind w:firstLine="851"/>
      <w:jc w:val="both"/>
    </w:pPr>
    <w:rPr>
      <w:rFonts w:ascii="Times New Roman" w:hAnsi="Times New Roman"/>
    </w:rPr>
  </w:style>
  <w:style w:styleId="14" w:type="character">
    <w:name w:val="footnote reference"/>
    <w:basedOn w:val="15"/>
    <w:uiPriority w:val="0"/>
    <w:rPr>
      <w:vertAlign w:val="superscript"/>
    </w:rPr>
  </w:style>
  <w:style w:customStyle="1" w:styleId="15" w:type="character">
    <w:name w:val="Название объекта Знак"/>
    <w:basedOn w:val="12"/>
    <w:link w:val="16"/>
    <w:uiPriority w:val="0"/>
  </w:style>
  <w:style w:styleId="16" w:type="paragraph">
    <w:name w:val="caption"/>
    <w:basedOn w:val="1"/>
    <w:link w:val="15"/>
    <w:uiPriority w:val="0"/>
    <w:pPr>
      <w:spacing w:after="120"/>
    </w:pPr>
    <w:rPr>
      <w:i/>
    </w:rPr>
  </w:style>
  <w:style w:styleId="17" w:type="character">
    <w:name w:val="Hyperlink"/>
    <w:basedOn w:val="15"/>
    <w:uiPriority w:val="0"/>
    <w:rPr>
      <w:color w:themeColor="accent1" w:val="4F81BD"/>
      <w14:textFill>
        <w14:solidFill>
          <w14:schemeClr w14:val="accent1"/>
        </w14:solidFill>
      </w14:textFill>
    </w:rPr>
  </w:style>
  <w:style w:styleId="18" w:type="paragraph">
    <w:name w:val="footnote text"/>
    <w:basedOn w:val="1"/>
    <w:unhideWhenUsed/>
    <w:qFormat/>
    <w:uiPriority w:val="9"/>
  </w:style>
  <w:style w:styleId="19"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20" w:type="paragraph">
    <w:name w:val="Title"/>
    <w:basedOn w:val="1"/>
    <w:next w:val="3"/>
    <w:qFormat/>
    <w:uiPriority w:val="0"/>
    <w:pPr>
      <w:keepNext/>
      <w:keepLines/>
      <w:spacing w:after="240" w:before="480"/>
      <w:jc w:val="center"/>
    </w:pPr>
    <w:rPr>
      <w:rFonts w:ascii="Times New Roman" w:cstheme="majorBidi" w:eastAsiaTheme="majorEastAsia" w:hAnsi="Times New Roman"/>
      <w:b/>
      <w:bCs/>
      <w:sz w:val="28"/>
      <w:szCs w:val="36"/>
    </w:rPr>
  </w:style>
  <w:style w:styleId="21" w:type="paragraph">
    <w:name w:val="Subtitle"/>
    <w:basedOn w:val="20"/>
    <w:next w:val="3"/>
    <w:qFormat/>
    <w:uiPriority w:val="0"/>
    <w:pPr>
      <w:spacing w:before="240"/>
    </w:pPr>
    <w:rPr>
      <w:sz w:val="30"/>
      <w:szCs w:val="30"/>
    </w:rPr>
  </w:style>
  <w:style w:styleId="22" w:type="paragraph">
    <w:name w:val="Block Text"/>
    <w:basedOn w:val="3"/>
    <w:next w:val="3"/>
    <w:unhideWhenUsed/>
    <w:qFormat/>
    <w:uiPriority w:val="9"/>
    <w:pPr>
      <w:spacing w:after="100" w:before="100"/>
      <w:ind w:firstLine="0" w:left="480" w:right="480"/>
    </w:pPr>
  </w:style>
  <w:style w:customStyle="1" w:styleId="23" w:type="paragraph">
    <w:name w:val="Image Caption"/>
    <w:basedOn w:val="16"/>
    <w:uiPriority w:val="0"/>
  </w:style>
  <w:style w:customStyle="1" w:styleId="24" w:type="paragraph">
    <w:name w:val="First Paragraph"/>
    <w:basedOn w:val="3"/>
    <w:next w:val="3"/>
    <w:qFormat/>
    <w:uiPriority w:val="0"/>
  </w:style>
  <w:style w:customStyle="1" w:styleId="25" w:type="paragraph">
    <w:name w:val="Compact"/>
    <w:basedOn w:val="3"/>
    <w:qFormat/>
    <w:uiPriority w:val="0"/>
    <w:pPr>
      <w:spacing w:after="36" w:before="36"/>
      <w:ind w:firstLine="0"/>
    </w:pPr>
  </w:style>
  <w:style w:customStyle="1" w:styleId="26"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7" w:type="paragraph">
    <w:name w:val="Abstract"/>
    <w:basedOn w:val="1"/>
    <w:next w:val="3"/>
    <w:qFormat/>
    <w:uiPriority w:val="0"/>
    <w:pPr>
      <w:keepNext/>
      <w:keepLines/>
      <w:spacing w:after="300" w:before="300"/>
    </w:pPr>
    <w:rPr>
      <w:sz w:val="20"/>
      <w:szCs w:val="20"/>
    </w:rPr>
  </w:style>
  <w:style w:customStyle="1" w:styleId="28" w:type="paragraph">
    <w:name w:val="Bibliography"/>
    <w:basedOn w:val="1"/>
    <w:qFormat/>
    <w:uiPriority w:val="0"/>
    <w:pPr>
      <w:spacing w:line="360" w:lineRule="auto"/>
      <w:ind w:firstLine="562" w:firstLineChars="200"/>
      <w:jc w:val="both"/>
    </w:pPr>
    <w:rPr>
      <w:rFonts w:asciiTheme="minorAscii" w:eastAsiaTheme="minorEastAsia" w:hAnsiTheme="minorAscii"/>
    </w:rPr>
  </w:style>
  <w:style w:customStyle="1" w:styleId="29" w:type="table">
    <w:name w:val="Table"/>
    <w:semiHidden/>
    <w:unhideWhenUsed/>
    <w:qFormat/>
    <w:uiPriority w:val="0"/>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30" w:type="paragraph">
    <w:name w:val="Definition Term"/>
    <w:basedOn w:val="1"/>
    <w:next w:val="31"/>
    <w:uiPriority w:val="0"/>
    <w:pPr>
      <w:keepNext/>
      <w:keepLines/>
      <w:spacing w:after="0"/>
    </w:pPr>
    <w:rPr>
      <w:b/>
    </w:rPr>
  </w:style>
  <w:style w:customStyle="1" w:styleId="31" w:type="paragraph">
    <w:name w:val="Definition"/>
    <w:basedOn w:val="1"/>
    <w:uiPriority w:val="0"/>
  </w:style>
  <w:style w:customStyle="1" w:styleId="32" w:type="paragraph">
    <w:name w:val="Table Caption"/>
    <w:basedOn w:val="16"/>
    <w:uiPriority w:val="0"/>
    <w:pPr>
      <w:keepNext/>
    </w:pPr>
  </w:style>
  <w:style w:customStyle="1" w:styleId="33" w:type="paragraph">
    <w:name w:val="Figure"/>
    <w:basedOn w:val="1"/>
    <w:uiPriority w:val="0"/>
  </w:style>
  <w:style w:customStyle="1" w:styleId="34" w:type="paragraph">
    <w:name w:val="Captioned Figure"/>
    <w:basedOn w:val="33"/>
    <w:uiPriority w:val="0"/>
    <w:pPr>
      <w:keepNext/>
    </w:pPr>
  </w:style>
  <w:style w:customStyle="1" w:styleId="35" w:type="character">
    <w:name w:val="Verbatim Char"/>
    <w:basedOn w:val="15"/>
    <w:link w:val="36"/>
    <w:uiPriority w:val="0"/>
    <w:rPr>
      <w:rFonts w:ascii="Consolas" w:hAnsi="Consolas"/>
      <w:sz w:val="22"/>
    </w:rPr>
  </w:style>
  <w:style w:customStyle="1" w:styleId="36" w:type="paragraph">
    <w:name w:val="Source Code"/>
    <w:basedOn w:val="1"/>
    <w:link w:val="35"/>
    <w:uiPriority w:val="0"/>
    <w:pPr>
      <w:shd w:color="auto" w:fill="F8F8F8" w:val="clear"/>
      <w:wordWrap w:val="0"/>
    </w:pPr>
  </w:style>
  <w:style w:customStyle="1" w:styleId="37" w:type="character">
    <w:name w:val="Section Number"/>
    <w:basedOn w:val="15"/>
    <w:uiPriority w:val="0"/>
  </w:style>
  <w:style w:customStyle="1" w:styleId="38"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9" w:type="character">
    <w:name w:val="KeywordTok"/>
    <w:basedOn w:val="35"/>
    <w:uiPriority w:val="0"/>
    <w:rPr>
      <w:rFonts w:ascii="Consolas" w:hAnsi="Consolas"/>
      <w:b/>
      <w:color w:val="204A87"/>
      <w:sz w:val="22"/>
      <w:shd w:color="auto" w:fill="F8F8F8" w:val="clear"/>
    </w:rPr>
  </w:style>
  <w:style w:customStyle="1" w:styleId="40" w:type="character">
    <w:name w:val="DataTypeTok"/>
    <w:basedOn w:val="35"/>
    <w:uiPriority w:val="0"/>
    <w:rPr>
      <w:rFonts w:ascii="Consolas" w:hAnsi="Consolas"/>
      <w:color w:val="204A87"/>
      <w:sz w:val="22"/>
      <w:shd w:color="auto" w:fill="F8F8F8" w:val="clear"/>
    </w:rPr>
  </w:style>
  <w:style w:customStyle="1" w:styleId="41" w:type="character">
    <w:name w:val="DecValTok"/>
    <w:basedOn w:val="35"/>
    <w:uiPriority w:val="0"/>
    <w:rPr>
      <w:rFonts w:ascii="Consolas" w:hAnsi="Consolas"/>
      <w:color w:val="0000CF"/>
      <w:sz w:val="22"/>
      <w:shd w:color="auto" w:fill="F8F8F8" w:val="clear"/>
    </w:rPr>
  </w:style>
  <w:style w:customStyle="1" w:styleId="42" w:type="character">
    <w:name w:val="BaseNTok"/>
    <w:basedOn w:val="35"/>
    <w:uiPriority w:val="0"/>
    <w:rPr>
      <w:rFonts w:ascii="Consolas" w:hAnsi="Consolas"/>
      <w:color w:val="0000CF"/>
      <w:sz w:val="22"/>
      <w:shd w:color="auto" w:fill="F8F8F8" w:val="clear"/>
    </w:rPr>
  </w:style>
  <w:style w:customStyle="1" w:styleId="43" w:type="character">
    <w:name w:val="FloatTok"/>
    <w:basedOn w:val="35"/>
    <w:uiPriority w:val="0"/>
    <w:rPr>
      <w:rFonts w:ascii="Consolas" w:hAnsi="Consolas"/>
      <w:color w:val="0000CF"/>
      <w:sz w:val="22"/>
      <w:shd w:color="auto" w:fill="F8F8F8" w:val="clear"/>
    </w:rPr>
  </w:style>
  <w:style w:customStyle="1" w:styleId="44" w:type="character">
    <w:name w:val="ConstantTok"/>
    <w:basedOn w:val="35"/>
    <w:uiPriority w:val="0"/>
    <w:rPr>
      <w:rFonts w:ascii="Consolas" w:hAnsi="Consolas"/>
      <w:color w:val="000000"/>
      <w:sz w:val="22"/>
      <w:shd w:color="auto" w:fill="F8F8F8" w:val="clear"/>
    </w:rPr>
  </w:style>
  <w:style w:customStyle="1" w:styleId="45" w:type="character">
    <w:name w:val="CharTok"/>
    <w:basedOn w:val="35"/>
    <w:uiPriority w:val="0"/>
    <w:rPr>
      <w:rFonts w:ascii="Consolas" w:hAnsi="Consolas"/>
      <w:color w:val="4E9A06"/>
      <w:sz w:val="22"/>
      <w:shd w:color="auto" w:fill="F8F8F8" w:val="clear"/>
    </w:rPr>
  </w:style>
  <w:style w:customStyle="1" w:styleId="46" w:type="character">
    <w:name w:val="SpecialCharTok"/>
    <w:basedOn w:val="35"/>
    <w:uiPriority w:val="0"/>
    <w:rPr>
      <w:rFonts w:ascii="Consolas" w:hAnsi="Consolas"/>
      <w:color w:val="000000"/>
      <w:sz w:val="22"/>
      <w:shd w:color="auto" w:fill="F8F8F8" w:val="clear"/>
    </w:rPr>
  </w:style>
  <w:style w:customStyle="1" w:styleId="47" w:type="character">
    <w:name w:val="StringTok"/>
    <w:basedOn w:val="35"/>
    <w:uiPriority w:val="0"/>
    <w:rPr>
      <w:rFonts w:ascii="Consolas" w:hAnsi="Consolas"/>
      <w:color w:val="4E9A06"/>
      <w:sz w:val="22"/>
      <w:shd w:color="auto" w:fill="F8F8F8" w:val="clear"/>
    </w:rPr>
  </w:style>
  <w:style w:customStyle="1" w:styleId="48" w:type="character">
    <w:name w:val="VerbatimStringTok"/>
    <w:basedOn w:val="35"/>
    <w:uiPriority w:val="0"/>
    <w:rPr>
      <w:rFonts w:ascii="Consolas" w:hAnsi="Consolas"/>
      <w:color w:val="4E9A06"/>
      <w:sz w:val="22"/>
      <w:shd w:color="auto" w:fill="F8F8F8" w:val="clear"/>
    </w:rPr>
  </w:style>
  <w:style w:customStyle="1" w:styleId="49" w:type="character">
    <w:name w:val="SpecialStringTok"/>
    <w:basedOn w:val="35"/>
    <w:uiPriority w:val="0"/>
    <w:rPr>
      <w:rFonts w:ascii="Consolas" w:hAnsi="Consolas"/>
      <w:color w:val="4E9A06"/>
      <w:sz w:val="22"/>
      <w:shd w:color="auto" w:fill="F8F8F8" w:val="clear"/>
    </w:rPr>
  </w:style>
  <w:style w:customStyle="1" w:styleId="50" w:type="character">
    <w:name w:val="ImportTok"/>
    <w:basedOn w:val="35"/>
    <w:uiPriority w:val="0"/>
    <w:rPr>
      <w:rFonts w:ascii="Consolas" w:hAnsi="Consolas"/>
      <w:sz w:val="22"/>
      <w:shd w:color="auto" w:fill="F8F8F8" w:val="clear"/>
    </w:rPr>
  </w:style>
  <w:style w:customStyle="1" w:styleId="51" w:type="character">
    <w:name w:val="CommentTok"/>
    <w:basedOn w:val="35"/>
    <w:uiPriority w:val="0"/>
    <w:rPr>
      <w:rFonts w:ascii="Consolas" w:hAnsi="Consolas"/>
      <w:i/>
      <w:color w:val="8F5902"/>
      <w:sz w:val="22"/>
      <w:shd w:color="auto" w:fill="F8F8F8" w:val="clear"/>
    </w:rPr>
  </w:style>
  <w:style w:customStyle="1" w:styleId="52" w:type="character">
    <w:name w:val="DocumentationTok"/>
    <w:basedOn w:val="35"/>
    <w:uiPriority w:val="0"/>
    <w:rPr>
      <w:rFonts w:ascii="Consolas" w:hAnsi="Consolas"/>
      <w:b/>
      <w:i/>
      <w:color w:val="8F5902"/>
      <w:sz w:val="22"/>
      <w:shd w:color="auto" w:fill="F8F8F8" w:val="clear"/>
    </w:rPr>
  </w:style>
  <w:style w:customStyle="1" w:styleId="53" w:type="character">
    <w:name w:val="AnnotationTok"/>
    <w:basedOn w:val="35"/>
    <w:uiPriority w:val="0"/>
    <w:rPr>
      <w:rFonts w:ascii="Consolas" w:hAnsi="Consolas"/>
      <w:b/>
      <w:i/>
      <w:color w:val="8F5902"/>
      <w:sz w:val="22"/>
      <w:shd w:color="auto" w:fill="F8F8F8" w:val="clear"/>
    </w:rPr>
  </w:style>
  <w:style w:customStyle="1" w:styleId="54" w:type="character">
    <w:name w:val="CommentVarTok"/>
    <w:basedOn w:val="35"/>
    <w:uiPriority w:val="0"/>
    <w:rPr>
      <w:rFonts w:ascii="Consolas" w:hAnsi="Consolas"/>
      <w:b/>
      <w:i/>
      <w:color w:val="8F5902"/>
      <w:sz w:val="22"/>
      <w:shd w:color="auto" w:fill="F8F8F8" w:val="clear"/>
    </w:rPr>
  </w:style>
  <w:style w:customStyle="1" w:styleId="55" w:type="character">
    <w:name w:val="OtherTok"/>
    <w:basedOn w:val="35"/>
    <w:uiPriority w:val="0"/>
    <w:rPr>
      <w:rFonts w:ascii="Consolas" w:hAnsi="Consolas"/>
      <w:color w:val="8F5902"/>
      <w:sz w:val="22"/>
      <w:shd w:color="auto" w:fill="F8F8F8" w:val="clear"/>
    </w:rPr>
  </w:style>
  <w:style w:customStyle="1" w:styleId="56" w:type="character">
    <w:name w:val="FunctionTok"/>
    <w:basedOn w:val="35"/>
    <w:uiPriority w:val="0"/>
    <w:rPr>
      <w:rFonts w:ascii="Consolas" w:hAnsi="Consolas"/>
      <w:color w:val="000000"/>
      <w:sz w:val="22"/>
      <w:shd w:color="auto" w:fill="F8F8F8" w:val="clear"/>
    </w:rPr>
  </w:style>
  <w:style w:customStyle="1" w:styleId="57" w:type="character">
    <w:name w:val="VariableTok"/>
    <w:basedOn w:val="35"/>
    <w:uiPriority w:val="0"/>
    <w:rPr>
      <w:rFonts w:ascii="Consolas" w:hAnsi="Consolas"/>
      <w:color w:val="000000"/>
      <w:sz w:val="22"/>
      <w:shd w:color="auto" w:fill="F8F8F8" w:val="clear"/>
    </w:rPr>
  </w:style>
  <w:style w:customStyle="1" w:styleId="58" w:type="character">
    <w:name w:val="ControlFlowTok"/>
    <w:basedOn w:val="35"/>
    <w:uiPriority w:val="0"/>
    <w:rPr>
      <w:rFonts w:ascii="Consolas" w:hAnsi="Consolas"/>
      <w:b/>
      <w:color w:val="204A87"/>
      <w:sz w:val="22"/>
      <w:shd w:color="auto" w:fill="F8F8F8" w:val="clear"/>
    </w:rPr>
  </w:style>
  <w:style w:customStyle="1" w:styleId="59" w:type="character">
    <w:name w:val="OperatorTok"/>
    <w:basedOn w:val="35"/>
    <w:uiPriority w:val="0"/>
    <w:rPr>
      <w:rFonts w:ascii="Consolas" w:hAnsi="Consolas"/>
      <w:b/>
      <w:color w:val="CE5C00"/>
      <w:sz w:val="22"/>
      <w:shd w:color="auto" w:fill="F8F8F8" w:val="clear"/>
    </w:rPr>
  </w:style>
  <w:style w:customStyle="1" w:styleId="60" w:type="character">
    <w:name w:val="BuiltInTok"/>
    <w:basedOn w:val="35"/>
    <w:uiPriority w:val="0"/>
    <w:rPr>
      <w:rFonts w:ascii="Consolas" w:hAnsi="Consolas"/>
      <w:sz w:val="22"/>
      <w:shd w:color="auto" w:fill="F8F8F8" w:val="clear"/>
    </w:rPr>
  </w:style>
  <w:style w:customStyle="1" w:styleId="61" w:type="character">
    <w:name w:val="ExtensionTok"/>
    <w:basedOn w:val="35"/>
    <w:uiPriority w:val="0"/>
    <w:rPr>
      <w:rFonts w:ascii="Consolas" w:hAnsi="Consolas"/>
      <w:sz w:val="22"/>
      <w:shd w:color="auto" w:fill="F8F8F8" w:val="clear"/>
    </w:rPr>
  </w:style>
  <w:style w:customStyle="1" w:styleId="62" w:type="character">
    <w:name w:val="PreprocessorTok"/>
    <w:basedOn w:val="35"/>
    <w:uiPriority w:val="0"/>
    <w:rPr>
      <w:rFonts w:ascii="Consolas" w:hAnsi="Consolas"/>
      <w:i/>
      <w:color w:val="8F5902"/>
      <w:sz w:val="22"/>
      <w:shd w:color="auto" w:fill="F8F8F8" w:val="clear"/>
    </w:rPr>
  </w:style>
  <w:style w:customStyle="1" w:styleId="63" w:type="character">
    <w:name w:val="AttributeTok"/>
    <w:basedOn w:val="35"/>
    <w:uiPriority w:val="0"/>
    <w:rPr>
      <w:rFonts w:ascii="Consolas" w:hAnsi="Consolas"/>
      <w:color w:val="C4A000"/>
      <w:sz w:val="22"/>
      <w:shd w:color="auto" w:fill="F8F8F8" w:val="clear"/>
    </w:rPr>
  </w:style>
  <w:style w:customStyle="1" w:styleId="64" w:type="character">
    <w:name w:val="RegionMarkerTok"/>
    <w:basedOn w:val="35"/>
    <w:uiPriority w:val="0"/>
    <w:rPr>
      <w:rFonts w:ascii="Consolas" w:hAnsi="Consolas"/>
      <w:sz w:val="22"/>
      <w:shd w:color="auto" w:fill="F8F8F8" w:val="clear"/>
    </w:rPr>
  </w:style>
  <w:style w:customStyle="1" w:styleId="65" w:type="character">
    <w:name w:val="InformationTok"/>
    <w:basedOn w:val="35"/>
    <w:uiPriority w:val="0"/>
    <w:rPr>
      <w:rFonts w:ascii="Consolas" w:hAnsi="Consolas"/>
      <w:b/>
      <w:i/>
      <w:color w:val="8F5902"/>
      <w:sz w:val="22"/>
      <w:shd w:color="auto" w:fill="F8F8F8" w:val="clear"/>
    </w:rPr>
  </w:style>
  <w:style w:customStyle="1" w:styleId="66" w:type="character">
    <w:name w:val="WarningTok"/>
    <w:basedOn w:val="35"/>
    <w:uiPriority w:val="0"/>
    <w:rPr>
      <w:rFonts w:ascii="Consolas" w:hAnsi="Consolas"/>
      <w:b/>
      <w:i/>
      <w:color w:val="8F5902"/>
      <w:sz w:val="22"/>
      <w:shd w:color="auto" w:fill="F8F8F8" w:val="clear"/>
    </w:rPr>
  </w:style>
  <w:style w:customStyle="1" w:styleId="67" w:type="character">
    <w:name w:val="AlertTok"/>
    <w:basedOn w:val="35"/>
    <w:uiPriority w:val="0"/>
    <w:rPr>
      <w:rFonts w:ascii="Consolas" w:hAnsi="Consolas"/>
      <w:color w:val="EF2929"/>
      <w:sz w:val="22"/>
      <w:shd w:color="auto" w:fill="F8F8F8" w:val="clear"/>
    </w:rPr>
  </w:style>
  <w:style w:customStyle="1" w:styleId="68" w:type="character">
    <w:name w:val="ErrorTok"/>
    <w:basedOn w:val="35"/>
    <w:uiPriority w:val="0"/>
    <w:rPr>
      <w:rFonts w:ascii="Consolas" w:hAnsi="Consolas"/>
      <w:b/>
      <w:color w:val="A40000"/>
      <w:sz w:val="22"/>
      <w:shd w:color="auto" w:fill="F8F8F8" w:val="clear"/>
    </w:rPr>
  </w:style>
  <w:style w:customStyle="1" w:styleId="69" w:type="character">
    <w:name w:val="NormalTok"/>
    <w:basedOn w:val="35"/>
    <w:uiPriority w:val="0"/>
    <w:rPr>
      <w:rFonts w:ascii="Consolas" w:hAnsi="Consolas"/>
      <w:sz w:val="22"/>
      <w:shd w:color="auto" w:fill="F8F8F8" w:val="clear"/>
    </w:rPr>
  </w:style>
  <w:style w:customStyle="1" w:styleId="70" w:type="character">
    <w:name w:val="Основной текст Знак"/>
    <w:basedOn w:val="12"/>
    <w:link w:val="3"/>
    <w:uiPriority w:val="0"/>
    <w:rPr>
      <w:rFonts w:ascii="Times New Roman" w:hAnsi="Times New Roman"/>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75" Target="https://www.R-project.org/" TargetMode="External" /><Relationship Type="http://schemas.openxmlformats.org/officeDocument/2006/relationships/hyperlink" Id="rId63"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5" Target="https://www.R-project.org/" TargetMode="External" /><Relationship Type="http://schemas.openxmlformats.org/officeDocument/2006/relationships/hyperlink" Id="rId63"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432</Words>
  <Characters>2464</Characters>
  <Lines>20</Lines>
  <Paragraphs>5</Paragraphs>
  <TotalTime>1</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2025-01-18T17:52:58Z</dcterms:created>
  <dcterms:modified xsi:type="dcterms:W3CDTF">2025-01-18T17:52:58Z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marine-biology.csl</vt:lpwstr>
  </property>
  <property fmtid="{D5CDD505-2E9C-101B-9397-08002B2CF9AE}" pid="4" name="output">
    <vt:lpwstr/>
  </property>
</Properties>
</file>