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6.png" ContentType="image/png"/>
  <Override PartName="/word/media/rId31.png" ContentType="image/png"/>
  <Override PartName="/word/media/rId43.png" ContentType="image/png"/>
  <Override PartName="/word/media/rId46.png" ContentType="image/png"/>
  <Override PartName="/word/media/rId49.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4536335aade25afef844b2b4584d52d22721370"/>
    <w:p>
      <w:pPr>
        <w:pStyle w:val="1"/>
      </w:pPr>
      <w:r>
        <w:t xml:space="preserve">Разделение каких экологических ниш Littorina saxatilis и L. obtusata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29" w:name="section"/>
    <w:p>
      <w:pPr>
        <w:pStyle w:val="1"/>
      </w:pPr>
      <w:r>
        <w:t xml:space="preserve">2024</w:t>
      </w:r>
    </w:p>
    <w:p>
      <w:r>
        <w:br w:type="page"/>
      </w:r>
    </w:p>
    <w:bookmarkEnd w:id="29"/>
    <w:bookmarkStart w:id="30"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w:t>
      </w:r>
    </w:p>
    <w:p>
      <w:pPr>
        <w:pStyle w:val="a0"/>
      </w:pPr>
      <w:r>
        <w:t xml:space="preserve">, влияя на то, как виды сосуществуют и разделяются, используя различные ресурсы и условия окружающей среды для снижения конкуренции (</w:t>
      </w:r>
      <w:r>
        <w:t xml:space="preserve">Reyes-Puig et al. (2024)</w:t>
      </w:r>
      <w:r>
        <w:t xml:space="preserve">). Дифференциация на специфические ниши включает пространственную, трофическую, временную и/или их комбинацию (</w:t>
      </w:r>
      <w:r>
        <w:t xml:space="preserve">Guo (2012)</w:t>
      </w:r>
      <w:r>
        <w:t xml:space="preserve">).</w:t>
      </w:r>
    </w:p>
    <w:p>
      <w:pPr>
        <w:pStyle w:val="a0"/>
      </w:pPr>
      <w:r>
        <w:t xml:space="preserve">У пресноводных улиток рода</w:t>
      </w:r>
      <w:r>
        <w:t xml:space="preserve"> </w:t>
      </w:r>
      <w:r>
        <w:rPr>
          <w:i/>
          <w:iCs/>
        </w:rPr>
        <w:t xml:space="preserve">Tylomelania</w:t>
      </w:r>
      <w:r>
        <w:t xml:space="preserve"> </w:t>
      </w:r>
      <w:r>
        <w:t xml:space="preserve">адаптивная радиация, вероятно, способствовала трофическая специализация через диверсификацию их ключевого кормового органа - радулы (</w:t>
      </w:r>
      <w:r>
        <w:t xml:space="preserve">Hilgers et al. (2022)</w:t>
      </w:r>
      <w:r>
        <w:t xml:space="preserve">).</w:t>
      </w:r>
    </w:p>
    <w:p>
      <w:pPr>
        <w:pStyle w:val="a0"/>
      </w:pPr>
      <w:r>
        <w:t xml:space="preserve">Так в работе Гуо</w:t>
      </w:r>
      <w:r>
        <w:t xml:space="preserve"> </w:t>
      </w:r>
      <w:r>
        <w:t xml:space="preserve">Guo (2012)</w:t>
      </w:r>
      <w:r>
        <w:t xml:space="preserve">, было показано, на примере бычков</w:t>
      </w:r>
      <w:r>
        <w:t xml:space="preserve"> </w:t>
      </w:r>
      <w:r>
        <w:rPr>
          <w:i/>
          <w:iCs/>
        </w:rPr>
        <w:t xml:space="preserve">Rhinogobius cliffordpopei</w:t>
      </w:r>
      <w:r>
        <w:t xml:space="preserve"> </w:t>
      </w:r>
      <w:r>
        <w:t xml:space="preserve">и</w:t>
      </w:r>
      <w:r>
        <w:t xml:space="preserve"> </w:t>
      </w:r>
      <w:r>
        <w:rPr>
          <w:i/>
          <w:iCs/>
        </w:rPr>
        <w:t xml:space="preserve">Rhinogobius giurius</w:t>
      </w:r>
      <w:r>
        <w:t xml:space="preserve">, разделение экологических ниш двумя схожими вида в пространстве, времени и пищевых объектах.</w:t>
      </w:r>
    </w:p>
    <w:p>
      <w:pPr>
        <w:pStyle w:val="a0"/>
      </w:pPr>
      <w:r>
        <w:t xml:space="preserve">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 (</w:t>
      </w:r>
      <w:r>
        <w:t xml:space="preserve">Cooper (2024)</w:t>
      </w:r>
      <w:r>
        <w:t xml:space="preserve">).</w:t>
      </w:r>
    </w:p>
    <w:p>
      <w:pPr>
        <w:pStyle w:val="a0"/>
      </w:pPr>
      <w:r>
        <w:t xml:space="preserve">В данном исследование изучалось разделение экологических ниш между двумя вида моллюсков:</w:t>
      </w:r>
      <w:r>
        <w:t xml:space="preserve"> </w:t>
      </w:r>
      <w:r>
        <w:rPr>
          <w:i/>
          <w:iCs/>
        </w:rPr>
        <w:t xml:space="preserve">L.saxatilis</w:t>
      </w:r>
      <w:r>
        <w:t xml:space="preserve"> </w:t>
      </w:r>
      <w:r>
        <w:t xml:space="preserve">(далее саксатилис) и</w:t>
      </w:r>
      <w:r>
        <w:t xml:space="preserve"> </w:t>
      </w:r>
      <w:r>
        <w:rPr>
          <w:i/>
          <w:iCs/>
        </w:rPr>
        <w:t xml:space="preserve">L.obtusata</w:t>
      </w:r>
      <w:r>
        <w:t xml:space="preserve"> </w:t>
      </w:r>
      <w:r>
        <w:t xml:space="preserve">(далее обтузата). Понимание различий в экологических нишах между</w:t>
      </w:r>
      <w:r>
        <w:t xml:space="preserve"> </w:t>
      </w:r>
      <w:r>
        <w:rPr>
          <w:i/>
          <w:iCs/>
        </w:rPr>
        <w:t xml:space="preserve">L.saxatilis</w:t>
      </w:r>
      <w:r>
        <w:t xml:space="preserve"> </w:t>
      </w:r>
      <w:r>
        <w:t xml:space="preserve">и</w:t>
      </w:r>
      <w:r>
        <w:t xml:space="preserve"> </w:t>
      </w:r>
      <w:r>
        <w:rPr>
          <w:i/>
          <w:iCs/>
        </w:rPr>
        <w:t xml:space="preserve">L.obtusata</w:t>
      </w:r>
      <w:r>
        <w:t xml:space="preserve"> </w:t>
      </w:r>
      <w:r>
        <w:t xml:space="preserve">очень важно, поскольку оно показывает, как экологическая диверсификация смягчает межвидовую конкуренцию, способствует эффективной эксплуатации ресурсов и вносит вклад в процесс экологического видообразования в симпатрических популяциях (</w:t>
      </w:r>
      <w:r>
        <w:t xml:space="preserve">Maltseva et al. (2021)</w:t>
      </w:r>
      <w:r>
        <w:t xml:space="preserve">). Целью данной работы было оценить расхождение ареалов обитания</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и установить возможные причины такого разделения. В задачи исследования входило: определить, как в зависимости от высоты меняется процентное соотношение этих двух видов моллюсков и какие могут быть причины такого разделения экологических ниш.</w:t>
      </w:r>
    </w:p>
    <w:bookmarkEnd w:id="30"/>
    <w:bookmarkStart w:id="42" w:name="материалы-и-методика"/>
    <w:p>
      <w:pPr>
        <w:pStyle w:val="1"/>
      </w:pPr>
      <w:r>
        <w:t xml:space="preserve">Материалы и методика</w:t>
      </w:r>
    </w:p>
    <w:bookmarkStart w:id="34"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w:t>
      </w:r>
    </w:p>
    <w:p>
      <w:pPr>
        <w:pStyle w:val="CaptionedFigure"/>
      </w:pPr>
      <w:r>
        <w:drawing>
          <wp:inline>
            <wp:extent cx="6146800" cy="3911095"/>
            <wp:effectExtent b="0" l="0" r="0" t="0"/>
            <wp:docPr descr="Место сбора материалла для исследования" title="" id="32" name="Picture"/>
            <a:graphic>
              <a:graphicData uri="http://schemas.openxmlformats.org/drawingml/2006/picture">
                <pic:pic>
                  <pic:nvPicPr>
                    <pic:cNvPr descr="Figures/photo_from_satellite.png" id="33" name="Picture"/>
                    <pic:cNvPicPr>
                      <a:picLocks noChangeArrowheads="1" noChangeAspect="1"/>
                    </pic:cNvPicPr>
                  </pic:nvPicPr>
                  <pic:blipFill>
                    <a:blip r:embed="rId31"/>
                    <a:stretch>
                      <a:fillRect/>
                    </a:stretch>
                  </pic:blipFill>
                  <pic:spPr bwMode="auto">
                    <a:xfrm>
                      <a:off x="0" y="0"/>
                      <a:ext cx="6146800" cy="3911095"/>
                    </a:xfrm>
                    <a:prstGeom prst="rect">
                      <a:avLst/>
                    </a:prstGeom>
                    <a:noFill/>
                    <a:ln w="9525">
                      <a:noFill/>
                      <a:headEnd/>
                      <a:tailEnd/>
                    </a:ln>
                  </pic:spPr>
                </pic:pic>
              </a:graphicData>
            </a:graphic>
          </wp:inline>
        </w:drawing>
      </w:r>
    </w:p>
    <w:p>
      <w:pPr>
        <w:pStyle w:val="ImageCaption"/>
      </w:pPr>
      <w:r>
        <w:t xml:space="preserve">Место сбора материалла для исследования</w:t>
      </w:r>
    </w:p>
    <w:bookmarkEnd w:id="34"/>
    <w:bookmarkStart w:id="35" w:name="эксперимент-1"/>
    <w:p>
      <w:pPr>
        <w:pStyle w:val="2"/>
      </w:pPr>
      <w:r>
        <w:t xml:space="preserve">Эксперимент №1</w:t>
      </w:r>
    </w:p>
    <w:p>
      <w:pPr>
        <w:pStyle w:val="FirstParagraph"/>
      </w:pPr>
      <w:r>
        <w:t xml:space="preserve">В этом эксперименте подсчитывали число число моллюсков на разных уровнях литорали. Это нужно, чтобы оценить соотношение Lo и Ls 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Первая трансекта была поделена на двенадцать уровней. Первый уровень был отмечен колышком, находящимся на высоте 145,9 метров над нульом глубин. Все последующие колышки находились на расстоянии 5 метров. Вторая трансекта была поделена на девять уровней. Первый колышек второй трансекты находился на высоте 72,3 метра над нульом глубин. Промежуток между колышками составлял 10 метров, кроме трех последних, расстояние между которыми было 5 метров. Для взятия проб использовалась рамка 1/40 метра квадратного.</w:t>
      </w:r>
    </w:p>
    <w:p>
      <w:pPr>
        <w:pStyle w:val="a0"/>
      </w:pPr>
      <w:r>
        <w:t xml:space="preserve">Из каждой рамки мы выбирали всех моллюсков Ls и Lo.</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мы определяли по. Высоту, на которых находились колышки, а следовательно и рамки, мы определяли с помощью водяного уровня. Представителей этих двух видов мы различали по форме раковин и ее поперечной исчерченности.</w:t>
      </w:r>
    </w:p>
    <w:p>
      <w:pPr>
        <w:pStyle w:val="a0"/>
      </w:pPr>
      <w:r>
        <w:t xml:space="preserve">Высоту между уровнями трансекты мы различали с помощью сообщающихся сосудов. Стометровая, силиконовая, прозрачная трубка привязывалась к размеченной метровой палке. Через воронку, закрепленную на конце, мы наливали в водяной уровень воду. Второй конец трубки мы подносили к уровню трансекты и ждали, пока из этого конца переставала течь вода. После этого мы измеряли высоту от уровня воды на деревянной маркированной доске (рис. +++).</w:t>
      </w:r>
    </w:p>
    <w:bookmarkEnd w:id="35"/>
    <w:bookmarkStart w:id="39" w:name="эксперимент-2"/>
    <w:p>
      <w:pPr>
        <w:pStyle w:val="2"/>
      </w:pPr>
      <w:r>
        <w:t xml:space="preserve">Эксперимент №2</w:t>
      </w:r>
    </w:p>
    <w:p>
      <w:pPr>
        <w:pStyle w:val="FirstParagraph"/>
      </w:pPr>
      <w:r>
        <w:t xml:space="preserve">Чтобы проверить возможную причину разделения, связанную с разницей пищевых объектов, во время отлива, мы собирали представителей двух видов моллюсков с различных субстратов: с фукоидов и с камней. Таких моллюсков мы транспортировали в лабораторию, где мы их определяли до вида и помещали по одному в ячейку сорока 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w:t>
      </w:r>
    </w:p>
    <w:p>
      <w:pPr>
        <w:pStyle w:val="CaptionedFigure"/>
      </w:pPr>
      <w:r>
        <w:drawing>
          <wp:inline>
            <wp:extent cx="6146800" cy="4615833"/>
            <wp:effectExtent b="0" l="0" r="0" t="0"/>
            <wp:docPr descr="Внешний вид пеллет Littorina saxatilis" title="" id="37" name="Picture"/>
            <a:graphic>
              <a:graphicData uri="http://schemas.openxmlformats.org/drawingml/2006/picture">
                <pic:pic>
                  <pic:nvPicPr>
                    <pic:cNvPr descr="Figures/Snail&amp;Pels.png" id="38" name="Picture"/>
                    <pic:cNvPicPr>
                      <a:picLocks noChangeArrowheads="1" noChangeAspect="1"/>
                    </pic:cNvPicPr>
                  </pic:nvPicPr>
                  <pic:blipFill>
                    <a:blip r:embed="rId36"/>
                    <a:stretch>
                      <a:fillRect/>
                    </a:stretch>
                  </pic:blipFill>
                  <pic:spPr bwMode="auto">
                    <a:xfrm>
                      <a:off x="0" y="0"/>
                      <a:ext cx="6146800" cy="4615833"/>
                    </a:xfrm>
                    <a:prstGeom prst="rect">
                      <a:avLst/>
                    </a:prstGeom>
                    <a:noFill/>
                    <a:ln w="9525">
                      <a:noFill/>
                      <a:headEnd/>
                      <a:tailEnd/>
                    </a:ln>
                  </pic:spPr>
                </pic:pic>
              </a:graphicData>
            </a:graphic>
          </wp:inline>
        </w:drawing>
      </w:r>
    </w:p>
    <w:p>
      <w:pPr>
        <w:pStyle w:val="ImageCaption"/>
      </w:pPr>
      <w:r>
        <w:t xml:space="preserve">Внешний вид пеллет</w:t>
      </w:r>
      <w:r>
        <w:t xml:space="preserve"> </w:t>
      </w:r>
      <w:r>
        <w:rPr>
          <w:i/>
          <w:iCs/>
        </w:rPr>
        <w:t xml:space="preserve">Littorina saxatilis</w:t>
      </w:r>
    </w:p>
    <w:bookmarkEnd w:id="39"/>
    <w:bookmarkStart w:id="40" w:name="эксперимент-3"/>
    <w:p>
      <w:pPr>
        <w:pStyle w:val="2"/>
      </w:pPr>
      <w:r>
        <w:t xml:space="preserve">Эксперимент №3</w:t>
      </w:r>
    </w:p>
    <w:p>
      <w:pPr>
        <w:pStyle w:val="FirstParagraph"/>
      </w:pPr>
      <w:r>
        <w:t xml:space="preserve">Эксперимент №3 нужен был, чтобы минимизировать различия между этими двумя видами моллюсков и сравнить их различия, только по эффективности питания на разных субстратах.</w:t>
      </w:r>
    </w:p>
    <w:p>
      <w:pPr>
        <w:pStyle w:val="a0"/>
      </w:pPr>
      <w:r>
        <w:t xml:space="preserve">Отобранных отдельно с различных субстратов моллюсков мы помещали в контейнеры с водой накрытые сеткой на 24 часа. Так мы получали</w:t>
      </w:r>
      <w:r>
        <w:t xml:space="preserve"> </w:t>
      </w:r>
      <w:r>
        <w:t xml:space="preserve">“</w:t>
      </w:r>
      <w:r>
        <w:t xml:space="preserve">голодных</w:t>
      </w:r>
      <w:r>
        <w:t xml:space="preserve">”</w:t>
      </w:r>
      <w:r>
        <w:t xml:space="preserve"> </w:t>
      </w:r>
      <w:r>
        <w:t xml:space="preserve">улиток. Их мы помещали в садки содержащие различный субстрат: камни, на которых раньше находились литторины, перед экспериментом эти камни были отчищены от моллюсков, и фукоиды, которые аналогично камням отчищались от диких улиток (рис. +++). Эти садки с привязанными к ним грузами мы помещали на литораль на сутки, после чего перемещали моллюсков из садков в индивидуальные лунки сорока пяти луночного планшета планшета. Планшеты помещались в приливно отливную зону на день, после чего мы измеряли размер устья у улиток и считали число фекалий.</w:t>
      </w:r>
    </w:p>
    <w:bookmarkEnd w:id="40"/>
    <w:bookmarkStart w:id="41"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 (R Core Team, 2024).</w:t>
      </w:r>
    </w:p>
    <w:p>
      <w:pPr>
        <w:pStyle w:val="a0"/>
      </w:pPr>
      <w:r>
        <w:t xml:space="preserve">В качестве зависимой переменной в статистическом анализе мы использовали количество пеллет выделенных моллюсками (Pell). +++ На основе дисперсионного анализа полученных моделей принималось решение о статистической значимости влияния того или иного фактора. В качестве порогового значения для отвержения нулевой гипотезы использовался уровень значимости α=0,05.</w:t>
      </w:r>
    </w:p>
    <w:bookmarkEnd w:id="41"/>
    <w:bookmarkEnd w:id="42"/>
    <w:bookmarkStart w:id="55" w:name="результаты"/>
    <w:p>
      <w:pPr>
        <w:pStyle w:val="1"/>
      </w:pPr>
      <w:r>
        <w:t xml:space="preserve">Результаты</w:t>
      </w:r>
    </w:p>
    <w:p>
      <w:pPr>
        <w:pStyle w:val="FirstParagraph"/>
      </w:pPr>
      <w:r>
        <w:t xml:space="preserve">Рисунок +++</w:t>
      </w:r>
    </w:p>
    <w:p>
      <w:pPr>
        <w:pStyle w:val="a0"/>
      </w:pPr>
      <w:r>
        <w:drawing>
          <wp:inline>
            <wp:extent cx="4620126" cy="3696101"/>
            <wp:effectExtent b="0" l="0" r="0" t="0"/>
            <wp:docPr descr="" title="" id="44"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7"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2.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0"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3.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4.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bookmarkEnd w:id="55"/>
    <w:bookmarkStart w:id="56" w:name="обсуждение"/>
    <w:p>
      <w:pPr>
        <w:pStyle w:val="1"/>
      </w:pPr>
      <w:r>
        <w:t xml:space="preserve">Обсуждение</w:t>
      </w:r>
    </w:p>
    <w:bookmarkEnd w:id="56"/>
    <w:bookmarkStart w:id="57" w:name="заключение"/>
    <w:p>
      <w:pPr>
        <w:pStyle w:val="1"/>
      </w:pPr>
      <w:r>
        <w:t xml:space="preserve">Заключение</w:t>
      </w:r>
    </w:p>
    <w:p>
      <w:pPr>
        <w:pStyle w:val="FirstParagraph"/>
      </w:pPr>
      <w:r>
        <w:t xml:space="preserve">Таким образом можно сказать, что соотношение саксатилис и обтузат менялось следующим образом: на более низком уровне литорали преобладали</w:t>
      </w:r>
      <w:r>
        <w:t xml:space="preserve"> </w:t>
      </w:r>
      <w:r>
        <w:rPr>
          <w:i/>
          <w:iCs/>
        </w:rPr>
        <w:t xml:space="preserve">L. obtusata</w:t>
      </w:r>
      <w:r>
        <w:t xml:space="preserve">, а после пояса фукоидов количество</w:t>
      </w:r>
      <w:r>
        <w:t xml:space="preserve"> </w:t>
      </w:r>
      <w:r>
        <w:rPr>
          <w:i/>
          <w:iCs/>
        </w:rPr>
        <w:t xml:space="preserve">L. obtusata</w:t>
      </w:r>
      <w:r>
        <w:t xml:space="preserve"> </w:t>
      </w:r>
      <w:r>
        <w:t xml:space="preserve">уменьшалось, а</w:t>
      </w:r>
      <w:r>
        <w:t xml:space="preserve"> </w:t>
      </w:r>
      <w:r>
        <w:rPr>
          <w:i/>
          <w:iCs/>
        </w:rPr>
        <w:t xml:space="preserve">L. saxatilis</w:t>
      </w:r>
      <w:r>
        <w:t xml:space="preserve">, наоборот, увеличивалось. Такое разделение может быть обусловлено тем что обтузаты, имея фундаментальное разделение ниш, преобладали в нижней зоне литорали, где находятся фукоиды. Саксатилисы имели реализованное разделение экологических ниш встречаясь массово лишь в тех местах, где количество обтузат было не велико.</w:t>
      </w:r>
    </w:p>
    <w:bookmarkEnd w:id="57"/>
    <w:bookmarkStart w:id="58"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58"/>
    <w:bookmarkStart w:id="65" w:name="список-литературы"/>
    <w:p>
      <w:pPr>
        <w:pStyle w:val="1"/>
      </w:pPr>
      <w:r>
        <w:t xml:space="preserve">Список литературы</w:t>
      </w:r>
    </w:p>
    <w:bookmarkStart w:id="64" w:name="refs"/>
    <w:bookmarkStart w:id="59" w:name="ref-cooper2024ecological"/>
    <w:p>
      <w:pPr>
        <w:pStyle w:val="a8"/>
      </w:pPr>
      <w:r>
        <w:t xml:space="preserve">Cooper, Jacob C. 2024.</w:t>
      </w:r>
      <w:r>
        <w:t xml:space="preserve"> </w:t>
      </w:r>
      <w:r>
        <w:t xml:space="preserve">“Ecological Niche Divergence or Ecological Niche Partitioning in a Widespread Neotropical Bird Lineage.”</w:t>
      </w:r>
      <w:r>
        <w:t xml:space="preserve"> </w:t>
      </w:r>
      <w:r>
        <w:rPr>
          <w:i/>
          <w:iCs/>
        </w:rPr>
        <w:t xml:space="preserve">PeerJ</w:t>
      </w:r>
      <w:r>
        <w:t xml:space="preserve"> </w:t>
      </w:r>
      <w:r>
        <w:t xml:space="preserve">12: e17345.</w:t>
      </w:r>
    </w:p>
    <w:bookmarkEnd w:id="59"/>
    <w:bookmarkStart w:id="60" w:name="ref-guo2012separation"/>
    <w:p>
      <w:pPr>
        <w:pStyle w:val="a8"/>
      </w:pPr>
      <w:r>
        <w:t xml:space="preserve">Guo, Zhiqiang. 2012.</w:t>
      </w:r>
      <w:r>
        <w:t xml:space="preserve"> </w:t>
      </w:r>
      <w:r>
        <w:t xml:space="preserve">“S</w:t>
      </w:r>
      <w:r>
        <w:t xml:space="preserve">é</w:t>
      </w:r>
      <w:r>
        <w:t xml:space="preserve">paration de Niche Entre Deux Esp</w:t>
      </w:r>
      <w:r>
        <w:t xml:space="preserve">è</w:t>
      </w:r>
      <w:r>
        <w:t xml:space="preserve">ces Invasives de Gobies.”</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60"/>
    <w:bookmarkStart w:id="61" w:name="ref-hilgers2022evolutionary"/>
    <w:p>
      <w:pPr>
        <w:pStyle w:val="a8"/>
      </w:pPr>
      <w:r>
        <w:t xml:space="preserve">Hilgers, Leon, Stefanie Hartmann, Jobst Pfaender, Nora Lentge-Maaß, Ristiyanti M Marwoto, Thomas von Rintelen, and Michael Hofreiter. 2022.</w:t>
      </w:r>
      <w:r>
        <w:t xml:space="preserve"> </w:t>
      </w:r>
      <w:r>
        <w:t xml:space="preserve">“Evolutionary Divergence and Radula Diversification in Two Ecomorphs from an Adaptive Radiation of Freshwater Snails.”</w:t>
      </w:r>
      <w:r>
        <w:t xml:space="preserve"> </w:t>
      </w:r>
      <w:r>
        <w:rPr>
          <w:i/>
          <w:iCs/>
        </w:rPr>
        <w:t xml:space="preserve">Genes</w:t>
      </w:r>
      <w:r>
        <w:t xml:space="preserve"> </w:t>
      </w:r>
      <w:r>
        <w:t xml:space="preserve">13 (6): 1029.</w:t>
      </w:r>
    </w:p>
    <w:bookmarkEnd w:id="61"/>
    <w:bookmarkStart w:id="62" w:name="ref-maltseva2021linking"/>
    <w:p>
      <w:pPr>
        <w:pStyle w:val="a8"/>
      </w:pPr>
      <w:r>
        <w:t xml:space="preserve">Maltseva, Arina L, Marina A Varfolomeeva, Roman V Ayanka, Elizaveta R Gafarova, Egor A Repkin, Polina A Pavlova, Alexei L Shavarda, Natalia A Mikhailova, and Andrei I Granovitch. 2021.</w:t>
      </w:r>
      <w:r>
        <w:t xml:space="preserve"> </w:t>
      </w:r>
      <w:r>
        <w:t xml:space="preserve">“Linking Ecology, Morphology, and Metabolism: Niche Differentiation in Sympatric Populations of Closely Related Species of the Genus Littorina (Neritrema).”</w:t>
      </w:r>
      <w:r>
        <w:t xml:space="preserve"> </w:t>
      </w:r>
      <w:r>
        <w:rPr>
          <w:i/>
          <w:iCs/>
        </w:rPr>
        <w:t xml:space="preserve">Ecology and Evolution</w:t>
      </w:r>
      <w:r>
        <w:t xml:space="preserve"> </w:t>
      </w:r>
      <w:r>
        <w:t xml:space="preserve">11 (16): 11134–54.</w:t>
      </w:r>
    </w:p>
    <w:bookmarkEnd w:id="62"/>
    <w:bookmarkStart w:id="63" w:name="ref-reyes2024all"/>
    <w:p>
      <w:pPr>
        <w:pStyle w:val="a8"/>
      </w:pPr>
      <w:r>
        <w:t xml:space="preserve">Reyes-Puig, Carolina, Urtzi Enriquez-Urzelai, Miguel A Carretero, and Antigoni Kaliontzopoulou. 2024.</w:t>
      </w:r>
      <w:r>
        <w:t xml:space="preserve"> </w:t>
      </w:r>
      <w:r>
        <w:t xml:space="preserve">“Is It All about Size? Dismantling the Integrated Phenotype to Understand Species Coexistence and Niche Segregation.”</w:t>
      </w:r>
      <w:r>
        <w:t xml:space="preserve"> </w:t>
      </w:r>
      <w:r>
        <w:rPr>
          <w:i/>
          <w:iCs/>
        </w:rPr>
        <w:t xml:space="preserve">Functional Ecology</w:t>
      </w:r>
      <w:r>
        <w:t xml:space="preserve"> </w:t>
      </w:r>
      <w:r>
        <w:t xml:space="preserve">38 (11): 2350–68.</w:t>
      </w:r>
    </w:p>
    <w:bookmarkEnd w:id="63"/>
    <w:bookmarkEnd w:id="64"/>
    <w:bookmarkEnd w:id="65"/>
    <w:sectPr w:rsidR="00B72B85" w:rsidRPr="00584126">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9AE4A2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4DCD06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681CE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78CC75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7ACE48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E48EEB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6CA2E6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DE442B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A3EC8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CA4D87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1B040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style>
  <w:style w:styleId="1" w:type="paragraph">
    <w:name w:val="heading 1"/>
    <w:basedOn w:val="a"/>
    <w:next w:val="a0"/>
    <w:uiPriority w:val="9"/>
    <w:qFormat/>
    <w:rsid w:val="007B1750"/>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rsid w:val="007B1750"/>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584126"/>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7B1750"/>
    <w:pPr>
      <w:spacing w:after="180" w:before="180" w:line="360" w:lineRule="auto"/>
      <w:ind w:firstLine="851"/>
      <w:jc w:val="both"/>
    </w:pPr>
    <w:rPr>
      <w:rFonts w:ascii="Times New Roman" w:hAnsi="Times New Roman"/>
    </w:rPr>
  </w:style>
  <w:style w:customStyle="1" w:styleId="FirstParagraph" w:type="paragraph">
    <w:name w:val="First Paragraph"/>
    <w:basedOn w:val="a0"/>
    <w:next w:val="a0"/>
    <w:qFormat/>
    <w:rsid w:val="00D212B6"/>
  </w:style>
  <w:style w:customStyle="1" w:styleId="Compact" w:type="paragraph">
    <w:name w:val="Compact"/>
    <w:basedOn w:val="a0"/>
    <w:qFormat/>
    <w:rsid w:val="007B1750"/>
    <w:pPr>
      <w:spacing w:after="36" w:before="36"/>
      <w:ind w:firstLine="0"/>
    </w:pPr>
  </w:style>
  <w:style w:styleId="a5" w:type="paragraph">
    <w:name w:val="Title"/>
    <w:basedOn w:val="a"/>
    <w:next w:val="a0"/>
    <w:qFormat/>
    <w:rsid w:val="007B1750"/>
    <w:pPr>
      <w:keepNext/>
      <w:keepLines/>
      <w:spacing w:after="240" w:before="480"/>
      <w:jc w:val="center"/>
    </w:pPr>
    <w:rPr>
      <w:rFonts w:ascii="Times New Roman" w:cstheme="majorBidi" w:eastAsiaTheme="majorEastAsia" w:hAnsi="Times New Roman"/>
      <w:b/>
      <w:bCs/>
      <w:sz w:val="28"/>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firstLine="0" w:left="480" w:right="480"/>
    </w:pPr>
  </w:style>
  <w:style w:styleId="aa"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rPr>
      <w:color w:themeColor="accent1" w:val="4F81BD"/>
    </w:rPr>
  </w:style>
  <w:style w:styleId="af"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sid w:val="007B175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53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432</Words>
  <Characters>2464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Влияние мидий на двигательные способности литоральных брюхоногих моллюсков</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2024-12-27T16:53:22Z</dcterms:created>
  <dcterms:modified xsi:type="dcterms:W3CDTF">2024-12-27T16:53:22Z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