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4.jpg" ContentType="image/jpeg"/>
  <Override PartName="/word/media/rId31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4536335aade25afef844b2b4584d52d22721370"/>
    <w:p>
      <w:pPr>
        <w:pStyle w:val="1"/>
      </w:pPr>
      <w:r>
        <w:t xml:space="preserve">Разделение каких экологических ниш Littorina saxatilis и L. obtusata мы наблюдаем на литорали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 Tylomelania адаптивные радикации,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Так в работе Гуо</w:t>
      </w:r>
      <w:r>
        <w:t xml:space="preserve"> </w:t>
      </w:r>
      <w:r>
        <w:t xml:space="preserve">Guo (2012)</w:t>
      </w:r>
      <w:r>
        <w:t xml:space="preserve">, было показано, на примере бычков</w:t>
      </w:r>
      <w:r>
        <w:t xml:space="preserve"> </w:t>
      </w:r>
      <w:r>
        <w:rPr>
          <w:i/>
          <w:iCs/>
        </w:rPr>
        <w:t xml:space="preserve">Rhinogobius cliffordpopei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Rhinogobius giurius</w:t>
      </w:r>
      <w:r>
        <w:t xml:space="preserve">, разделение экологических ниш двумя схожими вида в пространстве, времени и пищевых объектах. Понимание как похожие между собой виды разделяют свои экологические ниши, имеет решающее значение для понимания эволюционных процессов,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 xml:space="preserve">Cooper (2024)</w:t>
      </w:r>
      <w:r>
        <w:t xml:space="preserve">).</w:t>
      </w:r>
    </w:p>
    <w:p>
      <w:pPr>
        <w:pStyle w:val="a0"/>
      </w:pPr>
      <w:r>
        <w:t xml:space="preserve">В данном исследование изучалось разделение экологических ниш между двумя вида моллюсков: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. Понимание различий в экологических нишах между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 </w:t>
      </w:r>
      <w:r>
        <w:t xml:space="preserve">очень важно, поскольку оно показывает, как экологическая диверсификация смягчает межвидовую конкуренцию, способствует эффективной эксплуатации ресурсов и вносит вклад в процесс экологического видообразования в симпатрических популяциях (</w:t>
      </w:r>
      <w:r>
        <w:t xml:space="preserve">Maltseva et al. (2021)</w:t>
      </w:r>
      <w:r>
        <w:t xml:space="preserve">). Целью этой работы было определить разделение каких экологических ниш</w:t>
      </w:r>
      <w:r>
        <w:t xml:space="preserve"> </w:t>
      </w:r>
      <w:r>
        <w:rPr>
          <w:i/>
          <w:iCs/>
        </w:rPr>
        <w:t xml:space="preserve">Littorina 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 obtusata</w:t>
      </w:r>
      <w:r>
        <w:t xml:space="preserve"> </w:t>
      </w:r>
      <w:r>
        <w:t xml:space="preserve">мы наблюдаем на литорали Белого моря. В задачи исследования входило: определить, как в зависимости от высоты меняется процентное соотношение этих двух видов моллюсков и какие могут быть причины такого разделения экологических ниш.</w:t>
      </w:r>
    </w:p>
    <w:bookmarkEnd w:id="30"/>
    <w:bookmarkStart w:id="55" w:name="материалы-и-методика"/>
    <w:p>
      <w:pPr>
        <w:pStyle w:val="1"/>
      </w:pPr>
      <w:r>
        <w:t xml:space="preserve">Материалы и методика</w:t>
      </w:r>
    </w:p>
    <w:bookmarkStart w:id="37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CaptionedFigure"/>
      </w:pPr>
      <w:r>
        <w:drawing>
          <wp:inline>
            <wp:extent cx="6146800" cy="3911095"/>
            <wp:effectExtent b="0" l="0" r="0" t="0"/>
            <wp:docPr descr="Место сбора материалла для исследования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сбора материалла для исследования</w:t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 (рис.+++). Этих улиток мы подсчитывали, чтобы понять распределение этих двух видов в зависимости от высоты литорали. Высоту, на которых находились колышки, а следовательно и рамки, мы определяли с помощью водяного уровня.</w:t>
      </w:r>
    </w:p>
    <w:p>
      <w:pPr>
        <w:pStyle w:val="CaptionedFigure"/>
      </w:pPr>
      <w:r>
        <w:drawing>
          <wp:inline>
            <wp:extent cx="6146800" cy="1903034"/>
            <wp:effectExtent b="0" l="0" r="0" t="0"/>
            <wp:docPr descr="Два вида моллюсков (слева - L.saxatilis, справа - L.obtusata)" title="" id="35" name="Picture"/>
            <a:graphic>
              <a:graphicData uri="http://schemas.openxmlformats.org/drawingml/2006/picture">
                <pic:pic>
                  <pic:nvPicPr>
                    <pic:cNvPr descr="Figures/Lsaxobt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0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Два вида моллюсков (слева -</w:t>
      </w:r>
      <w:r>
        <w:t xml:space="preserve"> </w:t>
      </w:r>
      <w:r>
        <w:rPr>
          <w:i/>
          <w:iCs/>
        </w:rPr>
        <w:t xml:space="preserve">L.saxatilis</w:t>
      </w:r>
      <w:r>
        <w:t xml:space="preserve">, справа -</w:t>
      </w:r>
      <w:r>
        <w:t xml:space="preserve"> </w:t>
      </w:r>
      <w:r>
        <w:rPr>
          <w:i/>
          <w:iCs/>
        </w:rPr>
        <w:t xml:space="preserve">L.obtusata</w:t>
      </w:r>
      <w:r>
        <w:t xml:space="preserve">)</w:t>
      </w:r>
    </w:p>
    <w:bookmarkEnd w:id="37"/>
    <w:bookmarkStart w:id="38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объектов, во время отлива, мы собирали представителей двух видов моллюсков с различных субстратов: с фукоидов и с камней. Таких моллюсков мы транспортировали в лабораторию, где они определялись до вида и помещались по одному в ячейку сорока 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нами после этого моллюсков мы измеряли размер устья, а также колличество выделившихся фекалий (пеллет) (рис.+++).</w:t>
      </w:r>
    </w:p>
    <w:p>
      <w:pPr>
        <w:pStyle w:val="a0"/>
      </w:pPr>
      <w:r>
        <w:t xml:space="preserve">Помимо этого, мы собирали улиток и помещали их в контейнеры с водой накрытые сеткой на 24 часа. Так мы получали</w:t>
      </w:r>
      <w:r>
        <w:t xml:space="preserve"> </w:t>
      </w:r>
      <w:r>
        <w:t xml:space="preserve">“</w:t>
      </w:r>
      <w:r>
        <w:t xml:space="preserve">голодных</w:t>
      </w:r>
      <w:r>
        <w:t xml:space="preserve">”</w:t>
      </w:r>
      <w:r>
        <w:t xml:space="preserve"> </w:t>
      </w:r>
      <w:r>
        <w:t xml:space="preserve">улиток. Голодных улиток мы помещали в садки Содержащие различный субстрат: камни, на которых раньше находились литторины, перед экспериментом эти камни были отчищены от моллюсков, и фукоиды, которые аналогично камням отчищались от диких улиток (рис. +++). Эти садки с привязанными к ним грузами мы помещали на литораль на сутки, после чего перемещали их в индивидуальные лунки планшета, как в первом случае. Планшеты аналогично помещались в приливно отливную зону на день, после чего мы измеряли размер устья у улиток и считали число фекалий. Вторая часть эксперимента, нужа была, чтобы минимизировать различия между этими двумя видами моллюсков и сравнить их различия, только по эффективности питания на разных субстратах.</w:t>
      </w:r>
    </w:p>
    <w:bookmarkEnd w:id="38"/>
    <w:bookmarkStart w:id="54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фекалий (пеллет) выделенных моллюсками (Pell).Для каждой из этих переменных были построены линейные модели, отражающие связь с двумя предикторами (</w:t>
      </w:r>
      <w:r>
        <w:t xml:space="preserve">“</w:t>
      </w:r>
      <w:r>
        <w:t xml:space="preserve">Статус моллюска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Размер устья</w:t>
      </w:r>
      <w:r>
        <w:t xml:space="preserve">”</w:t>
      </w:r>
      <w:r>
        <w:t xml:space="preserve">) и их взаимодействием.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2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3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3-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Linear mixed-effects model fit by REML</w:t>
      </w:r>
      <w:r>
        <w:br/>
      </w:r>
      <w:r>
        <w:rPr>
          <w:rStyle w:val="VerbatimChar"/>
        </w:rPr>
        <w:t xml:space="preserve">##   Data: pel_caged </w:t>
      </w:r>
      <w:r>
        <w:br/>
      </w:r>
      <w:r>
        <w:rPr>
          <w:rStyle w:val="VerbatimChar"/>
        </w:rPr>
        <w:t xml:space="preserve">##        AIC     BIC    logLik</w:t>
      </w:r>
      <w:r>
        <w:br/>
      </w:r>
      <w:r>
        <w:rPr>
          <w:rStyle w:val="VerbatimChar"/>
        </w:rPr>
        <w:t xml:space="preserve">##   720.2172 740.385 -354.1086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Formula: ~1 | Experiment</w:t>
      </w:r>
      <w:r>
        <w:br/>
      </w:r>
      <w:r>
        <w:rPr>
          <w:rStyle w:val="VerbatimChar"/>
        </w:rPr>
        <w:t xml:space="preserve">##         (Intercept) Residual</w:t>
      </w:r>
      <w:r>
        <w:br/>
      </w:r>
      <w:r>
        <w:rPr>
          <w:rStyle w:val="VerbatimChar"/>
        </w:rPr>
        <w:t xml:space="preserve">## StdDev:    0.590644 1.213775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  log(Pell + 1) ~ Species * Substrate </w:t>
      </w:r>
      <w:r>
        <w:br/>
      </w:r>
      <w:r>
        <w:rPr>
          <w:rStyle w:val="VerbatimChar"/>
        </w:rPr>
        <w:t xml:space="preserve">##                                Value Std.Error  DF   t-value p-value</w:t>
      </w:r>
      <w:r>
        <w:br/>
      </w:r>
      <w:r>
        <w:rPr>
          <w:rStyle w:val="VerbatimChar"/>
        </w:rPr>
        <w:t xml:space="preserve">## (Intercept)                3.0242547 0.3685177 211  8.206539  0.0000</w:t>
      </w:r>
      <w:r>
        <w:br/>
      </w:r>
      <w:r>
        <w:rPr>
          <w:rStyle w:val="VerbatimChar"/>
        </w:rPr>
        <w:t xml:space="preserve">## SpeciesSax                -0.7887271 0.2008290 211 -3.927356  0.0001</w:t>
      </w:r>
      <w:r>
        <w:br/>
      </w:r>
      <w:r>
        <w:rPr>
          <w:rStyle w:val="VerbatimChar"/>
        </w:rPr>
        <w:t xml:space="preserve">## SubstrateStone            -0.8773645 0.2543986 211 -3.448778  0.0007</w:t>
      </w:r>
      <w:r>
        <w:br/>
      </w:r>
      <w:r>
        <w:rPr>
          <w:rStyle w:val="VerbatimChar"/>
        </w:rPr>
        <w:t xml:space="preserve">## SpeciesSax:SubstrateStone  0.7533914 0.3543587 211  2.126070  0.0347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 xml:space="preserve">##                           (Intr) SpcsSx SbstrS</w:t>
      </w:r>
      <w:r>
        <w:br/>
      </w:r>
      <w:r>
        <w:rPr>
          <w:rStyle w:val="VerbatimChar"/>
        </w:rPr>
        <w:t xml:space="preserve">## SpeciesSax                -0.254              </w:t>
      </w:r>
      <w:r>
        <w:br/>
      </w:r>
      <w:r>
        <w:rPr>
          <w:rStyle w:val="VerbatimChar"/>
        </w:rPr>
        <w:t xml:space="preserve">## SubstrateStone            -0.225  0.366       </w:t>
      </w:r>
      <w:r>
        <w:br/>
      </w:r>
      <w:r>
        <w:rPr>
          <w:rStyle w:val="VerbatimChar"/>
        </w:rPr>
        <w:t xml:space="preserve">## SpeciesSax:SubstrateStone  0.144 -0.566 -0.626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Standardized Within-Group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-2.3532290 -0.7719453  0.2199787  0.7672290  1.9331767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Observations: 217</w:t>
      </w:r>
      <w:r>
        <w:br/>
      </w:r>
      <w:r>
        <w:rPr>
          <w:rStyle w:val="VerbatimChar"/>
        </w:rPr>
        <w:t xml:space="preserve">## Number of Groups: 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4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End w:id="55"/>
    <w:bookmarkStart w:id="56" w:name="результаты"/>
    <w:p>
      <w:pPr>
        <w:pStyle w:val="1"/>
      </w:pPr>
      <w:r>
        <w:t xml:space="preserve">Результаты</w:t>
      </w:r>
    </w:p>
    <w:bookmarkEnd w:id="56"/>
    <w:bookmarkStart w:id="57" w:name="обсуждение"/>
    <w:p>
      <w:pPr>
        <w:pStyle w:val="1"/>
      </w:pPr>
      <w:r>
        <w:t xml:space="preserve">Обсуждение</w:t>
      </w:r>
    </w:p>
    <w:bookmarkEnd w:id="57"/>
    <w:bookmarkStart w:id="64" w:name="выводы"/>
    <w:p>
      <w:pPr>
        <w:pStyle w:val="1"/>
      </w:pPr>
      <w:r>
        <w:t xml:space="preserve">Выводы</w:t>
      </w:r>
    </w:p>
    <w:bookmarkStart w:id="63" w:name="refs"/>
    <w:bookmarkStart w:id="58" w:name="ref-cooper2024ecological"/>
    <w:p>
      <w:pPr>
        <w:pStyle w:val="a8"/>
      </w:pPr>
      <w:r>
        <w:t xml:space="preserve">Cooper, Jacob C. 2024.</w:t>
      </w:r>
      <w:r>
        <w:t xml:space="preserve"> </w:t>
      </w:r>
      <w:r>
        <w:t xml:space="preserve">“Ecological Niche Divergence or Ecological Niche Partitioning in a Widespread Neotropical Bird Lineage.”</w:t>
      </w:r>
      <w:r>
        <w:t xml:space="preserve"> </w:t>
      </w:r>
      <w:r>
        <w:rPr>
          <w:i/>
          <w:iCs/>
        </w:rPr>
        <w:t xml:space="preserve">PeerJ</w:t>
      </w:r>
      <w:r>
        <w:t xml:space="preserve"> </w:t>
      </w:r>
      <w:r>
        <w:t xml:space="preserve">12: e17345.</w:t>
      </w:r>
    </w:p>
    <w:bookmarkEnd w:id="58"/>
    <w:bookmarkStart w:id="59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59"/>
    <w:bookmarkStart w:id="60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60"/>
    <w:bookmarkStart w:id="61" w:name="ref-maltseva2021linking"/>
    <w:p>
      <w:pPr>
        <w:pStyle w:val="a8"/>
      </w:pPr>
      <w:r>
        <w:t xml:space="preserve">Maltseva, Arina L, Marina A Varfolomeeva, Roman V Ayanka, Elizaveta R Gafarova, Egor A Repkin, Polina A Pavlova, Alexei L Shavarda, Natalia A Mikhailova, and Andrei I Granovitch. 2021.</w:t>
      </w:r>
      <w:r>
        <w:t xml:space="preserve"> </w:t>
      </w:r>
      <w:r>
        <w:t xml:space="preserve">“Linking Ecology, Morphology, and Metabolism: Niche Differentiation in Sympatric Populations of Closely Related Species of the Genus Littorina (Neritrema).”</w:t>
      </w:r>
      <w:r>
        <w:t xml:space="preserve"> </w:t>
      </w:r>
      <w:r>
        <w:rPr>
          <w:i/>
          <w:iCs/>
        </w:rPr>
        <w:t xml:space="preserve">Ecology and Evolution</w:t>
      </w:r>
      <w:r>
        <w:t xml:space="preserve"> </w:t>
      </w:r>
      <w:r>
        <w:t xml:space="preserve">11 (16): 11134–54.</w:t>
      </w:r>
    </w:p>
    <w:bookmarkEnd w:id="61"/>
    <w:bookmarkStart w:id="62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62"/>
    <w:bookmarkEnd w:id="63"/>
    <w:bookmarkEnd w:id="64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2024-12-20T16:51:34Z</dcterms:created>
  <dcterms:modified xsi:type="dcterms:W3CDTF">2024-12-20T16:51:34Z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