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6FE35E">
      <w:pPr>
        <w:pStyle w:val="2"/>
      </w:pPr>
      <w:bookmarkStart w:id="0" w:name="X102bf2fd33f87f55533b6013c918a3587fd6a00"/>
      <w:r>
        <w:t>Эколого-биологический центр “Крестовский остров”</w:t>
      </w:r>
    </w:p>
    <w:bookmarkEnd w:id="0"/>
    <w:p w14:paraId="70B82A17">
      <w:pPr>
        <w:pStyle w:val="2"/>
      </w:pPr>
      <w:bookmarkStart w:id="1" w:name="лаборатория-экологии-морского-бентоса"/>
      <w:r>
        <w:t>Лаборатория Экологии Морского Бентоса</w:t>
      </w:r>
    </w:p>
    <w:bookmarkEnd w:id="1"/>
    <w:p w14:paraId="68E16855">
      <w:pPr>
        <w:pStyle w:val="2"/>
      </w:pPr>
      <w:bookmarkStart w:id="2" w:name="гидробиологии"/>
      <w:r>
        <w:t>(гидробиологии)</w:t>
      </w:r>
    </w:p>
    <w:p w14:paraId="511CEC50">
      <w:pPr>
        <w:pStyle w:val="24"/>
      </w:pPr>
      <w:r>
        <w:t> </w:t>
      </w:r>
    </w:p>
    <w:p w14:paraId="5A43E1F9">
      <w:pPr>
        <w:pStyle w:val="3"/>
      </w:pPr>
      <w:r>
        <w:t> </w:t>
      </w:r>
    </w:p>
    <w:p w14:paraId="6D5028F8">
      <w:pPr>
        <w:pStyle w:val="3"/>
      </w:pPr>
      <w:r>
        <w:drawing>
          <wp:inline distT="0" distB="0" distL="114300" distR="114300">
            <wp:extent cx="6146800" cy="19304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5"/>
                    <a:stretch>
                      <a:fillRect/>
                    </a:stretch>
                  </pic:blipFill>
                  <pic:spPr>
                    <a:xfrm>
                      <a:off x="0" y="0"/>
                      <a:ext cx="6146800" cy="1930400"/>
                    </a:xfrm>
                    <a:prstGeom prst="rect">
                      <a:avLst/>
                    </a:prstGeom>
                    <a:noFill/>
                    <a:ln w="9525">
                      <a:noFill/>
                    </a:ln>
                  </pic:spPr>
                </pic:pic>
              </a:graphicData>
            </a:graphic>
          </wp:inline>
        </w:drawing>
      </w:r>
    </w:p>
    <w:p w14:paraId="1C42CD10">
      <w:pPr>
        <w:pStyle w:val="3"/>
      </w:pPr>
      <w:r>
        <w:t> </w:t>
      </w:r>
    </w:p>
    <w:bookmarkEnd w:id="2"/>
    <w:p w14:paraId="094E4174">
      <w:pPr>
        <w:pStyle w:val="2"/>
      </w:pPr>
      <w:bookmarkStart w:id="3" w:name="а.-бритиков"/>
      <w:r>
        <w:t>А. Бритиков</w:t>
      </w:r>
    </w:p>
    <w:bookmarkEnd w:id="3"/>
    <w:p w14:paraId="6CB7B56C">
      <w:pPr>
        <w:pStyle w:val="2"/>
      </w:pPr>
      <w:bookmarkStart w:id="4" w:name="Xe9590009f8b99b5535705c7e0209c8a884b9555"/>
      <w:r>
        <w:t xml:space="preserve">Какое разделение экологических ниш </w:t>
      </w:r>
      <w:r>
        <w:rPr>
          <w:i/>
          <w:iCs/>
        </w:rPr>
        <w:t>Littorina saxatilis</w:t>
      </w:r>
      <w:r>
        <w:t xml:space="preserve"> (Olivi, 1792) и </w:t>
      </w:r>
      <w:r>
        <w:rPr>
          <w:i/>
          <w:iCs/>
        </w:rPr>
        <w:t>Littorina obtusata</w:t>
      </w:r>
      <w:r>
        <w:t xml:space="preserve"> (Linnaeus, 1758) мы наблюдаем на литорали Белого моря?</w:t>
      </w:r>
    </w:p>
    <w:p w14:paraId="2822BD9A">
      <w:pPr>
        <w:pStyle w:val="24"/>
      </w:pPr>
      <w:r>
        <w:t> </w:t>
      </w:r>
    </w:p>
    <w:p w14:paraId="7B04096F">
      <w:pPr>
        <w:pStyle w:val="3"/>
      </w:pPr>
      <w:r>
        <w:t> </w:t>
      </w:r>
    </w:p>
    <w:bookmarkEnd w:id="4"/>
    <w:p w14:paraId="591DC689">
      <w:pPr>
        <w:pStyle w:val="2"/>
      </w:pPr>
      <w:bookmarkStart w:id="5" w:name="санкт-петербург"/>
      <w:r>
        <w:t>Санкт-Петербург</w:t>
      </w:r>
    </w:p>
    <w:bookmarkEnd w:id="5"/>
    <w:p w14:paraId="4CA9D638">
      <w:pPr>
        <w:pStyle w:val="2"/>
      </w:pPr>
      <w:bookmarkStart w:id="6" w:name="section"/>
      <w:r>
        <w:t>2024</w:t>
      </w:r>
    </w:p>
    <w:p w14:paraId="0BDCE61A">
      <w:r>
        <w:br w:type="page"/>
      </w:r>
    </w:p>
    <w:p w14:paraId="489B63DE">
      <w:pPr>
        <w:pStyle w:val="8"/>
      </w:pPr>
      <w:bookmarkStart w:id="7" w:name="Xa3e0089808b241259db1823f01985ea3b516807"/>
      <w:r>
        <w:t xml:space="preserve">В работе анализировались разделение экологических ниш </w:t>
      </w:r>
      <w:r>
        <w:rPr>
          <w:i/>
          <w:iCs/>
        </w:rPr>
        <w:t>Littorina saxatilis</w:t>
      </w:r>
      <w:r>
        <w:t xml:space="preserve"> и </w:t>
      </w:r>
      <w:r>
        <w:rPr>
          <w:i/>
          <w:iCs/>
        </w:rPr>
        <w:t>Littorina obtusata</w:t>
      </w:r>
      <w:r>
        <w:t xml:space="preserve"> 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 </w:t>
      </w:r>
      <w:r>
        <w:rPr>
          <w:i/>
          <w:iCs/>
        </w:rPr>
        <w:t>L. obtusata</w:t>
      </w:r>
      <w:r>
        <w:t xml:space="preserve"> в основном обитает на нижних уровнях литорали в зарослях фукоидов, а </w:t>
      </w:r>
      <w:r>
        <w:rPr>
          <w:i/>
          <w:iCs/>
        </w:rPr>
        <w:t>L.saxatilis</w:t>
      </w:r>
      <w:r>
        <w:t xml:space="preserve"> - на верхних горизонтах литорали. При этом питание </w:t>
      </w:r>
      <w:r>
        <w:rPr>
          <w:i/>
          <w:iCs/>
        </w:rPr>
        <w:t>L. obtusata</w:t>
      </w:r>
      <w:r>
        <w:t xml:space="preserve"> на фукоидах было активнее, чем на камнях, собранных выше по литорали. Это указывает на то, что приуроченность </w:t>
      </w:r>
      <w:r>
        <w:rPr>
          <w:i/>
          <w:iCs/>
        </w:rPr>
        <w:t>L. obtusata</w:t>
      </w:r>
      <w:r>
        <w:t xml:space="preserve"> к фукоидам отражает их фундаментальную экологическую нишу. Другой вид, </w:t>
      </w:r>
      <w:r>
        <w:rPr>
          <w:i/>
          <w:iCs/>
        </w:rPr>
        <w:t>L. saxatilis</w:t>
      </w:r>
      <w:r>
        <w:t xml:space="preserve">, распространённый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 </w:t>
      </w:r>
      <w:r>
        <w:rPr>
          <w:i/>
          <w:iCs/>
        </w:rPr>
        <w:t>L. saxatilis</w:t>
      </w:r>
      <w:r>
        <w:t xml:space="preserve"> как результат вытеснения вида на верхнюю часть литорали более сильным конкурентом, обитающим в поясе фукоидов.</w:t>
      </w:r>
    </w:p>
    <w:bookmarkEnd w:id="6"/>
    <w:bookmarkEnd w:id="7"/>
    <w:p w14:paraId="4929DC3D">
      <w:pPr>
        <w:pStyle w:val="2"/>
      </w:pPr>
      <w:bookmarkStart w:id="8" w:name="введение"/>
      <w:r>
        <w:t>Введение</w:t>
      </w:r>
    </w:p>
    <w:p w14:paraId="61BD1101">
      <w:pPr>
        <w:pStyle w:val="24"/>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 </w:t>
      </w:r>
      <w:r>
        <w:rPr>
          <w:i/>
          <w:iCs/>
        </w:rPr>
        <w:t>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 </w:t>
      </w:r>
      <w:r>
        <w:rPr>
          <w:i/>
          <w:iCs/>
        </w:rPr>
        <w:t>реализованной</w:t>
      </w:r>
      <w:r>
        <w:t xml:space="preserve"> нишей Hutchinson (1957).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 (Cooper 2024).</w:t>
      </w:r>
    </w:p>
    <w:p w14:paraId="7D034627">
      <w:pPr>
        <w:pStyle w:val="3"/>
      </w:pPr>
      <w:r>
        <w:t>Параметры реализованной ниши зависят от степени выраженности конкурентных отношений между сосуществующими видами (Costa-Pereira et al. 2019). Особенно сильно конкурентные отношения выражены при взаимодействии двух видов с очень похожими фундаментальными нишами (Guo 2012; Maltseva et al. 2021; Hilgers et al. 2022).</w:t>
      </w:r>
    </w:p>
    <w:p w14:paraId="2F6AA8C7">
      <w:pPr>
        <w:pStyle w:val="3"/>
      </w:pPr>
      <w:r>
        <w:t xml:space="preserve">На литорали Белого моря сосуществуют несколько близких видов семейства </w:t>
      </w:r>
      <w:r>
        <w:rPr>
          <w:i/>
          <w:iCs/>
        </w:rPr>
        <w:t>Littorinidae</w:t>
      </w:r>
      <w:r>
        <w:t xml:space="preserve"> (Ahyong et al. 2025). При этом самыми массовыми формами оказываются </w:t>
      </w:r>
      <w:r>
        <w:rPr>
          <w:i/>
          <w:iCs/>
        </w:rPr>
        <w:t>L.saxatilis</w:t>
      </w:r>
      <w:r>
        <w:t xml:space="preserve"> (далее </w:t>
      </w:r>
      <w:r>
        <w:rPr>
          <w:i/>
          <w:iCs/>
        </w:rPr>
        <w:t>Ls</w:t>
      </w:r>
      <w:r>
        <w:t xml:space="preserve">) и </w:t>
      </w:r>
      <w:r>
        <w:rPr>
          <w:i/>
          <w:iCs/>
        </w:rPr>
        <w:t>L.obtusata</w:t>
      </w:r>
      <w:r>
        <w:t xml:space="preserve"> (далее </w:t>
      </w:r>
      <w:r>
        <w:rPr>
          <w:i/>
          <w:iCs/>
        </w:rPr>
        <w:t>Lo</w:t>
      </w:r>
      <w:r>
        <w:t>).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 (Ingólfsson 2009; Ekendahl 1998) и через их популяции проходит распространение многих видов паразитов, для которых литторины являются промежуточными хозяевами (Granovitch, Sergievsky, and Sokolova 2000).</w:t>
      </w:r>
    </w:p>
    <w:p w14:paraId="39C9CD2E">
      <w:pPr>
        <w:pStyle w:val="3"/>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 </w:t>
      </w:r>
      <w:r>
        <w:rPr>
          <w:i/>
          <w:iCs/>
        </w:rPr>
        <w:t>Ls</w:t>
      </w:r>
      <w:r>
        <w:t xml:space="preserve"> и </w:t>
      </w:r>
      <w:r>
        <w:rPr>
          <w:i/>
          <w:iCs/>
        </w:rPr>
        <w:t>Lo</w:t>
      </w:r>
      <w:r>
        <w:t xml:space="preserve"> 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 (Maltseva et al. 2021).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 </w:t>
      </w:r>
      <w:r>
        <w:rPr>
          <w:i/>
          <w:iCs/>
        </w:rPr>
        <w:t>Lo</w:t>
      </w:r>
      <w:r>
        <w:t xml:space="preserve"> живет на более низких уровнях литорали, а </w:t>
      </w:r>
      <w:r>
        <w:rPr>
          <w:i/>
          <w:iCs/>
        </w:rPr>
        <w:t>Ls</w:t>
      </w:r>
      <w:r>
        <w:t xml:space="preserve"> - на более высоких (А. Д. Наумов and Оленев 1981). Однако, что лежит в основе такой вертикальной сегрегации пока неизвестно.</w:t>
      </w:r>
    </w:p>
    <w:p w14:paraId="42D1839C">
      <w:pPr>
        <w:pStyle w:val="3"/>
      </w:pPr>
      <w:r>
        <w:t xml:space="preserve">Целью данной работы было оценить механизмы, лежащие в основе расхождения ниш </w:t>
      </w:r>
      <w:r>
        <w:rPr>
          <w:i/>
          <w:iCs/>
        </w:rPr>
        <w:t>Ls</w:t>
      </w:r>
      <w:r>
        <w:t xml:space="preserve"> и </w:t>
      </w:r>
      <w:r>
        <w:rPr>
          <w:i/>
          <w:iCs/>
        </w:rPr>
        <w:t>Lo</w:t>
      </w:r>
      <w:r>
        <w:t>. В рамках поставленной цели мы попытались решить следующие задачи. 1. Описать вертикальное распределение двух видов на каменистой литорали о. Ряжков. 2. Оценить интенсивность питания двух видов в разных условиях.</w:t>
      </w:r>
    </w:p>
    <w:bookmarkEnd w:id="8"/>
    <w:p w14:paraId="79ED3959">
      <w:pPr>
        <w:pStyle w:val="2"/>
      </w:pPr>
      <w:bookmarkStart w:id="9" w:name="материалы-и-методика"/>
      <w:r>
        <w:t>Материалы и методика</w:t>
      </w:r>
    </w:p>
    <w:p w14:paraId="4FFDC5F6">
      <w:pPr>
        <w:pStyle w:val="4"/>
      </w:pPr>
      <w:bookmarkStart w:id="10" w:name="место-сбора"/>
      <w:r>
        <w:t>Место сбора</w:t>
      </w:r>
    </w:p>
    <w:p w14:paraId="74D1DD57">
      <w:pPr>
        <w:pStyle w:val="24"/>
      </w:pPr>
      <w:r>
        <w:t>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14:paraId="161883CB">
      <w:pPr>
        <w:pStyle w:val="34"/>
      </w:pPr>
      <w:r>
        <w:drawing>
          <wp:inline distT="0" distB="0" distL="114300" distR="114300">
            <wp:extent cx="4917440" cy="3128645"/>
            <wp:effectExtent l="0" t="0" r="0" b="0"/>
            <wp:docPr id="33" name="Picture" descr="Рисунок 1. Место сбора материала для исслед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Рисунок 1. Место сбора материала для исследования"/>
                    <pic:cNvPicPr>
                      <a:picLocks noChangeAspect="1" noChangeArrowheads="1"/>
                    </pic:cNvPicPr>
                  </pic:nvPicPr>
                  <pic:blipFill>
                    <a:blip r:embed="rId6"/>
                    <a:stretch>
                      <a:fillRect/>
                    </a:stretch>
                  </pic:blipFill>
                  <pic:spPr>
                    <a:xfrm>
                      <a:off x="0" y="0"/>
                      <a:ext cx="4917440" cy="3128876"/>
                    </a:xfrm>
                    <a:prstGeom prst="rect">
                      <a:avLst/>
                    </a:prstGeom>
                    <a:noFill/>
                    <a:ln w="9525">
                      <a:noFill/>
                    </a:ln>
                  </pic:spPr>
                </pic:pic>
              </a:graphicData>
            </a:graphic>
          </wp:inline>
        </w:drawing>
      </w:r>
    </w:p>
    <w:p w14:paraId="53D502A4">
      <w:pPr>
        <w:pStyle w:val="23"/>
      </w:pPr>
      <w:r>
        <w:t>Рисунок 1. Место сбора материала для исследования</w:t>
      </w:r>
    </w:p>
    <w:bookmarkEnd w:id="10"/>
    <w:p w14:paraId="50E694D1">
      <w:pPr>
        <w:pStyle w:val="4"/>
      </w:pPr>
      <w:bookmarkStart w:id="11" w:name="анализ-вертикального-распределения-видов"/>
      <w:r>
        <w:t>Анализ вертикального распределения видов</w:t>
      </w:r>
    </w:p>
    <w:p w14:paraId="359BE434">
      <w:pPr>
        <w:pStyle w:val="24"/>
      </w:pPr>
      <w:r>
        <w:t xml:space="preserve">В этом эксперименте подсчитывали число моллюсков на разных уровнях литорали. Это нужно, чтобы оценить соотношение </w:t>
      </w:r>
      <w:r>
        <w:rPr>
          <w:i/>
          <w:iCs/>
        </w:rPr>
        <w:t>Lo</w:t>
      </w:r>
      <w:r>
        <w:t xml:space="preserve"> и </w:t>
      </w:r>
      <w:r>
        <w:rPr>
          <w:i/>
          <w:iCs/>
        </w:rPr>
        <w:t>Ls</w:t>
      </w:r>
      <w:r>
        <w:t xml:space="preserve"> на разных уровнях литорали.</w:t>
      </w:r>
    </w:p>
    <w:p w14:paraId="68B8C8BE">
      <w:pPr>
        <w:pStyle w:val="3"/>
      </w:pPr>
      <w:r>
        <w:t>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12 уровней. Первый уровень был отмечен колышком, находящимся на высоте 145,9 см над нулем глубин. Для определения точки, соответствующей нулю глубин мы, используя таблицу приливов для дня взятия проб определяли высоту воды при минимальном отливе. Зная эту высоту, мы заходили в воду при полном отливе на глубину равную высоте воды в таблице. Эта позиция рассматривалась как стандартная точка отсчета. Все последующие колышки находились на расстоянии 5 метров друг от друга. Вторая трансекта была поделена на 9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14:paraId="2FCFCCB4">
      <w:pPr>
        <w:pStyle w:val="3"/>
      </w:pPr>
      <w:r>
        <w:t>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14:paraId="44A1C062">
      <w:pPr>
        <w:pStyle w:val="34"/>
      </w:pPr>
      <w:r>
        <w:drawing>
          <wp:inline distT="0" distB="0" distL="114300" distR="114300">
            <wp:extent cx="4917440" cy="3392170"/>
            <wp:effectExtent l="0" t="0" r="0" b="0"/>
            <wp:docPr id="37" name="Picture" descr="Рисунок 2. Принцип работы водяно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Рисунок 2. Принцип работы водяного уровня"/>
                    <pic:cNvPicPr>
                      <a:picLocks noChangeAspect="1" noChangeArrowheads="1"/>
                    </pic:cNvPicPr>
                  </pic:nvPicPr>
                  <pic:blipFill>
                    <a:blip r:embed="rId7"/>
                    <a:stretch>
                      <a:fillRect/>
                    </a:stretch>
                  </pic:blipFill>
                  <pic:spPr>
                    <a:xfrm>
                      <a:off x="0" y="0"/>
                      <a:ext cx="4917440" cy="3392411"/>
                    </a:xfrm>
                    <a:prstGeom prst="rect">
                      <a:avLst/>
                    </a:prstGeom>
                    <a:noFill/>
                    <a:ln w="9525">
                      <a:noFill/>
                    </a:ln>
                  </pic:spPr>
                </pic:pic>
              </a:graphicData>
            </a:graphic>
          </wp:inline>
        </w:drawing>
      </w:r>
    </w:p>
    <w:p w14:paraId="60361C2F">
      <w:pPr>
        <w:pStyle w:val="23"/>
      </w:pPr>
      <w:r>
        <w:t>Рисунок 2. Принцип работы водяного уровня</w:t>
      </w:r>
    </w:p>
    <w:p w14:paraId="2C90F5D6">
      <w:pPr>
        <w:pStyle w:val="3"/>
      </w:pPr>
      <w:r>
        <w:t>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2</w:t>
      </w:r>
      <w:r>
        <w:t>, которая случайным образом помещалась в окрестностях колышка, маркирующего уровень литорали.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11"/>
    <w:p w14:paraId="3110F40B">
      <w:pPr>
        <w:pStyle w:val="4"/>
      </w:pPr>
      <w:bookmarkStart w:id="12" w:name="X334271a71cf1742a011a7a4929b0ca08e09bccc"/>
      <w:r>
        <w:t>Оценка количества фекалий, выделяемых в естественных условиях</w:t>
      </w:r>
    </w:p>
    <w:p w14:paraId="7F9C41E3">
      <w:pPr>
        <w:pStyle w:val="24"/>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 </w:t>
      </w:r>
      <w:r>
        <w:rPr>
          <w:i/>
          <w:iCs/>
        </w:rPr>
        <w:t>Lo</w:t>
      </w:r>
      <w:r>
        <w:t xml:space="preserve">, имеющих размеры близкие к размерам </w:t>
      </w:r>
      <w:r>
        <w:rPr>
          <w:i/>
          <w:iCs/>
        </w:rPr>
        <w:t>Ls</w:t>
      </w:r>
      <w:r>
        <w:t xml:space="preserve">, использованных в этом эксперименте. Хотя </w:t>
      </w:r>
      <w:r>
        <w:rPr>
          <w:i/>
          <w:iCs/>
        </w:rPr>
        <w:t>Ls</w:t>
      </w:r>
      <w:r>
        <w:t xml:space="preserve"> были собраны как с камней, так и с фукоидов.</w:t>
      </w:r>
    </w:p>
    <w:p w14:paraId="258FC689">
      <w:pPr>
        <w:pStyle w:val="3"/>
      </w:pPr>
      <w:r>
        <w:t>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14:paraId="78B14B15">
      <w:pPr>
        <w:pStyle w:val="34"/>
      </w:pPr>
      <w:r>
        <w:drawing>
          <wp:inline distT="0" distB="0" distL="114300" distR="114300">
            <wp:extent cx="4917440" cy="3692525"/>
            <wp:effectExtent l="0" t="0" r="0" b="0"/>
            <wp:docPr id="41" name="Picture" descr="Рисунок 3. Внешний вид пеллет (Littorina saxati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Рисунок 3. Внешний вид пеллет (Littorina saxatilis)"/>
                    <pic:cNvPicPr>
                      <a:picLocks noChangeAspect="1" noChangeArrowheads="1"/>
                    </pic:cNvPicPr>
                  </pic:nvPicPr>
                  <pic:blipFill>
                    <a:blip r:embed="rId8"/>
                    <a:stretch>
                      <a:fillRect/>
                    </a:stretch>
                  </pic:blipFill>
                  <pic:spPr>
                    <a:xfrm>
                      <a:off x="0" y="0"/>
                      <a:ext cx="4917440" cy="3692667"/>
                    </a:xfrm>
                    <a:prstGeom prst="rect">
                      <a:avLst/>
                    </a:prstGeom>
                    <a:noFill/>
                    <a:ln w="9525">
                      <a:noFill/>
                    </a:ln>
                  </pic:spPr>
                </pic:pic>
              </a:graphicData>
            </a:graphic>
          </wp:inline>
        </w:drawing>
      </w:r>
    </w:p>
    <w:p w14:paraId="1AB8C1DF">
      <w:pPr>
        <w:pStyle w:val="23"/>
      </w:pPr>
      <w:r>
        <w:t>Рисунок 3. Внешний вид пеллет (</w:t>
      </w:r>
      <w:r>
        <w:rPr>
          <w:i/>
          <w:iCs/>
        </w:rPr>
        <w:t>Littorina saxatilis</w:t>
      </w:r>
      <w:r>
        <w:t>)</w:t>
      </w:r>
    </w:p>
    <w:bookmarkEnd w:id="12"/>
    <w:p w14:paraId="23563FA4">
      <w:pPr>
        <w:pStyle w:val="4"/>
      </w:pPr>
      <w:bookmarkStart w:id="13" w:name="X5f32c4b023cafdbf6f8e400eb44f93e525020ce"/>
      <w:r>
        <w:t>Экспериментальное изучение влияния типа субстрата на выделение пеллет</w:t>
      </w:r>
    </w:p>
    <w:p w14:paraId="2DC12793">
      <w:pPr>
        <w:pStyle w:val="24"/>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 </w:t>
      </w:r>
      <w:r>
        <w:rPr>
          <w:i/>
          <w:iCs/>
        </w:rPr>
        <w:t>Lo</w:t>
      </w:r>
      <w:r>
        <w:t xml:space="preserve"> были собраны с фукоидов, а </w:t>
      </w:r>
      <w:r>
        <w:rPr>
          <w:i/>
          <w:iCs/>
        </w:rPr>
        <w:t>Ls</w:t>
      </w:r>
      <w:r>
        <w:t xml:space="preserve"> - с поверхности камней. Отобранных моллюсков мы помещали в контейнеры с водой накрытые сеткой на 24 часа. По прошлым исследованиям, мы знаем, что улитки рода </w:t>
      </w:r>
      <w:r>
        <w:rPr>
          <w:i/>
          <w:iCs/>
        </w:rPr>
        <w:t>Littorina</w:t>
      </w:r>
      <w:r>
        <w:t xml:space="preserve"> отчищают свой кишечник за одни сутки (Бритиков 2022). Так мы получали улиток с пустыми кишечниками.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14:paraId="2AB119B2">
      <w:pPr>
        <w:pStyle w:val="3"/>
      </w:pPr>
      <w:r>
        <w:t xml:space="preserve">Фукоиды двух видов </w:t>
      </w:r>
      <w:r>
        <w:rPr>
          <w:i/>
          <w:iCs/>
        </w:rPr>
        <w:t>Fucus vesiculosus</w:t>
      </w:r>
      <w:r>
        <w:t xml:space="preserve"> и </w:t>
      </w:r>
      <w:r>
        <w:rPr>
          <w:i/>
          <w:iCs/>
        </w:rPr>
        <w:t>Ascophyllum nodosum</w:t>
      </w:r>
      <w:r>
        <w:t xml:space="preserve"> 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сетью с размером ячеи 4 мм и к ним были привязаны грузы. Вся 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которых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 число выделившихся фекалий.</w:t>
      </w:r>
    </w:p>
    <w:bookmarkEnd w:id="13"/>
    <w:p w14:paraId="330CD8CE">
      <w:pPr>
        <w:pStyle w:val="4"/>
      </w:pPr>
      <w:bookmarkStart w:id="14" w:name="статистическая-обработка"/>
      <w:r>
        <w:t>Статистическая обработка</w:t>
      </w:r>
    </w:p>
    <w:p w14:paraId="2505F8F8">
      <w:pPr>
        <w:pStyle w:val="24"/>
      </w:pPr>
      <w:r>
        <w:t xml:space="preserve">Все расчеты проводились с использованием функций языка статистического программирования R 4.4.2 (R Core Team 2023). В качестве порогового значения отвержения нулевой гипотезы использовался уровень значимости </w:t>
      </w:r>
      <m:oMath>
        <m:r>
          <m:rPr/>
          <m:t>α</m:t>
        </m:r>
      </m:oMath>
      <w:r>
        <w:t>=0,05.</w:t>
      </w:r>
    </w:p>
    <w:p w14:paraId="27B3B3E5">
      <w:pPr>
        <w:pStyle w:val="3"/>
      </w:pPr>
      <w:r>
        <w:t>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(Wood (2017)).</w:t>
      </w:r>
    </w:p>
    <w:p w14:paraId="7F718A45">
      <w:pPr>
        <w:pStyle w:val="3"/>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 </w:t>
      </w:r>
      <w:r>
        <w:rPr>
          <w:i/>
          <w:iCs/>
        </w:rPr>
        <w:t>Lo</w:t>
      </w:r>
      <w:r>
        <w:t xml:space="preserve"> на камнях выше пояса фукоидов в естественных биотопах (моллюски данного вида были отмечены только на поверхности песка или отдельных ветках фукоидов).</w:t>
      </w:r>
    </w:p>
    <w:p w14:paraId="1A20E1F6">
      <w:pPr>
        <w:pStyle w:val="3"/>
      </w:pPr>
      <w:r>
        <w:t>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9"/>
    <w:bookmarkEnd w:id="14"/>
    <w:p w14:paraId="5D082AAB">
      <w:pPr>
        <w:pStyle w:val="2"/>
      </w:pPr>
      <w:bookmarkStart w:id="15" w:name="результаты"/>
      <w:r>
        <w:t>Результаты</w:t>
      </w:r>
    </w:p>
    <w:p w14:paraId="696E45A9">
      <w:pPr>
        <w:pStyle w:val="4"/>
      </w:pPr>
      <w:bookmarkStart w:id="16" w:name="X5f89927e313e262fdf2f0c91c4b3f94e77ff7bc"/>
      <w:r>
        <w:t>Анализ вертикального распределения видов</w:t>
      </w:r>
    </w:p>
    <w:p w14:paraId="6366136E">
      <w:pPr>
        <w:pStyle w:val="24"/>
      </w:pPr>
      <w:r>
        <w:t>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14:paraId="2266B925">
      <w:pPr>
        <w:pStyle w:val="32"/>
      </w:pPr>
      <w:r>
        <w:t>Таблица 1. Параметры модели, описывающей вертикальное распределение видов улиток</w:t>
      </w:r>
    </w:p>
    <w:tbl>
      <w:tblPr>
        <w:tblStyle w:val="29"/>
        <w:tblW w:w="0" w:type="auto"/>
        <w:tblCaption w:val="Таблица 1. Параметры модели, описывающей вертикальное распределение видов улиток"/>
        <w:tblInd w:w="0" w:type="dxa"/>
        <w:tblLayout w:type="autofit"/>
        <w:tblCellMar>
          <w:top w:w="0" w:type="dxa"/>
          <w:left w:w="108" w:type="dxa"/>
          <w:bottom w:w="0" w:type="dxa"/>
          <w:right w:w="108" w:type="dxa"/>
        </w:tblCellMar>
      </w:tblPr>
      <w:tblGrid>
        <w:gridCol w:w="3009"/>
        <w:gridCol w:w="636"/>
        <w:gridCol w:w="1383"/>
        <w:gridCol w:w="936"/>
      </w:tblGrid>
      <w:tr w14:paraId="6670313F">
        <w:tblPrEx>
          <w:tblCellMar>
            <w:top w:w="0" w:type="dxa"/>
            <w:left w:w="108" w:type="dxa"/>
            <w:bottom w:w="0" w:type="dxa"/>
            <w:right w:w="108" w:type="dxa"/>
          </w:tblCellMar>
        </w:tblPrEx>
        <w:trPr>
          <w:tblHeader/>
        </w:trPr>
        <w:tc>
          <w:p w14:paraId="17E8F70D">
            <w:pPr>
              <w:pStyle w:val="25"/>
              <w:jc w:val="left"/>
            </w:pPr>
            <w:r>
              <w:t>Член модели</w:t>
            </w:r>
          </w:p>
        </w:tc>
        <w:tc>
          <w:p w14:paraId="7C0F3433">
            <w:pPr>
              <w:pStyle w:val="25"/>
              <w:jc w:val="right"/>
            </w:pPr>
            <w:r>
              <w:t>edf</w:t>
            </w:r>
          </w:p>
        </w:tc>
        <w:tc>
          <w:p w14:paraId="42BF373D">
            <w:pPr>
              <w:pStyle w:val="25"/>
              <w:jc w:val="right"/>
            </w:pPr>
            <w:r>
              <w:t>F-критерий</w:t>
            </w:r>
          </w:p>
        </w:tc>
        <w:tc>
          <w:p w14:paraId="5339EEE8">
            <w:pPr>
              <w:pStyle w:val="25"/>
              <w:jc w:val="right"/>
            </w:pPr>
            <w:r>
              <w:t>p-value</w:t>
            </w:r>
          </w:p>
        </w:tc>
      </w:tr>
      <w:tr w14:paraId="51F2ED76">
        <w:tblPrEx>
          <w:tblCellMar>
            <w:top w:w="0" w:type="dxa"/>
            <w:left w:w="108" w:type="dxa"/>
            <w:bottom w:w="0" w:type="dxa"/>
            <w:right w:w="108" w:type="dxa"/>
          </w:tblCellMar>
        </w:tblPrEx>
        <w:tc>
          <w:p w14:paraId="735BBC20">
            <w:pPr>
              <w:pStyle w:val="25"/>
              <w:jc w:val="left"/>
            </w:pPr>
            <w:r>
              <w:t>s(Real_H):SpeciesL.saxatilis</w:t>
            </w:r>
          </w:p>
        </w:tc>
        <w:tc>
          <w:p w14:paraId="56E15F6B">
            <w:pPr>
              <w:pStyle w:val="25"/>
              <w:jc w:val="right"/>
            </w:pPr>
            <w:r>
              <w:t>4.73</w:t>
            </w:r>
          </w:p>
        </w:tc>
        <w:tc>
          <w:p w14:paraId="38772921">
            <w:pPr>
              <w:pStyle w:val="25"/>
              <w:jc w:val="right"/>
            </w:pPr>
            <w:r>
              <w:t>11.8</w:t>
            </w:r>
          </w:p>
        </w:tc>
        <w:tc>
          <w:p w14:paraId="73C8B1A8">
            <w:pPr>
              <w:pStyle w:val="25"/>
              <w:jc w:val="right"/>
            </w:pPr>
            <w:r>
              <w:t>0e+00</w:t>
            </w:r>
          </w:p>
        </w:tc>
      </w:tr>
      <w:tr w14:paraId="2290F1B6">
        <w:tblPrEx>
          <w:tblCellMar>
            <w:top w:w="0" w:type="dxa"/>
            <w:left w:w="108" w:type="dxa"/>
            <w:bottom w:w="0" w:type="dxa"/>
            <w:right w:w="108" w:type="dxa"/>
          </w:tblCellMar>
        </w:tblPrEx>
        <w:tc>
          <w:p w14:paraId="1D890039">
            <w:pPr>
              <w:pStyle w:val="25"/>
              <w:jc w:val="left"/>
            </w:pPr>
            <w:r>
              <w:t>s(Real_H):SpeciesL.obtusata</w:t>
            </w:r>
          </w:p>
        </w:tc>
        <w:tc>
          <w:p w14:paraId="3CDE2B7A">
            <w:pPr>
              <w:pStyle w:val="25"/>
              <w:jc w:val="right"/>
            </w:pPr>
            <w:r>
              <w:t>5.90</w:t>
            </w:r>
          </w:p>
        </w:tc>
        <w:tc>
          <w:p w14:paraId="0E176B30">
            <w:pPr>
              <w:pStyle w:val="25"/>
              <w:jc w:val="right"/>
            </w:pPr>
            <w:r>
              <w:t>4.7</w:t>
            </w:r>
          </w:p>
        </w:tc>
        <w:tc>
          <w:p w14:paraId="6A6B85F1">
            <w:pPr>
              <w:pStyle w:val="25"/>
              <w:jc w:val="right"/>
            </w:pPr>
            <w:r>
              <w:t>2e-04</w:t>
            </w:r>
          </w:p>
        </w:tc>
      </w:tr>
    </w:tbl>
    <w:p w14:paraId="2013CFC2">
      <w:pPr>
        <w:pStyle w:val="3"/>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 </w:t>
      </w:r>
      <w:r>
        <w:rPr>
          <w:i/>
          <w:iCs/>
        </w:rPr>
        <w:t>Ls</w:t>
      </w:r>
      <w:r>
        <w:t xml:space="preserve"> в пределах пояса фукоидов было невелико. Вне пояса фукоидов обилие этого вида резко возрастало и с повышением высоты оно незначительно увеличивалось. Обилие </w:t>
      </w:r>
      <w:r>
        <w:rPr>
          <w:i/>
          <w:iCs/>
        </w:rPr>
        <w:t>Lo</w:t>
      </w:r>
      <w:r>
        <w:t xml:space="preserve"> было максимальным в пределах пояса фукоидов достигая своего максимума приблизительно на высоте 125 см над уровнем нуля глубин. После пояса фукоидов обилие этого вида резко падает, после чего, с увеличением высоты, значимых изменений не наблюдалось.</w:t>
      </w:r>
    </w:p>
    <w:p w14:paraId="659A005C">
      <w:pPr>
        <w:pStyle w:val="34"/>
      </w:pPr>
      <w:r>
        <w:drawing>
          <wp:inline distT="0" distB="0" distL="114300" distR="114300">
            <wp:extent cx="6146800" cy="2731770"/>
            <wp:effectExtent l="0" t="0" r="0" b="0"/>
            <wp:docPr id="48" name="Picture" descr="Рисунок 4. Распределение двух видов литторин по литорали. (A) L.saxatilis, (B) L.obtusata.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Рисунок 4. Распределение двух видов литторин по литорали. (A) L.saxatilis, (B) L.obtusata.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
                    <pic:cNvPicPr>
                      <a:picLocks noChangeAspect="1" noChangeArrowheads="1"/>
                    </pic:cNvPicPr>
                  </pic:nvPicPr>
                  <pic:blipFill>
                    <a:blip r:embed="rId9"/>
                    <a:stretch>
                      <a:fillRect/>
                    </a:stretch>
                  </pic:blipFill>
                  <pic:spPr>
                    <a:xfrm>
                      <a:off x="0" y="0"/>
                      <a:ext cx="6146800" cy="2731911"/>
                    </a:xfrm>
                    <a:prstGeom prst="rect">
                      <a:avLst/>
                    </a:prstGeom>
                    <a:noFill/>
                    <a:ln w="9525">
                      <a:noFill/>
                    </a:ln>
                  </pic:spPr>
                </pic:pic>
              </a:graphicData>
            </a:graphic>
          </wp:inline>
        </w:drawing>
      </w:r>
    </w:p>
    <w:p w14:paraId="4D721D8F">
      <w:pPr>
        <w:pStyle w:val="23"/>
      </w:pPr>
      <w:r>
        <w:t xml:space="preserve">Рисунок 4. Распределение двух видов литторин по литорали. (A) </w:t>
      </w:r>
      <w:r>
        <w:rPr>
          <w:i/>
          <w:iCs/>
        </w:rPr>
        <w:t>L.saxatilis</w:t>
      </w:r>
      <w:r>
        <w:t xml:space="preserve">, (B) </w:t>
      </w:r>
      <w:r>
        <w:rPr>
          <w:i/>
          <w:iCs/>
        </w:rPr>
        <w:t>L.obtusata</w:t>
      </w:r>
      <w:r>
        <w:t>.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w:t>
      </w:r>
    </w:p>
    <w:bookmarkEnd w:id="16"/>
    <w:p w14:paraId="5E331346">
      <w:pPr>
        <w:pStyle w:val="4"/>
      </w:pPr>
      <w:bookmarkStart w:id="17" w:name="X5cecc4f39813288f3dc54b89a39e9529d5f5f18"/>
      <w:r>
        <w:t>Оценка количества фекалий, выделяемых в естественных условиях</w:t>
      </w:r>
    </w:p>
    <w:p w14:paraId="1DB34644">
      <w:pPr>
        <w:pStyle w:val="24"/>
      </w:pPr>
      <w:r>
        <w:t xml:space="preserve">Чтобы оценить интенсивность выделения фекалий в естественных условиях мы брали </w:t>
      </w:r>
      <w:r>
        <w:rPr>
          <w:i/>
          <w:iCs/>
        </w:rPr>
        <w:t>Ls</w:t>
      </w:r>
      <w:r>
        <w:t xml:space="preserve"> и </w:t>
      </w:r>
      <w:r>
        <w:rPr>
          <w:i/>
          <w:iCs/>
        </w:rPr>
        <w:t>Lo</w:t>
      </w:r>
      <w:r>
        <w:t xml:space="preserve"> из условий являвшихся для данного вида естественными. На фукоидах мы собирали </w:t>
      </w:r>
      <w:r>
        <w:rPr>
          <w:i/>
          <w:iCs/>
        </w:rPr>
        <w:t>Lo</w:t>
      </w:r>
      <w:r>
        <w:t xml:space="preserve">, а на камнях - </w:t>
      </w:r>
      <w:r>
        <w:rPr>
          <w:i/>
          <w:iCs/>
        </w:rPr>
        <w:t>Ls</w:t>
      </w:r>
      <w:r>
        <w:t xml:space="preserve">. В среднем </w:t>
      </w:r>
      <w:r>
        <w:rPr>
          <w:i/>
          <w:iCs/>
        </w:rPr>
        <w:t>Lo</w:t>
      </w:r>
      <w:r>
        <w:t xml:space="preserve"> в сутки выделяли 31 пеллет (минимальное значение выделившихся пеллет равно 4, максимальное - 79, sd = 16.1). </w:t>
      </w:r>
      <w:r>
        <w:rPr>
          <w:i/>
          <w:iCs/>
        </w:rPr>
        <w:t>Ls</w:t>
      </w:r>
      <w:r>
        <w:t xml:space="preserve"> за сутки выделяли 11.8 пеллет (минимальное значение выделившихся пеллет равно 0, максимальное - 71, sd = 14.9).</w:t>
      </w:r>
    </w:p>
    <w:bookmarkEnd w:id="17"/>
    <w:p w14:paraId="568924D2">
      <w:pPr>
        <w:pStyle w:val="4"/>
      </w:pPr>
      <w:bookmarkStart w:id="18" w:name="Xfd1f382274ea0ecf78143eb963db7bbf8f6dbca"/>
      <w:r>
        <w:t>Экспериментальное изучение влияния типа субстрата на выделение пеллет</w:t>
      </w:r>
    </w:p>
    <w:p w14:paraId="654FA655">
      <w:pPr>
        <w:pStyle w:val="24"/>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 </w:t>
      </w:r>
      <w:r>
        <w:rPr>
          <w:i/>
          <w:iCs/>
        </w:rPr>
        <w:t>Lo</w:t>
      </w:r>
      <w:r>
        <w:t xml:space="preserve">, которые питались на фукоидах, выделяли заметно больше пеллет, чем </w:t>
      </w:r>
      <w:r>
        <w:rPr>
          <w:i/>
          <w:iCs/>
        </w:rPr>
        <w:t>Lo</w:t>
      </w:r>
      <w:r>
        <w:t xml:space="preserve"> питавшиеся на камнях. </w:t>
      </w:r>
      <w:r>
        <w:rPr>
          <w:i/>
          <w:iCs/>
        </w:rPr>
        <w:t>Ls</w:t>
      </w:r>
      <w:r>
        <w:t xml:space="preserve">, которые кормились на фукоидах, в среднем, выделяли меньше пеллет, чем </w:t>
      </w:r>
      <w:r>
        <w:rPr>
          <w:i/>
          <w:iCs/>
        </w:rPr>
        <w:t>Ls</w:t>
      </w:r>
      <w:r>
        <w:t>, которые кормились на камнях.</w:t>
      </w:r>
    </w:p>
    <w:p w14:paraId="125E87F9">
      <w:pPr>
        <w:pStyle w:val="34"/>
      </w:pPr>
      <w:r>
        <w:drawing>
          <wp:inline distT="0" distB="0" distL="114300" distR="114300">
            <wp:extent cx="6146800" cy="2731770"/>
            <wp:effectExtent l="0" t="0" r="0" b="0"/>
            <wp:docPr id="53" name="Picture" descr="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Lo (сплошная линия) и Ls (пунктирная линия) в естественных условиях в пределах того биотопа, где наблюдается максимальное обил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Lo (сплошная линия) и Ls (пунктирная линия) в естественных условиях в пределах того биотопа, где наблюдается максимальное обилие."/>
                    <pic:cNvPicPr>
                      <a:picLocks noChangeAspect="1" noChangeArrowheads="1"/>
                    </pic:cNvPicPr>
                  </pic:nvPicPr>
                  <pic:blipFill>
                    <a:blip r:embed="rId10"/>
                    <a:stretch>
                      <a:fillRect/>
                    </a:stretch>
                  </pic:blipFill>
                  <pic:spPr>
                    <a:xfrm>
                      <a:off x="0" y="0"/>
                      <a:ext cx="6146800" cy="2731911"/>
                    </a:xfrm>
                    <a:prstGeom prst="rect">
                      <a:avLst/>
                    </a:prstGeom>
                    <a:noFill/>
                    <a:ln w="9525">
                      <a:noFill/>
                    </a:ln>
                  </pic:spPr>
                </pic:pic>
              </a:graphicData>
            </a:graphic>
          </wp:inline>
        </w:drawing>
      </w:r>
    </w:p>
    <w:p w14:paraId="353C10EC">
      <w:pPr>
        <w:pStyle w:val="23"/>
      </w:pPr>
      <w:r>
        <w:t xml:space="preserve">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w:t>
      </w:r>
      <w:r>
        <w:rPr>
          <w:i/>
          <w:iCs/>
        </w:rPr>
        <w:t>Lo</w:t>
      </w:r>
      <w:r>
        <w:t xml:space="preserve"> (сплошная линия) и </w:t>
      </w:r>
      <w:r>
        <w:rPr>
          <w:i/>
          <w:iCs/>
        </w:rPr>
        <w:t>Ls</w:t>
      </w:r>
      <w:r>
        <w:t xml:space="preserve"> (пунктирная линия) в естественных условиях в пределах того биотопа, где наблюдается максимальное обилие.</w:t>
      </w:r>
    </w:p>
    <w:p w14:paraId="7984383F">
      <w:pPr>
        <w:pStyle w:val="3"/>
      </w:pPr>
      <w:r>
        <w:t>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14:paraId="18F40A78">
      <w:pPr>
        <w:pStyle w:val="32"/>
      </w:pPr>
      <w:r>
        <w:t>Таблица 2. Параметры модели, описывающей влияния типа субстрата на интенсивность выделение пелет</w:t>
      </w:r>
    </w:p>
    <w:tbl>
      <w:tblPr>
        <w:tblStyle w:val="29"/>
        <w:tblW w:w="5210" w:type="pct"/>
        <w:tblCaption w:val="Таблица 2. Параметры модели, описывающей влияния типа субстрата на интенсивность выделение пелет"/>
        <w:tblInd w:w="0" w:type="dxa"/>
        <w:tblLayout w:type="fixed"/>
        <w:tblCellMar>
          <w:top w:w="0" w:type="dxa"/>
          <w:left w:w="108" w:type="dxa"/>
          <w:bottom w:w="0" w:type="dxa"/>
          <w:right w:w="108" w:type="dxa"/>
        </w:tblCellMar>
      </w:tblPr>
      <w:tblGrid>
        <w:gridCol w:w="887"/>
        <w:gridCol w:w="1183"/>
        <w:gridCol w:w="1922"/>
        <w:gridCol w:w="1256"/>
        <w:gridCol w:w="1404"/>
        <w:gridCol w:w="1701"/>
        <w:gridCol w:w="961"/>
        <w:gridCol w:w="1008"/>
      </w:tblGrid>
      <w:tr w14:paraId="31F6B5CF">
        <w:tblPrEx>
          <w:tblCellMar>
            <w:top w:w="0" w:type="dxa"/>
            <w:left w:w="108" w:type="dxa"/>
            <w:bottom w:w="0" w:type="dxa"/>
            <w:right w:w="108" w:type="dxa"/>
          </w:tblCellMar>
        </w:tblPrEx>
        <w:trPr>
          <w:tblHeader/>
        </w:trPr>
        <w:tc>
          <w:p w14:paraId="4561722B">
            <w:pPr>
              <w:pStyle w:val="25"/>
              <w:jc w:val="left"/>
              <w:rPr>
                <w:sz w:val="18"/>
                <w:szCs w:val="18"/>
              </w:rPr>
            </w:pPr>
            <w:r>
              <w:rPr>
                <w:sz w:val="18"/>
                <w:szCs w:val="18"/>
              </w:rPr>
              <w:t>Тип эффекта</w:t>
            </w:r>
          </w:p>
        </w:tc>
        <w:tc>
          <w:p w14:paraId="56176304">
            <w:pPr>
              <w:pStyle w:val="25"/>
              <w:jc w:val="left"/>
              <w:rPr>
                <w:sz w:val="18"/>
                <w:szCs w:val="18"/>
              </w:rPr>
            </w:pPr>
            <w:r>
              <w:rPr>
                <w:sz w:val="18"/>
                <w:szCs w:val="18"/>
              </w:rPr>
              <w:t>случайны фактор</w:t>
            </w:r>
          </w:p>
        </w:tc>
        <w:tc>
          <w:p w14:paraId="4125526C">
            <w:pPr>
              <w:pStyle w:val="25"/>
              <w:jc w:val="left"/>
              <w:rPr>
                <w:sz w:val="18"/>
                <w:szCs w:val="18"/>
              </w:rPr>
            </w:pPr>
            <w:r>
              <w:rPr>
                <w:sz w:val="18"/>
                <w:szCs w:val="18"/>
              </w:rPr>
              <w:t>Член модели</w:t>
            </w:r>
          </w:p>
        </w:tc>
        <w:tc>
          <w:p w14:paraId="137747BF">
            <w:pPr>
              <w:pStyle w:val="25"/>
              <w:jc w:val="right"/>
              <w:rPr>
                <w:sz w:val="18"/>
                <w:szCs w:val="18"/>
              </w:rPr>
            </w:pPr>
            <w:r>
              <w:rPr>
                <w:sz w:val="18"/>
                <w:szCs w:val="18"/>
              </w:rPr>
              <w:t>Оценка парамтера</w:t>
            </w:r>
          </w:p>
        </w:tc>
        <w:tc>
          <w:p w14:paraId="4E2C92EA">
            <w:pPr>
              <w:pStyle w:val="25"/>
              <w:jc w:val="right"/>
              <w:rPr>
                <w:sz w:val="18"/>
                <w:szCs w:val="18"/>
              </w:rPr>
            </w:pPr>
            <w:r>
              <w:rPr>
                <w:sz w:val="18"/>
                <w:szCs w:val="18"/>
              </w:rPr>
              <w:t>Стандартная ошибка</w:t>
            </w:r>
          </w:p>
        </w:tc>
        <w:tc>
          <w:p w14:paraId="0C36B6EF">
            <w:pPr>
              <w:pStyle w:val="25"/>
              <w:jc w:val="right"/>
              <w:rPr>
                <w:sz w:val="18"/>
                <w:szCs w:val="18"/>
              </w:rPr>
            </w:pPr>
            <w:r>
              <w:rPr>
                <w:sz w:val="18"/>
                <w:szCs w:val="18"/>
              </w:rPr>
              <w:t>Число степеней свободы</w:t>
            </w:r>
          </w:p>
        </w:tc>
        <w:tc>
          <w:p w14:paraId="2B3C7096">
            <w:pPr>
              <w:pStyle w:val="25"/>
              <w:jc w:val="right"/>
              <w:rPr>
                <w:sz w:val="18"/>
                <w:szCs w:val="18"/>
              </w:rPr>
            </w:pPr>
            <w:r>
              <w:rPr>
                <w:sz w:val="18"/>
                <w:szCs w:val="18"/>
              </w:rPr>
              <w:t>t-статистика</w:t>
            </w:r>
          </w:p>
        </w:tc>
        <w:tc>
          <w:tcPr>
            <w:tcW w:w="488" w:type="pct"/>
          </w:tcPr>
          <w:p w14:paraId="0BFB191D">
            <w:pPr>
              <w:pStyle w:val="25"/>
              <w:jc w:val="right"/>
              <w:rPr>
                <w:sz w:val="18"/>
                <w:szCs w:val="18"/>
              </w:rPr>
            </w:pPr>
            <w:r>
              <w:rPr>
                <w:sz w:val="18"/>
                <w:szCs w:val="18"/>
              </w:rPr>
              <w:t>p-value</w:t>
            </w:r>
          </w:p>
        </w:tc>
      </w:tr>
      <w:tr w14:paraId="0C2B233F">
        <w:tblPrEx>
          <w:tblCellMar>
            <w:top w:w="0" w:type="dxa"/>
            <w:left w:w="108" w:type="dxa"/>
            <w:bottom w:w="0" w:type="dxa"/>
            <w:right w:w="108" w:type="dxa"/>
          </w:tblCellMar>
        </w:tblPrEx>
        <w:tc>
          <w:p w14:paraId="71AF2EA1">
            <w:pPr>
              <w:pStyle w:val="25"/>
              <w:jc w:val="left"/>
              <w:rPr>
                <w:sz w:val="18"/>
                <w:szCs w:val="18"/>
              </w:rPr>
            </w:pPr>
            <w:r>
              <w:rPr>
                <w:sz w:val="18"/>
                <w:szCs w:val="18"/>
              </w:rPr>
              <w:t>fixed</w:t>
            </w:r>
          </w:p>
        </w:tc>
        <w:tc>
          <w:p w14:paraId="0C01A12C">
            <w:pPr>
              <w:pStyle w:val="25"/>
              <w:rPr>
                <w:sz w:val="18"/>
                <w:szCs w:val="18"/>
              </w:rPr>
            </w:pPr>
          </w:p>
        </w:tc>
        <w:tc>
          <w:p w14:paraId="5BEE7D1E">
            <w:pPr>
              <w:pStyle w:val="25"/>
              <w:jc w:val="left"/>
              <w:rPr>
                <w:sz w:val="18"/>
                <w:szCs w:val="18"/>
              </w:rPr>
            </w:pPr>
            <w:r>
              <w:rPr>
                <w:sz w:val="18"/>
                <w:szCs w:val="18"/>
              </w:rPr>
              <w:t>(Intercept)</w:t>
            </w:r>
          </w:p>
        </w:tc>
        <w:tc>
          <w:p w14:paraId="668D18FF">
            <w:pPr>
              <w:pStyle w:val="25"/>
              <w:jc w:val="right"/>
              <w:rPr>
                <w:sz w:val="18"/>
                <w:szCs w:val="18"/>
              </w:rPr>
            </w:pPr>
            <w:r>
              <w:rPr>
                <w:sz w:val="18"/>
                <w:szCs w:val="18"/>
              </w:rPr>
              <w:t>3.02</w:t>
            </w:r>
          </w:p>
        </w:tc>
        <w:tc>
          <w:p w14:paraId="78F6DF02">
            <w:pPr>
              <w:pStyle w:val="25"/>
              <w:jc w:val="right"/>
              <w:rPr>
                <w:sz w:val="18"/>
                <w:szCs w:val="18"/>
              </w:rPr>
            </w:pPr>
            <w:r>
              <w:rPr>
                <w:sz w:val="18"/>
                <w:szCs w:val="18"/>
              </w:rPr>
              <w:t>0.369</w:t>
            </w:r>
          </w:p>
        </w:tc>
        <w:tc>
          <w:p w14:paraId="6A738295">
            <w:pPr>
              <w:pStyle w:val="25"/>
              <w:jc w:val="right"/>
              <w:rPr>
                <w:sz w:val="18"/>
                <w:szCs w:val="18"/>
              </w:rPr>
            </w:pPr>
            <w:r>
              <w:rPr>
                <w:sz w:val="18"/>
                <w:szCs w:val="18"/>
              </w:rPr>
              <w:t>211</w:t>
            </w:r>
          </w:p>
        </w:tc>
        <w:tc>
          <w:p w14:paraId="227B146B">
            <w:pPr>
              <w:pStyle w:val="25"/>
              <w:jc w:val="right"/>
              <w:rPr>
                <w:sz w:val="18"/>
                <w:szCs w:val="18"/>
              </w:rPr>
            </w:pPr>
            <w:r>
              <w:rPr>
                <w:sz w:val="18"/>
                <w:szCs w:val="18"/>
              </w:rPr>
              <w:t>8.207</w:t>
            </w:r>
          </w:p>
        </w:tc>
        <w:tc>
          <w:tcPr>
            <w:tcW w:w="488" w:type="pct"/>
          </w:tcPr>
          <w:p w14:paraId="03D720AA">
            <w:pPr>
              <w:pStyle w:val="25"/>
              <w:jc w:val="right"/>
              <w:rPr>
                <w:sz w:val="18"/>
                <w:szCs w:val="18"/>
              </w:rPr>
            </w:pPr>
            <w:r>
              <w:rPr>
                <w:sz w:val="18"/>
                <w:szCs w:val="18"/>
              </w:rPr>
              <w:t>0.0000</w:t>
            </w:r>
          </w:p>
        </w:tc>
      </w:tr>
      <w:tr w14:paraId="6B253AC2">
        <w:tblPrEx>
          <w:tblCellMar>
            <w:top w:w="0" w:type="dxa"/>
            <w:left w:w="108" w:type="dxa"/>
            <w:bottom w:w="0" w:type="dxa"/>
            <w:right w:w="108" w:type="dxa"/>
          </w:tblCellMar>
        </w:tblPrEx>
        <w:tc>
          <w:p w14:paraId="2D312ABD">
            <w:pPr>
              <w:pStyle w:val="25"/>
              <w:jc w:val="left"/>
              <w:rPr>
                <w:sz w:val="18"/>
                <w:szCs w:val="18"/>
              </w:rPr>
            </w:pPr>
            <w:r>
              <w:rPr>
                <w:sz w:val="18"/>
                <w:szCs w:val="18"/>
              </w:rPr>
              <w:t>fixed</w:t>
            </w:r>
          </w:p>
        </w:tc>
        <w:tc>
          <w:p w14:paraId="0612ABD6">
            <w:pPr>
              <w:pStyle w:val="25"/>
              <w:rPr>
                <w:sz w:val="18"/>
                <w:szCs w:val="18"/>
              </w:rPr>
            </w:pPr>
          </w:p>
        </w:tc>
        <w:tc>
          <w:p w14:paraId="0952FADD">
            <w:pPr>
              <w:pStyle w:val="25"/>
              <w:jc w:val="left"/>
              <w:rPr>
                <w:sz w:val="18"/>
                <w:szCs w:val="18"/>
              </w:rPr>
            </w:pPr>
            <w:r>
              <w:rPr>
                <w:sz w:val="18"/>
                <w:szCs w:val="18"/>
              </w:rPr>
              <w:t>SpeciesSax</w:t>
            </w:r>
          </w:p>
        </w:tc>
        <w:tc>
          <w:p w14:paraId="6DD98038">
            <w:pPr>
              <w:pStyle w:val="25"/>
              <w:jc w:val="right"/>
              <w:rPr>
                <w:sz w:val="18"/>
                <w:szCs w:val="18"/>
              </w:rPr>
            </w:pPr>
            <w:r>
              <w:rPr>
                <w:sz w:val="18"/>
                <w:szCs w:val="18"/>
              </w:rPr>
              <w:t>-0.79</w:t>
            </w:r>
          </w:p>
        </w:tc>
        <w:tc>
          <w:p w14:paraId="4FC9B32A">
            <w:pPr>
              <w:pStyle w:val="25"/>
              <w:jc w:val="right"/>
              <w:rPr>
                <w:sz w:val="18"/>
                <w:szCs w:val="18"/>
              </w:rPr>
            </w:pPr>
            <w:r>
              <w:rPr>
                <w:sz w:val="18"/>
                <w:szCs w:val="18"/>
              </w:rPr>
              <w:t>0.201</w:t>
            </w:r>
          </w:p>
        </w:tc>
        <w:tc>
          <w:p w14:paraId="73DEE934">
            <w:pPr>
              <w:pStyle w:val="25"/>
              <w:jc w:val="right"/>
              <w:rPr>
                <w:sz w:val="18"/>
                <w:szCs w:val="18"/>
              </w:rPr>
            </w:pPr>
            <w:r>
              <w:rPr>
                <w:sz w:val="18"/>
                <w:szCs w:val="18"/>
              </w:rPr>
              <w:t>211</w:t>
            </w:r>
          </w:p>
        </w:tc>
        <w:tc>
          <w:p w14:paraId="3C8CF5C0">
            <w:pPr>
              <w:pStyle w:val="25"/>
              <w:jc w:val="right"/>
              <w:rPr>
                <w:sz w:val="18"/>
                <w:szCs w:val="18"/>
              </w:rPr>
            </w:pPr>
            <w:r>
              <w:rPr>
                <w:sz w:val="18"/>
                <w:szCs w:val="18"/>
              </w:rPr>
              <w:t>-3.927</w:t>
            </w:r>
          </w:p>
        </w:tc>
        <w:tc>
          <w:tcPr>
            <w:tcW w:w="488" w:type="pct"/>
          </w:tcPr>
          <w:p w14:paraId="6DA61FAC">
            <w:pPr>
              <w:pStyle w:val="25"/>
              <w:jc w:val="right"/>
              <w:rPr>
                <w:sz w:val="18"/>
                <w:szCs w:val="18"/>
              </w:rPr>
            </w:pPr>
            <w:r>
              <w:rPr>
                <w:sz w:val="18"/>
                <w:szCs w:val="18"/>
              </w:rPr>
              <w:t>0.0001</w:t>
            </w:r>
          </w:p>
        </w:tc>
      </w:tr>
      <w:tr w14:paraId="2599AD45">
        <w:tblPrEx>
          <w:tblCellMar>
            <w:top w:w="0" w:type="dxa"/>
            <w:left w:w="108" w:type="dxa"/>
            <w:bottom w:w="0" w:type="dxa"/>
            <w:right w:w="108" w:type="dxa"/>
          </w:tblCellMar>
        </w:tblPrEx>
        <w:tc>
          <w:p w14:paraId="53639B3B">
            <w:pPr>
              <w:pStyle w:val="25"/>
              <w:jc w:val="left"/>
              <w:rPr>
                <w:sz w:val="18"/>
                <w:szCs w:val="18"/>
              </w:rPr>
            </w:pPr>
            <w:r>
              <w:rPr>
                <w:sz w:val="18"/>
                <w:szCs w:val="18"/>
              </w:rPr>
              <w:t>fixed</w:t>
            </w:r>
          </w:p>
        </w:tc>
        <w:tc>
          <w:p w14:paraId="5B5225EB">
            <w:pPr>
              <w:pStyle w:val="25"/>
              <w:rPr>
                <w:sz w:val="18"/>
                <w:szCs w:val="18"/>
              </w:rPr>
            </w:pPr>
          </w:p>
        </w:tc>
        <w:tc>
          <w:p w14:paraId="7BBA60C6">
            <w:pPr>
              <w:pStyle w:val="25"/>
              <w:jc w:val="left"/>
              <w:rPr>
                <w:sz w:val="18"/>
                <w:szCs w:val="18"/>
              </w:rPr>
            </w:pPr>
            <w:r>
              <w:rPr>
                <w:sz w:val="18"/>
                <w:szCs w:val="18"/>
              </w:rPr>
              <w:t>SubstrateStone</w:t>
            </w:r>
          </w:p>
        </w:tc>
        <w:tc>
          <w:p w14:paraId="2A80A800">
            <w:pPr>
              <w:pStyle w:val="25"/>
              <w:jc w:val="right"/>
              <w:rPr>
                <w:sz w:val="18"/>
                <w:szCs w:val="18"/>
              </w:rPr>
            </w:pPr>
            <w:r>
              <w:rPr>
                <w:sz w:val="18"/>
                <w:szCs w:val="18"/>
              </w:rPr>
              <w:t>-0.88</w:t>
            </w:r>
          </w:p>
        </w:tc>
        <w:tc>
          <w:p w14:paraId="1B1C2D55">
            <w:pPr>
              <w:pStyle w:val="25"/>
              <w:jc w:val="right"/>
              <w:rPr>
                <w:sz w:val="18"/>
                <w:szCs w:val="18"/>
              </w:rPr>
            </w:pPr>
            <w:r>
              <w:rPr>
                <w:sz w:val="18"/>
                <w:szCs w:val="18"/>
              </w:rPr>
              <w:t>0.254</w:t>
            </w:r>
          </w:p>
        </w:tc>
        <w:tc>
          <w:p w14:paraId="63FED82C">
            <w:pPr>
              <w:pStyle w:val="25"/>
              <w:jc w:val="right"/>
              <w:rPr>
                <w:sz w:val="18"/>
                <w:szCs w:val="18"/>
              </w:rPr>
            </w:pPr>
            <w:r>
              <w:rPr>
                <w:sz w:val="18"/>
                <w:szCs w:val="18"/>
              </w:rPr>
              <w:t>211</w:t>
            </w:r>
          </w:p>
        </w:tc>
        <w:tc>
          <w:p w14:paraId="1F5E4471">
            <w:pPr>
              <w:pStyle w:val="25"/>
              <w:jc w:val="right"/>
              <w:rPr>
                <w:sz w:val="18"/>
                <w:szCs w:val="18"/>
              </w:rPr>
            </w:pPr>
            <w:r>
              <w:rPr>
                <w:sz w:val="18"/>
                <w:szCs w:val="18"/>
              </w:rPr>
              <w:t>-3.449</w:t>
            </w:r>
          </w:p>
        </w:tc>
        <w:tc>
          <w:tcPr>
            <w:tcW w:w="488" w:type="pct"/>
          </w:tcPr>
          <w:p w14:paraId="60C70CAC">
            <w:pPr>
              <w:pStyle w:val="25"/>
              <w:jc w:val="right"/>
              <w:rPr>
                <w:sz w:val="18"/>
                <w:szCs w:val="18"/>
              </w:rPr>
            </w:pPr>
            <w:r>
              <w:rPr>
                <w:sz w:val="18"/>
                <w:szCs w:val="18"/>
              </w:rPr>
              <w:t>0.0007</w:t>
            </w:r>
          </w:p>
        </w:tc>
      </w:tr>
      <w:tr w14:paraId="10B28A1F">
        <w:tblPrEx>
          <w:tblCellMar>
            <w:top w:w="0" w:type="dxa"/>
            <w:left w:w="108" w:type="dxa"/>
            <w:bottom w:w="0" w:type="dxa"/>
            <w:right w:w="108" w:type="dxa"/>
          </w:tblCellMar>
        </w:tblPrEx>
        <w:tc>
          <w:p w14:paraId="53BF3795">
            <w:pPr>
              <w:pStyle w:val="25"/>
              <w:jc w:val="left"/>
              <w:rPr>
                <w:sz w:val="18"/>
                <w:szCs w:val="18"/>
              </w:rPr>
            </w:pPr>
            <w:r>
              <w:rPr>
                <w:sz w:val="18"/>
                <w:szCs w:val="18"/>
              </w:rPr>
              <w:t>fixed</w:t>
            </w:r>
          </w:p>
        </w:tc>
        <w:tc>
          <w:p w14:paraId="29D61984">
            <w:pPr>
              <w:pStyle w:val="25"/>
              <w:rPr>
                <w:sz w:val="18"/>
                <w:szCs w:val="18"/>
              </w:rPr>
            </w:pPr>
          </w:p>
        </w:tc>
        <w:tc>
          <w:p w14:paraId="377B6C06">
            <w:pPr>
              <w:pStyle w:val="25"/>
              <w:jc w:val="left"/>
              <w:rPr>
                <w:sz w:val="18"/>
                <w:szCs w:val="18"/>
              </w:rPr>
            </w:pPr>
            <w:r>
              <w:rPr>
                <w:sz w:val="18"/>
                <w:szCs w:val="18"/>
              </w:rPr>
              <w:t>SpeciesSax:SubstrateStone</w:t>
            </w:r>
          </w:p>
        </w:tc>
        <w:tc>
          <w:p w14:paraId="1A38C81D">
            <w:pPr>
              <w:pStyle w:val="25"/>
              <w:jc w:val="right"/>
              <w:rPr>
                <w:sz w:val="18"/>
                <w:szCs w:val="18"/>
              </w:rPr>
            </w:pPr>
            <w:r>
              <w:rPr>
                <w:sz w:val="18"/>
                <w:szCs w:val="18"/>
              </w:rPr>
              <w:t>0.75</w:t>
            </w:r>
          </w:p>
        </w:tc>
        <w:tc>
          <w:p w14:paraId="68AB3250">
            <w:pPr>
              <w:pStyle w:val="25"/>
              <w:jc w:val="right"/>
              <w:rPr>
                <w:sz w:val="18"/>
                <w:szCs w:val="18"/>
              </w:rPr>
            </w:pPr>
            <w:r>
              <w:rPr>
                <w:sz w:val="18"/>
                <w:szCs w:val="18"/>
              </w:rPr>
              <w:t>0.354</w:t>
            </w:r>
          </w:p>
        </w:tc>
        <w:tc>
          <w:p w14:paraId="03F55590">
            <w:pPr>
              <w:pStyle w:val="25"/>
              <w:jc w:val="right"/>
              <w:rPr>
                <w:sz w:val="18"/>
                <w:szCs w:val="18"/>
              </w:rPr>
            </w:pPr>
            <w:r>
              <w:rPr>
                <w:sz w:val="18"/>
                <w:szCs w:val="18"/>
              </w:rPr>
              <w:t>211</w:t>
            </w:r>
          </w:p>
        </w:tc>
        <w:tc>
          <w:p w14:paraId="0102C794">
            <w:pPr>
              <w:pStyle w:val="25"/>
              <w:jc w:val="right"/>
              <w:rPr>
                <w:sz w:val="18"/>
                <w:szCs w:val="18"/>
              </w:rPr>
            </w:pPr>
            <w:r>
              <w:rPr>
                <w:sz w:val="18"/>
                <w:szCs w:val="18"/>
              </w:rPr>
              <w:t>2.126</w:t>
            </w:r>
          </w:p>
        </w:tc>
        <w:tc>
          <w:tcPr>
            <w:tcW w:w="488" w:type="pct"/>
          </w:tcPr>
          <w:p w14:paraId="7FCD218B">
            <w:pPr>
              <w:pStyle w:val="25"/>
              <w:jc w:val="right"/>
              <w:rPr>
                <w:sz w:val="18"/>
                <w:szCs w:val="18"/>
              </w:rPr>
            </w:pPr>
            <w:r>
              <w:rPr>
                <w:sz w:val="18"/>
                <w:szCs w:val="18"/>
              </w:rPr>
              <w:t>0.0347</w:t>
            </w:r>
          </w:p>
        </w:tc>
      </w:tr>
      <w:tr w14:paraId="067A69FB">
        <w:tblPrEx>
          <w:tblCellMar>
            <w:top w:w="0" w:type="dxa"/>
            <w:left w:w="108" w:type="dxa"/>
            <w:bottom w:w="0" w:type="dxa"/>
            <w:right w:w="108" w:type="dxa"/>
          </w:tblCellMar>
        </w:tblPrEx>
        <w:tc>
          <w:p w14:paraId="28C782A5">
            <w:pPr>
              <w:pStyle w:val="25"/>
              <w:jc w:val="left"/>
              <w:rPr>
                <w:sz w:val="18"/>
                <w:szCs w:val="18"/>
              </w:rPr>
            </w:pPr>
            <w:r>
              <w:rPr>
                <w:sz w:val="18"/>
                <w:szCs w:val="18"/>
              </w:rPr>
              <w:t>ran_pars</w:t>
            </w:r>
          </w:p>
        </w:tc>
        <w:tc>
          <w:p w14:paraId="2100FED5">
            <w:pPr>
              <w:pStyle w:val="25"/>
              <w:jc w:val="left"/>
              <w:rPr>
                <w:sz w:val="18"/>
                <w:szCs w:val="18"/>
              </w:rPr>
            </w:pPr>
            <w:r>
              <w:rPr>
                <w:sz w:val="18"/>
                <w:szCs w:val="18"/>
              </w:rPr>
              <w:t>Experiment</w:t>
            </w:r>
          </w:p>
        </w:tc>
        <w:tc>
          <w:p w14:paraId="53C9F9D3">
            <w:pPr>
              <w:pStyle w:val="25"/>
              <w:jc w:val="left"/>
              <w:rPr>
                <w:sz w:val="18"/>
                <w:szCs w:val="18"/>
              </w:rPr>
            </w:pPr>
            <w:r>
              <w:rPr>
                <w:sz w:val="18"/>
                <w:szCs w:val="18"/>
              </w:rPr>
              <w:t>sd_(Intercept)</w:t>
            </w:r>
          </w:p>
        </w:tc>
        <w:tc>
          <w:p w14:paraId="329F7B4A">
            <w:pPr>
              <w:pStyle w:val="25"/>
              <w:jc w:val="right"/>
              <w:rPr>
                <w:sz w:val="18"/>
                <w:szCs w:val="18"/>
              </w:rPr>
            </w:pPr>
            <w:r>
              <w:rPr>
                <w:sz w:val="18"/>
                <w:szCs w:val="18"/>
              </w:rPr>
              <w:t>0.59</w:t>
            </w:r>
          </w:p>
        </w:tc>
        <w:tc>
          <w:p w14:paraId="2FC4F4EA">
            <w:pPr>
              <w:pStyle w:val="25"/>
              <w:rPr>
                <w:sz w:val="18"/>
                <w:szCs w:val="18"/>
              </w:rPr>
            </w:pPr>
          </w:p>
        </w:tc>
        <w:tc>
          <w:p w14:paraId="1861BF8D">
            <w:pPr>
              <w:pStyle w:val="25"/>
              <w:rPr>
                <w:sz w:val="18"/>
                <w:szCs w:val="18"/>
              </w:rPr>
            </w:pPr>
          </w:p>
        </w:tc>
        <w:tc>
          <w:p w14:paraId="45010CAB">
            <w:pPr>
              <w:pStyle w:val="25"/>
              <w:rPr>
                <w:sz w:val="18"/>
                <w:szCs w:val="18"/>
              </w:rPr>
            </w:pPr>
          </w:p>
        </w:tc>
        <w:tc>
          <w:tcPr>
            <w:tcW w:w="488" w:type="pct"/>
          </w:tcPr>
          <w:p w14:paraId="065B7D3B">
            <w:pPr>
              <w:pStyle w:val="25"/>
              <w:rPr>
                <w:sz w:val="18"/>
                <w:szCs w:val="18"/>
              </w:rPr>
            </w:pPr>
          </w:p>
        </w:tc>
      </w:tr>
      <w:tr w14:paraId="5F79CFDB">
        <w:tblPrEx>
          <w:tblCellMar>
            <w:top w:w="0" w:type="dxa"/>
            <w:left w:w="108" w:type="dxa"/>
            <w:bottom w:w="0" w:type="dxa"/>
            <w:right w:w="108" w:type="dxa"/>
          </w:tblCellMar>
        </w:tblPrEx>
        <w:tc>
          <w:p w14:paraId="5CB532BD">
            <w:pPr>
              <w:pStyle w:val="25"/>
              <w:jc w:val="left"/>
              <w:rPr>
                <w:sz w:val="18"/>
                <w:szCs w:val="18"/>
              </w:rPr>
            </w:pPr>
            <w:r>
              <w:rPr>
                <w:sz w:val="18"/>
                <w:szCs w:val="18"/>
              </w:rPr>
              <w:t>ran_pars</w:t>
            </w:r>
          </w:p>
        </w:tc>
        <w:tc>
          <w:p w14:paraId="13E9DE99">
            <w:pPr>
              <w:pStyle w:val="25"/>
              <w:jc w:val="left"/>
              <w:rPr>
                <w:sz w:val="18"/>
                <w:szCs w:val="18"/>
              </w:rPr>
            </w:pPr>
            <w:r>
              <w:rPr>
                <w:sz w:val="18"/>
                <w:szCs w:val="18"/>
              </w:rPr>
              <w:t>Residual</w:t>
            </w:r>
          </w:p>
        </w:tc>
        <w:tc>
          <w:p w14:paraId="50AA90AE">
            <w:pPr>
              <w:pStyle w:val="25"/>
              <w:jc w:val="left"/>
              <w:rPr>
                <w:sz w:val="18"/>
                <w:szCs w:val="18"/>
              </w:rPr>
            </w:pPr>
            <w:r>
              <w:rPr>
                <w:sz w:val="18"/>
                <w:szCs w:val="18"/>
              </w:rPr>
              <w:t>sd_Observation</w:t>
            </w:r>
          </w:p>
        </w:tc>
        <w:tc>
          <w:p w14:paraId="3BABD112">
            <w:pPr>
              <w:pStyle w:val="25"/>
              <w:jc w:val="right"/>
              <w:rPr>
                <w:sz w:val="18"/>
                <w:szCs w:val="18"/>
              </w:rPr>
            </w:pPr>
            <w:r>
              <w:rPr>
                <w:sz w:val="18"/>
                <w:szCs w:val="18"/>
              </w:rPr>
              <w:t>1.21</w:t>
            </w:r>
          </w:p>
        </w:tc>
        <w:tc>
          <w:p w14:paraId="0D7C861F">
            <w:pPr>
              <w:pStyle w:val="25"/>
              <w:rPr>
                <w:sz w:val="18"/>
                <w:szCs w:val="18"/>
              </w:rPr>
            </w:pPr>
          </w:p>
        </w:tc>
        <w:tc>
          <w:p w14:paraId="1A0BF235">
            <w:pPr>
              <w:pStyle w:val="25"/>
              <w:rPr>
                <w:sz w:val="18"/>
                <w:szCs w:val="18"/>
              </w:rPr>
            </w:pPr>
          </w:p>
        </w:tc>
        <w:tc>
          <w:p w14:paraId="553F27C6">
            <w:pPr>
              <w:pStyle w:val="25"/>
              <w:rPr>
                <w:sz w:val="18"/>
                <w:szCs w:val="18"/>
              </w:rPr>
            </w:pPr>
          </w:p>
        </w:tc>
        <w:tc>
          <w:tcPr>
            <w:tcW w:w="488" w:type="pct"/>
          </w:tcPr>
          <w:p w14:paraId="20FD5CEE">
            <w:pPr>
              <w:pStyle w:val="25"/>
              <w:rPr>
                <w:sz w:val="18"/>
                <w:szCs w:val="18"/>
              </w:rPr>
            </w:pPr>
          </w:p>
        </w:tc>
      </w:tr>
    </w:tbl>
    <w:p w14:paraId="7EC940D6">
      <w:pPr>
        <w:pStyle w:val="3"/>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 </w:t>
      </w:r>
      <w:r>
        <w:rPr>
          <w:i/>
          <w:iCs/>
        </w:rPr>
        <w:t>Lo</w:t>
      </w:r>
      <w:r>
        <w:t>, которые питались на фукоидах.</w:t>
      </w:r>
    </w:p>
    <w:p w14:paraId="3C512D30">
      <w:pPr>
        <w:pStyle w:val="34"/>
      </w:pPr>
      <w:r>
        <w:drawing>
          <wp:inline distT="0" distB="0" distL="114300" distR="114300">
            <wp:extent cx="6146800" cy="2731770"/>
            <wp:effectExtent l="0" t="0" r="0" b="0"/>
            <wp:docPr id="56" name="Picture" descr="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
                    <pic:cNvPicPr>
                      <a:picLocks noChangeAspect="1" noChangeArrowheads="1"/>
                    </pic:cNvPicPr>
                  </pic:nvPicPr>
                  <pic:blipFill>
                    <a:blip r:embed="rId11"/>
                    <a:stretch>
                      <a:fillRect/>
                    </a:stretch>
                  </pic:blipFill>
                  <pic:spPr>
                    <a:xfrm>
                      <a:off x="0" y="0"/>
                      <a:ext cx="6146800" cy="2731911"/>
                    </a:xfrm>
                    <a:prstGeom prst="rect">
                      <a:avLst/>
                    </a:prstGeom>
                    <a:noFill/>
                    <a:ln w="9525">
                      <a:noFill/>
                    </a:ln>
                  </pic:spPr>
                </pic:pic>
              </a:graphicData>
            </a:graphic>
          </wp:inline>
        </w:drawing>
      </w:r>
    </w:p>
    <w:p w14:paraId="47C1097E">
      <w:pPr>
        <w:pStyle w:val="23"/>
      </w:pPr>
      <w:r>
        <w:t>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w:t>
      </w:r>
    </w:p>
    <w:bookmarkEnd w:id="15"/>
    <w:bookmarkEnd w:id="18"/>
    <w:p w14:paraId="4AF6D4C9">
      <w:pPr>
        <w:pStyle w:val="2"/>
      </w:pPr>
      <w:bookmarkStart w:id="19" w:name="обсуждение"/>
      <w:r>
        <w:t>Обсуждение</w:t>
      </w:r>
    </w:p>
    <w:p w14:paraId="5BF09DFA">
      <w:pPr>
        <w:pStyle w:val="24"/>
      </w:pPr>
      <w:r>
        <w:t xml:space="preserve">Полученные нами результаты показывают, что количество </w:t>
      </w:r>
      <w:r>
        <w:rPr>
          <w:i/>
          <w:iCs/>
        </w:rPr>
        <w:t>Lo</w:t>
      </w:r>
      <w:r>
        <w:t xml:space="preserve"> достигает своего пика в пределах пояса фукоидов. Выше него обилие этого вида резко снижается. Обилие </w:t>
      </w:r>
      <w:r>
        <w:rPr>
          <w:i/>
          <w:iCs/>
        </w:rPr>
        <w:t>Ls</w:t>
      </w:r>
      <w:r>
        <w:t xml:space="preserve"> 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 (А. Д. Наумов and Оленев 1981),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 </w:t>
      </w:r>
      <w:r>
        <w:rPr>
          <w:i/>
          <w:iCs/>
        </w:rPr>
        <w:t>Lo</w:t>
      </w:r>
      <w:r>
        <w:t xml:space="preserve"> подниматься выше пояса фукоидов, а </w:t>
      </w:r>
      <w:r>
        <w:rPr>
          <w:i/>
          <w:iCs/>
        </w:rPr>
        <w:t>Ls</w:t>
      </w:r>
      <w:r>
        <w:t>,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Ls</w:t>
      </w:r>
      <w:r>
        <w:t>) или нижней (</w:t>
      </w:r>
      <w:r>
        <w:rPr>
          <w:i/>
          <w:iCs/>
        </w:rPr>
        <w:t>Lo</w:t>
      </w:r>
      <w:r>
        <w:t>) части литорали.</w:t>
      </w:r>
    </w:p>
    <w:p w14:paraId="426087DA">
      <w:pPr>
        <w:pStyle w:val="3"/>
      </w:pPr>
      <w:r>
        <w:t>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фекалий.</w:t>
      </w:r>
    </w:p>
    <w:p w14:paraId="77875B69">
      <w:pPr>
        <w:pStyle w:val="3"/>
      </w:pPr>
      <w:r>
        <w:t xml:space="preserve">Согласно полученным нами результатам, интенсивность питания </w:t>
      </w:r>
      <w:r>
        <w:rPr>
          <w:i/>
          <w:iCs/>
        </w:rPr>
        <w:t>Lo</w:t>
      </w:r>
      <w:r>
        <w:t xml:space="preserve">, питавшихся на поверхности камней, была существенно ниже, чем на фукоидах. Поскольку обилие </w:t>
      </w:r>
      <w:r>
        <w:rPr>
          <w:i/>
          <w:iCs/>
        </w:rPr>
        <w:t>Lo</w:t>
      </w:r>
      <w:r>
        <w:t xml:space="preserve"> выше на фукоидах и здесь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 </w:t>
      </w:r>
      <w:r>
        <w:rPr>
          <w:i/>
          <w:iCs/>
        </w:rPr>
        <w:t>Lo</w:t>
      </w:r>
      <w:r>
        <w:t xml:space="preserve"> рассматривается как растительноядные формы (А. Наумов and Федяков 1993). Обилие этого вида часто коррелирует с обилием макрофитов (Sergievsky, Granovitch, and Sokolova 1997).</w:t>
      </w:r>
    </w:p>
    <w:p w14:paraId="3F90BEAF">
      <w:pPr>
        <w:pStyle w:val="3"/>
      </w:pPr>
      <w:r>
        <w:t xml:space="preserve">Количество пеллет, выделенных </w:t>
      </w:r>
      <w:r>
        <w:rPr>
          <w:i/>
          <w:iCs/>
        </w:rPr>
        <w:t>Ls</w:t>
      </w:r>
      <w:r>
        <w:t xml:space="preserve"> 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 </w:t>
      </w:r>
      <w:r>
        <w:rPr>
          <w:i/>
          <w:iCs/>
        </w:rPr>
        <w:t>Ls</w:t>
      </w:r>
      <w:r>
        <w:t xml:space="preserve"> не зависит кардинально от типа биотопа. Считается, что </w:t>
      </w:r>
      <w:r>
        <w:rPr>
          <w:i/>
          <w:iCs/>
        </w:rPr>
        <w:t>Ls</w:t>
      </w:r>
      <w:r>
        <w:t xml:space="preserve"> питается микрообрастателями камней (А. Наумов and Федяков 1993), возможно, также, такие микрообрастатели представлены и на поверхности фукоидов. То есть, </w:t>
      </w:r>
      <w:r>
        <w:rPr>
          <w:i/>
          <w:iCs/>
        </w:rPr>
        <w:t>Ls</w:t>
      </w:r>
      <w:r>
        <w:t xml:space="preserve"> может успешно питаться и на камнях, и на поверхности фукоидов.</w:t>
      </w:r>
    </w:p>
    <w:p w14:paraId="1E0997EB">
      <w:pPr>
        <w:pStyle w:val="3"/>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 (Watson and Norton 1987; Rolán-Alvarez, Rolán, and Johannesson 1996). </w:t>
      </w:r>
      <w:r>
        <w:rPr>
          <w:i/>
          <w:iCs/>
        </w:rPr>
        <w:t>Lo</w:t>
      </w:r>
      <w:r>
        <w:t xml:space="preserve"> можно рассматривать, как более выраженного специалиста, питающегося, преимущественно, среди водорослей. </w:t>
      </w:r>
      <w:r>
        <w:rPr>
          <w:i/>
          <w:iCs/>
        </w:rPr>
        <w:t>Ls</w:t>
      </w:r>
      <w:r>
        <w:t xml:space="preserve"> предстает более выраженным генералистом. Именно это может заставлять держаться </w:t>
      </w:r>
      <w:r>
        <w:rPr>
          <w:i/>
          <w:iCs/>
        </w:rPr>
        <w:t>Lo</w:t>
      </w:r>
      <w:r>
        <w:t xml:space="preserve"> в пределах пояса фукоидов, а </w:t>
      </w:r>
      <w:r>
        <w:rPr>
          <w:i/>
          <w:iCs/>
        </w:rPr>
        <w:t>Ls</w:t>
      </w:r>
      <w:r>
        <w:t xml:space="preserve"> - выше.</w:t>
      </w:r>
    </w:p>
    <w:p w14:paraId="2F77FA8D">
      <w:pPr>
        <w:pStyle w:val="3"/>
      </w:pPr>
      <w:r>
        <w:t xml:space="preserve">Подобная пищевая специализация может быть, как результатом особенностей метаболизма вида (Maltseva et al. 2021), так и различия в строении ротовых аппаратов - радул (Watson and Norton 1987; Rolán-Alvarez, Rolán, and Johannesson 1996). Кроме того, показано, что во время отлива два вида ведут себя по-разному. </w:t>
      </w:r>
      <w:r>
        <w:rPr>
          <w:i/>
          <w:iCs/>
        </w:rPr>
        <w:t>Lo</w:t>
      </w:r>
      <w:r>
        <w:t xml:space="preserve"> сохраняют свою активность, в то время как </w:t>
      </w:r>
      <w:r>
        <w:rPr>
          <w:i/>
          <w:iCs/>
        </w:rPr>
        <w:t>Ls</w:t>
      </w:r>
      <w:r>
        <w:t xml:space="preserve"> закрывают устье крышечкой и становятся неподвижными (McMahon 1990). Если принять указанные выше особенности видов, то можно предположить, что </w:t>
      </w:r>
      <w:r>
        <w:rPr>
          <w:i/>
          <w:iCs/>
        </w:rPr>
        <w:t>Lo</w:t>
      </w:r>
      <w:r>
        <w:t xml:space="preserve"> наилучшим образом приспособлены к существованию в поясе фукоидов. </w:t>
      </w:r>
      <w:r>
        <w:rPr>
          <w:i/>
          <w:iCs/>
        </w:rPr>
        <w:t>Ls</w:t>
      </w:r>
      <w:r>
        <w:t xml:space="preserve"> могут существовать как среди фукоидов, так и выше их пояса. В такой ситуации можно ожидать, что более специализированный вид (</w:t>
      </w:r>
      <w:r>
        <w:rPr>
          <w:i/>
          <w:iCs/>
        </w:rPr>
        <w:t>Lo</w:t>
      </w:r>
      <w:r>
        <w:t>) может вытеснить менее специализированный вид (</w:t>
      </w:r>
      <w:r>
        <w:rPr>
          <w:i/>
          <w:iCs/>
        </w:rPr>
        <w:t>Ls</w:t>
      </w:r>
      <w:r>
        <w:t>) из пояса фукоидов.</w:t>
      </w:r>
    </w:p>
    <w:p w14:paraId="70AD3F66">
      <w:pPr>
        <w:pStyle w:val="3"/>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 </w:t>
      </w:r>
      <w:r>
        <w:rPr>
          <w:i/>
          <w:iCs/>
        </w:rPr>
        <w:t>Lo</w:t>
      </w:r>
      <w:r>
        <w:t xml:space="preserve"> и </w:t>
      </w:r>
      <w:r>
        <w:rPr>
          <w:i/>
          <w:iCs/>
        </w:rPr>
        <w:t>Ls</w:t>
      </w:r>
      <w:r>
        <w:t xml:space="preserve"> пересекаются, но у последнего вида она более широкая. В поясе фукоидов происходит конкурентное вытеснение </w:t>
      </w:r>
      <w:r>
        <w:rPr>
          <w:i/>
          <w:iCs/>
        </w:rPr>
        <w:t>Ls</w:t>
      </w:r>
      <w:r>
        <w:t xml:space="preserve">. Этот вид угнетен в поясе фукоидов, но процветает выше, куда не заходит </w:t>
      </w:r>
      <w:r>
        <w:rPr>
          <w:i/>
          <w:iCs/>
        </w:rPr>
        <w:t>Lo</w:t>
      </w:r>
      <w:r>
        <w:t>, не способная к питанию на камнях.</w:t>
      </w:r>
    </w:p>
    <w:bookmarkEnd w:id="19"/>
    <w:p w14:paraId="461058D2">
      <w:pPr>
        <w:pStyle w:val="2"/>
      </w:pPr>
      <w:bookmarkStart w:id="20" w:name="заключение"/>
      <w:r>
        <w:t>Заключение</w:t>
      </w:r>
    </w:p>
    <w:p w14:paraId="64AB34A3">
      <w:pPr>
        <w:pStyle w:val="24"/>
      </w:pPr>
      <w:r>
        <w:t xml:space="preserve">На литорали белого моря о. Ряжков мы видим разделение фундаментальной экологической ниши </w:t>
      </w:r>
      <w:r>
        <w:rPr>
          <w:i/>
          <w:iCs/>
        </w:rPr>
        <w:t>L.saxatilis</w:t>
      </w:r>
      <w:r>
        <w:t xml:space="preserve">, лежащею от нижней границы литорали до верхней границы, на реализованную, лежащей от верха пояса фукоидов до верхнего горизонта литорали. </w:t>
      </w:r>
      <w:r>
        <w:rPr>
          <w:i/>
          <w:iCs/>
        </w:rPr>
        <w:t>L.obtusata</w:t>
      </w:r>
      <w:r>
        <w:t xml:space="preserve"> реализует свою фундаментальную экологическую нишу, лежащую в пределах пояса фукоидов, полностью. Описанную схему иллюстрирует рисунок 7.</w:t>
      </w:r>
    </w:p>
    <w:p w14:paraId="445F1BF4">
      <w:pPr>
        <w:pStyle w:val="34"/>
      </w:pPr>
      <w:r>
        <w:drawing>
          <wp:inline distT="0" distB="0" distL="114300" distR="114300">
            <wp:extent cx="4917440" cy="3719830"/>
            <wp:effectExtent l="0" t="0" r="0" b="0"/>
            <wp:docPr id="62" name="Picture" descr="Рисунок 7. Расперделение фундаментальных и реализованных экологических ниш между Lo и 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Рисунок 7. Расперделение фундаментальных и реализованных экологических ниш между Lo и Ls."/>
                    <pic:cNvPicPr>
                      <a:picLocks noChangeAspect="1" noChangeArrowheads="1"/>
                    </pic:cNvPicPr>
                  </pic:nvPicPr>
                  <pic:blipFill>
                    <a:blip r:embed="rId12"/>
                    <a:stretch>
                      <a:fillRect/>
                    </a:stretch>
                  </pic:blipFill>
                  <pic:spPr>
                    <a:xfrm>
                      <a:off x="0" y="0"/>
                      <a:ext cx="4917440" cy="3719859"/>
                    </a:xfrm>
                    <a:prstGeom prst="rect">
                      <a:avLst/>
                    </a:prstGeom>
                    <a:noFill/>
                    <a:ln w="9525">
                      <a:noFill/>
                    </a:ln>
                  </pic:spPr>
                </pic:pic>
              </a:graphicData>
            </a:graphic>
          </wp:inline>
        </w:drawing>
      </w:r>
    </w:p>
    <w:p w14:paraId="53456D14">
      <w:pPr>
        <w:pStyle w:val="23"/>
      </w:pPr>
      <w:r>
        <w:t xml:space="preserve">Рисунок 7. Расперделение фундаментальных и реализованных экологических ниш между </w:t>
      </w:r>
      <w:r>
        <w:rPr>
          <w:i/>
          <w:iCs/>
        </w:rPr>
        <w:t>Lo</w:t>
      </w:r>
      <w:r>
        <w:t xml:space="preserve"> и </w:t>
      </w:r>
      <w:r>
        <w:rPr>
          <w:i/>
          <w:iCs/>
        </w:rPr>
        <w:t>Ls</w:t>
      </w:r>
      <w:r>
        <w:t>.</w:t>
      </w:r>
    </w:p>
    <w:bookmarkEnd w:id="20"/>
    <w:p w14:paraId="6BAC6D64">
      <w:pPr>
        <w:pStyle w:val="2"/>
      </w:pPr>
      <w:bookmarkStart w:id="21" w:name="благодарности"/>
      <w:r>
        <w:t>Благодарности</w:t>
      </w:r>
    </w:p>
    <w:p w14:paraId="3C200ABC">
      <w:pPr>
        <w:pStyle w:val="24"/>
      </w:pPr>
      <w:r>
        <w:t>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21"/>
    <w:p w14:paraId="57D936DC">
      <w:pPr>
        <w:pStyle w:val="2"/>
      </w:pPr>
      <w:bookmarkStart w:id="22" w:name="список-литературы"/>
      <w:r>
        <w:t>Список литературы</w:t>
      </w:r>
    </w:p>
    <w:p w14:paraId="32289CAC">
      <w:bookmarkStart w:id="23" w:name="ref-WoRMS20250114"/>
      <w:bookmarkStart w:id="24" w:name="refs"/>
      <w:r>
        <w:t xml:space="preserve">Ahyong, S., C. B. Boyko, J. Bernot, S. N. Brandão, M. Daly, S. De Grave, N. J. de Voogd, et al. 2025. “World Register of Marine Species (WoRMS).” WoRMS Editorial Board. </w:t>
      </w:r>
      <w:r>
        <w:fldChar w:fldCharType="begin"/>
      </w:r>
      <w:r>
        <w:instrText xml:space="preserve"> HYPERLINK "https://www.marinespecies.org" \h </w:instrText>
      </w:r>
      <w:r>
        <w:fldChar w:fldCharType="separate"/>
      </w:r>
      <w:r>
        <w:rPr>
          <w:rStyle w:val="17"/>
        </w:rPr>
        <w:t>https://www.marinespecies.org</w:t>
      </w:r>
      <w:r>
        <w:rPr>
          <w:rStyle w:val="17"/>
        </w:rPr>
        <w:fldChar w:fldCharType="end"/>
      </w:r>
      <w:r>
        <w:t>.</w:t>
      </w:r>
    </w:p>
    <w:bookmarkEnd w:id="23"/>
    <w:p w14:paraId="19D06AEB">
      <w:bookmarkStart w:id="25" w:name="ref-cooper2024ecological"/>
      <w:r>
        <w:t xml:space="preserve">Cooper, Jacob C. 2024. “Ecological Niche Divergence or Ecological Niche Partitioning in a Widespread Neotropical Bird Lineage.” </w:t>
      </w:r>
      <w:r>
        <w:rPr>
          <w:i/>
          <w:iCs/>
        </w:rPr>
        <w:t>PeerJ</w:t>
      </w:r>
      <w:r>
        <w:t xml:space="preserve"> 12: e17345.</w:t>
      </w:r>
    </w:p>
    <w:bookmarkEnd w:id="25"/>
    <w:p w14:paraId="4BB9BF3D">
      <w:bookmarkStart w:id="26" w:name="ref-costa2019competition"/>
      <w:r>
        <w:t xml:space="preserve">Costa-Pereira, Raul, Márcio S Araújo, Franco L Souza, and Travis Ingram. 2019. “Competition and Resource Breadth Shape Niche Variation and Overlap in Multiple Trophic Dimensions.” </w:t>
      </w:r>
      <w:r>
        <w:rPr>
          <w:i/>
          <w:iCs/>
        </w:rPr>
        <w:t>Proceedings of the Royal Society B</w:t>
      </w:r>
      <w:r>
        <w:t xml:space="preserve"> 286 (1902): 20190369.</w:t>
      </w:r>
    </w:p>
    <w:bookmarkEnd w:id="26"/>
    <w:p w14:paraId="256F20FC">
      <w:bookmarkStart w:id="27" w:name="ref-ekendahl1998colour"/>
      <w:r>
        <w:t xml:space="preserve">Ekendahl, Anette. 1998. “Colour Polymorphic Prey (Littorina Saxatilis Olivi) and Predatory Effects of a Crab Population (Carcinus Maenas l.).” </w:t>
      </w:r>
      <w:r>
        <w:rPr>
          <w:i/>
          <w:iCs/>
        </w:rPr>
        <w:t>Journal of Experimental Marine Biology and Ecology</w:t>
      </w:r>
      <w:r>
        <w:t xml:space="preserve"> 222 (1-2): 239–46.</w:t>
      </w:r>
    </w:p>
    <w:bookmarkEnd w:id="27"/>
    <w:p w14:paraId="1AC58FA1">
      <w:bookmarkStart w:id="28" w:name="ref-granovitch2000spatial"/>
      <w:r>
        <w:t xml:space="preserve">Granovitch, AI, SO Sergievsky, and IM Sokolova. 2000. “Spatial and Temporal Variation of Trematode Infection in Coexisting Populations of Intertidal Gastropods Littorina Saxatilis and l. Obtusata in the White Sea.” </w:t>
      </w:r>
      <w:r>
        <w:rPr>
          <w:i/>
          <w:iCs/>
        </w:rPr>
        <w:t>Diseases of Aquatic Organisms</w:t>
      </w:r>
      <w:r>
        <w:t xml:space="preserve"> 41 (1): 53–64.</w:t>
      </w:r>
    </w:p>
    <w:bookmarkEnd w:id="28"/>
    <w:p w14:paraId="459CB4F9">
      <w:bookmarkStart w:id="29" w:name="ref-guo2012separation"/>
      <w:r>
        <w:t>Guo, Zhiqiang. 2012. “Séparation de Niche Entre Deux Espèces Invasives de Gobies.” PhD thesis, Université de Toulouse, Université Toulouse III-Paul Sabatier.</w:t>
      </w:r>
    </w:p>
    <w:bookmarkEnd w:id="29"/>
    <w:p w14:paraId="671D48A4">
      <w:bookmarkStart w:id="30" w:name="ref-hilgers2022evolutionary"/>
      <w:r>
        <w:t xml:space="preserve">Hilgers, Leon, Stefanie Hartmann, Jobst Pfaender, Nora Lentge-Maaß, Ristiyanti M Marwoto, Thomas von Rintelen, and Michael Hofreiter. 2022. “Evolutionary Divergence and Radula Diversification in Two Ecomorphs from an Adaptive Radiation of Freshwater Snails.” </w:t>
      </w:r>
      <w:r>
        <w:rPr>
          <w:i/>
          <w:iCs/>
        </w:rPr>
        <w:t>Genes</w:t>
      </w:r>
      <w:r>
        <w:t xml:space="preserve"> 13 (6): 1029.</w:t>
      </w:r>
    </w:p>
    <w:bookmarkEnd w:id="30"/>
    <w:p w14:paraId="1D80ACA9">
      <w:bookmarkStart w:id="31" w:name="ref-hutchinson1957concluding"/>
      <w:r>
        <w:t xml:space="preserve">Hutchinson, G. 1957. “Concluding Remarks–Cold Spring Harbor Symposia on Quantitative Biology 22: 415–427. Reprinted in 1991: Classics in Theoritical Biology.” </w:t>
      </w:r>
      <w:r>
        <w:rPr>
          <w:i/>
          <w:iCs/>
        </w:rPr>
        <w:t>Bull. Math. Biol</w:t>
      </w:r>
      <w:r>
        <w:t xml:space="preserve"> 53: 193–213.</w:t>
      </w:r>
    </w:p>
    <w:bookmarkEnd w:id="31"/>
    <w:p w14:paraId="32F2ED3C">
      <w:bookmarkStart w:id="32" w:name="ref-ingolfsson2009predators"/>
      <w:r>
        <w:t xml:space="preserve">Ingólfsson, Agnar. 2009. “Predators on Rocky Shores in the Northern Atlantic: Can the Results of Local Experiments Be Generalized on a Geographical Scale?” </w:t>
      </w:r>
      <w:r>
        <w:rPr>
          <w:i/>
          <w:iCs/>
        </w:rPr>
        <w:t>Estuarine, Coastal and Shelf Science</w:t>
      </w:r>
      <w:r>
        <w:t xml:space="preserve"> 83 (3): 287–95.</w:t>
      </w:r>
    </w:p>
    <w:bookmarkEnd w:id="32"/>
    <w:p w14:paraId="7EB17584">
      <w:bookmarkStart w:id="33" w:name="ref-maltseva2021linking"/>
      <w:r>
        <w:t xml:space="preserve">Maltseva, Arina L, Marina A Varfolomeeva, Roman V Ayanka, Elizaveta R Gafarova, Egor A Repkin, Polina A Pavlova, Alexei L Shavarda, Natalia A Mikhailova, and Andrei I Granovitch. 2021. “Linking Ecology, Morphology, and Metabolism: Niche Differentiation in Sympatric Populations of Closely Related Species of the Genus Littorina (Neritrema).” </w:t>
      </w:r>
      <w:r>
        <w:rPr>
          <w:i/>
          <w:iCs/>
        </w:rPr>
        <w:t>Ecology and Evolution</w:t>
      </w:r>
      <w:r>
        <w:t xml:space="preserve"> 11 (16): 11134–54.</w:t>
      </w:r>
    </w:p>
    <w:bookmarkEnd w:id="33"/>
    <w:p w14:paraId="1F83D4C5">
      <w:bookmarkStart w:id="34" w:name="ref-mcmahon1990thermal"/>
      <w:r>
        <w:t xml:space="preserve">McMahon, Robert F. 1990. “Thermal Tolerance, Evaporative Water Loss, Air-Water Oxygen Consumption and Zonation of Intertidal Prosobranchs: A New Synthesis.” In </w:t>
      </w:r>
      <w:r>
        <w:rPr>
          <w:i/>
          <w:iCs/>
        </w:rPr>
        <w:t>Progress in Littorinid and Muricid Biology: Proceedings of the Second European Meeting on Littorinid Biology, Tjärnö Marine Biological Laboratory, Sweden, July 4–8, 1988</w:t>
      </w:r>
      <w:r>
        <w:t>, 241–60. Springer.</w:t>
      </w:r>
    </w:p>
    <w:bookmarkEnd w:id="34"/>
    <w:p w14:paraId="50AF76F0">
      <w:bookmarkStart w:id="35" w:name="ref-R"/>
      <w:r>
        <w:t xml:space="preserve">R Core Team. 2023. </w:t>
      </w:r>
      <w:r>
        <w:rPr>
          <w:i/>
          <w:iCs/>
        </w:rPr>
        <w:t>R: A Language and Environment for Statistical Computing</w:t>
      </w:r>
      <w:r>
        <w:t xml:space="preserve">. Vienna, Austria: R Foundation for Statistical Computing. </w:t>
      </w:r>
      <w:r>
        <w:fldChar w:fldCharType="begin"/>
      </w:r>
      <w:r>
        <w:instrText xml:space="preserve"> HYPERLINK "https://www.R-project.org/" \h </w:instrText>
      </w:r>
      <w:r>
        <w:fldChar w:fldCharType="separate"/>
      </w:r>
      <w:r>
        <w:rPr>
          <w:rStyle w:val="17"/>
        </w:rPr>
        <w:t>https://www.R-project.org/</w:t>
      </w:r>
      <w:r>
        <w:rPr>
          <w:rStyle w:val="17"/>
        </w:rPr>
        <w:fldChar w:fldCharType="end"/>
      </w:r>
      <w:r>
        <w:t>.</w:t>
      </w:r>
    </w:p>
    <w:bookmarkEnd w:id="35"/>
    <w:p w14:paraId="6B156D98">
      <w:bookmarkStart w:id="36" w:name="ref-rolan1996differentiation"/>
      <w:r>
        <w:t xml:space="preserve">Rolán-Alvarez, E, E Rolán, and K Johannesson. 1996. “Differentiation in Radular and Embryonic Characters, and Further Comments on Gene Flow, Between Two Sympatric Morphs of Littorina Saxatilis (Olivi).” </w:t>
      </w:r>
      <w:r>
        <w:rPr>
          <w:i/>
          <w:iCs/>
        </w:rPr>
        <w:t>Ophelia</w:t>
      </w:r>
      <w:r>
        <w:t xml:space="preserve"> 45 (1): 1–15.</w:t>
      </w:r>
    </w:p>
    <w:bookmarkEnd w:id="36"/>
    <w:p w14:paraId="38E1BF39">
      <w:bookmarkStart w:id="37" w:name="ref-sergievsky1997long"/>
      <w:r>
        <w:t xml:space="preserve">Sergievsky, SO, AI Granovitch, and IM Sokolova. 1997. “Long-Term Studies of Littorina Obtusata and Littorina Saxatilis Populations in the White Sea.” </w:t>
      </w:r>
      <w:r>
        <w:rPr>
          <w:i/>
          <w:iCs/>
        </w:rPr>
        <w:t>Oceanolica Acta</w:t>
      </w:r>
      <w:r>
        <w:t xml:space="preserve"> 20 (1): 259–65.</w:t>
      </w:r>
    </w:p>
    <w:bookmarkEnd w:id="37"/>
    <w:p w14:paraId="61094E5E">
      <w:bookmarkStart w:id="38" w:name="ref-smith2012elements"/>
      <w:r>
        <w:t xml:space="preserve">Smith, Thomas M, and RL Smith. 2012. “Elements of Ecology, Eight Editions.” </w:t>
      </w:r>
      <w:r>
        <w:rPr>
          <w:i/>
          <w:iCs/>
        </w:rPr>
        <w:t>Person Benjamin Cummings: San Francisco</w:t>
      </w:r>
      <w:r>
        <w:t>, 1–611.</w:t>
      </w:r>
    </w:p>
    <w:bookmarkEnd w:id="38"/>
    <w:p w14:paraId="0269176B">
      <w:bookmarkStart w:id="39" w:name="ref-watson1987habitat"/>
      <w:r>
        <w:t xml:space="preserve">Watson, David C, and Trevor A Norton. 1987. “The Habitat and Feeding Preferences of Littorina Obtusata (l.) and l. Mariae Sacchi Et Rastelli.” </w:t>
      </w:r>
      <w:r>
        <w:rPr>
          <w:i/>
          <w:iCs/>
        </w:rPr>
        <w:t>Journal of Experimental Marine Biology and Ecology</w:t>
      </w:r>
      <w:r>
        <w:t xml:space="preserve"> 112 (1): 61–72.</w:t>
      </w:r>
    </w:p>
    <w:bookmarkEnd w:id="39"/>
    <w:p w14:paraId="1627ECF3">
      <w:bookmarkStart w:id="40" w:name="ref-mgcv2017"/>
      <w:bookmarkStart w:id="44" w:name="_GoBack"/>
      <w:r>
        <w:t xml:space="preserve">Wood, S. N. 2017. </w:t>
      </w:r>
      <w:r>
        <w:rPr>
          <w:i/>
          <w:iCs/>
        </w:rPr>
        <w:t>Generalized Additive Models: An Introduction with r</w:t>
      </w:r>
      <w:r>
        <w:t xml:space="preserve">. 2nd ed. Chapman; </w:t>
      </w:r>
      <w:bookmarkEnd w:id="44"/>
      <w:r>
        <w:t>Hall/CRC.</w:t>
      </w:r>
    </w:p>
    <w:bookmarkEnd w:id="40"/>
    <w:p w14:paraId="7199A9D0">
      <w:bookmarkStart w:id="41" w:name="ref-бритиковэколого"/>
      <w:r>
        <w:t>Бритиков. 2022. “Влияние Мидий На Жизнедеятельность Литоральных Брюхоногих Моллюсков За Счет Прикрепления к Ним Биссусных Нитей.”</w:t>
      </w:r>
    </w:p>
    <w:bookmarkEnd w:id="41"/>
    <w:p w14:paraId="553D235F">
      <w:bookmarkStart w:id="42" w:name="ref-наумов1993вечно"/>
      <w:r>
        <w:t xml:space="preserve">Наумов, АД, and ВВ Федяков. 1993. “Вечно Живое Белое Море.” </w:t>
      </w:r>
      <w:r>
        <w:rPr>
          <w:i/>
          <w:iCs/>
        </w:rPr>
        <w:t>СПб.: Изд. СПбГДТЮ</w:t>
      </w:r>
      <w:r>
        <w:t>.</w:t>
      </w:r>
    </w:p>
    <w:bookmarkEnd w:id="42"/>
    <w:p w14:paraId="62D135B5">
      <w:bookmarkStart w:id="43" w:name="ref-наумов1981зоологические"/>
      <w:r>
        <w:t xml:space="preserve">Наумов, Андрей Донатович, and Анатолий Викторович Оленев. 1981. </w:t>
      </w:r>
      <w:r>
        <w:rPr>
          <w:i/>
          <w:iCs/>
        </w:rPr>
        <w:t>Зоологические Экскурсии На Белом Море: Пособие Для Летней Учебной Практики По Зоологии Беспозвоночных</w:t>
      </w:r>
      <w:r>
        <w:t>. ЛГУ.</w:t>
      </w:r>
    </w:p>
    <w:bookmarkEnd w:id="22"/>
    <w:bookmarkEnd w:id="24"/>
    <w:bookmarkEnd w:id="43"/>
    <w:sectPr>
      <w:pgSz w:w="12240" w:h="15840"/>
      <w:pgMar w:top="1134" w:right="850" w:bottom="113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46799"/>
    <w:rsid w:val="00584126"/>
    <w:rsid w:val="007B1750"/>
    <w:rsid w:val="00813075"/>
    <w:rsid w:val="00984031"/>
    <w:rsid w:val="009E4BE9"/>
    <w:rsid w:val="00B203B9"/>
    <w:rsid w:val="00B72B85"/>
    <w:rsid w:val="00D212B6"/>
    <w:rsid w:val="00D52295"/>
    <w:rsid w:val="00DA2170"/>
    <w:rsid w:val="00EB1193"/>
    <w:rsid w:val="00F126BA"/>
    <w:rsid w:val="00FF79E5"/>
    <w:rsid w:val="12B9452F"/>
    <w:rsid w:val="5D0705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unhideWhenUsed="0" w:uiPriority="0" w:semiHidden="0" w:name="caption"/>
    <w:lsdException w:uiPriority="0" w:name="table of figures"/>
    <w:lsdException w:uiPriority="0" w:name="envelope address"/>
    <w:lsdException w:uiPriority="0" w:name="envelope return"/>
    <w:lsdException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iPriority="0" w:name="Table Grid"/>
    <w:lsdException w:uiPriority="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jc w:val="center"/>
      <w:outlineLvl w:val="0"/>
    </w:pPr>
    <w:rPr>
      <w:rFonts w:ascii="Times New Roman" w:hAnsi="Times New Roman" w:eastAsiaTheme="majorEastAsia" w:cstheme="majorBidi"/>
      <w:b/>
      <w:bCs/>
      <w:sz w:val="28"/>
      <w:szCs w:val="32"/>
    </w:rPr>
  </w:style>
  <w:style w:type="paragraph" w:styleId="4">
    <w:name w:val="heading 2"/>
    <w:basedOn w:val="1"/>
    <w:next w:val="3"/>
    <w:unhideWhenUsed/>
    <w:qFormat/>
    <w:uiPriority w:val="9"/>
    <w:pPr>
      <w:keepNext/>
      <w:keepLines/>
      <w:spacing w:before="200" w:after="0" w:line="360" w:lineRule="auto"/>
      <w:ind w:firstLine="851"/>
      <w:outlineLvl w:val="1"/>
    </w:pPr>
    <w:rPr>
      <w:rFonts w:ascii="Times New Roman" w:hAnsi="Times New Roman" w:eastAsiaTheme="majorEastAsia" w:cstheme="majorBidi"/>
      <w:bCs/>
      <w:i/>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imes New Roman" w:hAnsi="Times New Roman" w:eastAsiaTheme="majorEastAsia" w:cstheme="majorBidi"/>
      <w:color w:val="000000" w:themeColor="text1"/>
      <w:sz w:val="20"/>
      <w14:textFill>
        <w14:solidFill>
          <w14:schemeClr w14:val="tx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0"/>
    <w:qFormat/>
    <w:uiPriority w:val="0"/>
    <w:pPr>
      <w:spacing w:before="180" w:after="180" w:line="360" w:lineRule="auto"/>
      <w:ind w:firstLine="851"/>
      <w:jc w:val="both"/>
    </w:pPr>
    <w:rPr>
      <w:rFonts w:ascii="Times New Roman" w:hAnsi="Times New Roman"/>
    </w:rPr>
  </w:style>
  <w:style w:type="character" w:styleId="14">
    <w:name w:val="footnote reference"/>
    <w:basedOn w:val="15"/>
    <w:uiPriority w:val="0"/>
    <w:rPr>
      <w:vertAlign w:val="superscript"/>
    </w:rPr>
  </w:style>
  <w:style w:type="character" w:customStyle="1" w:styleId="15">
    <w:name w:val="Название объекта Знак"/>
    <w:basedOn w:val="12"/>
    <w:link w:val="16"/>
    <w:uiPriority w:val="0"/>
  </w:style>
  <w:style w:type="paragraph" w:styleId="16">
    <w:name w:val="caption"/>
    <w:basedOn w:val="1"/>
    <w:link w:val="15"/>
    <w:uiPriority w:val="0"/>
    <w:pPr>
      <w:spacing w:after="120"/>
    </w:pPr>
    <w:rPr>
      <w:i/>
    </w:rPr>
  </w:style>
  <w:style w:type="character" w:styleId="17">
    <w:name w:val="Hyperlink"/>
    <w:basedOn w:val="15"/>
    <w:uiPriority w:val="0"/>
    <w:rPr>
      <w:color w:val="4F81BD" w:themeColor="accent1"/>
      <w14:textFill>
        <w14:solidFill>
          <w14:schemeClr w14:val="accent1"/>
        </w14:solidFill>
      </w14:textFill>
    </w:rPr>
  </w:style>
  <w:style w:type="paragraph" w:styleId="18">
    <w:name w:val="footnote text"/>
    <w:basedOn w:val="1"/>
    <w:unhideWhenUsed/>
    <w:qFormat/>
    <w:uiPriority w:val="9"/>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20">
    <w:name w:val="Title"/>
    <w:basedOn w:val="1"/>
    <w:next w:val="3"/>
    <w:qFormat/>
    <w:uiPriority w:val="0"/>
    <w:pPr>
      <w:keepNext/>
      <w:keepLines/>
      <w:spacing w:before="480" w:after="240"/>
      <w:jc w:val="center"/>
    </w:pPr>
    <w:rPr>
      <w:rFonts w:ascii="Times New Roman" w:hAnsi="Times New Roman" w:eastAsiaTheme="majorEastAsia" w:cstheme="majorBidi"/>
      <w:b/>
      <w:bCs/>
      <w:sz w:val="28"/>
      <w:szCs w:val="36"/>
    </w:rPr>
  </w:style>
  <w:style w:type="paragraph" w:styleId="21">
    <w:name w:val="Subtitle"/>
    <w:basedOn w:val="20"/>
    <w:next w:val="3"/>
    <w:qFormat/>
    <w:uiPriority w:val="0"/>
    <w:pPr>
      <w:spacing w:before="240"/>
    </w:pPr>
    <w:rPr>
      <w:sz w:val="30"/>
      <w:szCs w:val="30"/>
    </w:rPr>
  </w:style>
  <w:style w:type="paragraph" w:styleId="22">
    <w:name w:val="Block Text"/>
    <w:basedOn w:val="3"/>
    <w:next w:val="3"/>
    <w:unhideWhenUsed/>
    <w:qFormat/>
    <w:uiPriority w:val="9"/>
    <w:pPr>
      <w:spacing w:before="100" w:after="100"/>
      <w:ind w:left="480" w:right="480" w:firstLine="0"/>
    </w:pPr>
  </w:style>
  <w:style w:type="paragraph" w:customStyle="1" w:styleId="23">
    <w:name w:val="Image Caption"/>
    <w:basedOn w:val="16"/>
    <w:uiPriority w:val="0"/>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ind w:firstLine="0"/>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Список литературы1"/>
    <w:basedOn w:val="1"/>
    <w:qFormat/>
    <w:uiPriority w:val="0"/>
    <w:pPr>
      <w:spacing w:line="360" w:lineRule="auto"/>
      <w:ind w:firstLine="562" w:firstLineChars="200"/>
      <w:jc w:val="both"/>
    </w:pPr>
    <w:rPr>
      <w:rFonts w:eastAsiaTheme="minorEastAsia"/>
    </w:rPr>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uiPriority w:val="0"/>
    <w:pPr>
      <w:keepNext/>
      <w:keepLines/>
      <w:spacing w:after="0"/>
    </w:pPr>
    <w:rPr>
      <w:b/>
    </w:rPr>
  </w:style>
  <w:style w:type="paragraph" w:customStyle="1" w:styleId="31">
    <w:name w:val="Definition"/>
    <w:basedOn w:val="1"/>
    <w:uiPriority w:val="0"/>
  </w:style>
  <w:style w:type="paragraph" w:customStyle="1" w:styleId="32">
    <w:name w:val="Table Caption"/>
    <w:basedOn w:val="16"/>
    <w:uiPriority w:val="0"/>
    <w:pPr>
      <w:keepNext/>
    </w:pPr>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15"/>
    <w:link w:val="36"/>
    <w:qFormat/>
    <w:uiPriority w:val="0"/>
    <w:rPr>
      <w:rFonts w:ascii="Consolas" w:hAnsi="Consolas"/>
      <w:sz w:val="22"/>
    </w:rPr>
  </w:style>
  <w:style w:type="paragraph" w:customStyle="1" w:styleId="36">
    <w:name w:val="Source Code"/>
    <w:basedOn w:val="1"/>
    <w:link w:val="35"/>
    <w:qFormat/>
    <w:uiPriority w:val="0"/>
    <w:pPr>
      <w:shd w:val="clear" w:color="auto" w:fill="F8F8F8"/>
      <w:wordWrap w:val="0"/>
    </w:pPr>
  </w:style>
  <w:style w:type="character" w:customStyle="1" w:styleId="37">
    <w:name w:val="Section Number"/>
    <w:basedOn w:val="15"/>
    <w:uiPriority w:val="0"/>
  </w:style>
  <w:style w:type="paragraph" w:customStyle="1" w:styleId="38">
    <w:name w:val="Заголовок оглавления1"/>
    <w:basedOn w:val="2"/>
    <w:next w:val="3"/>
    <w:unhideWhenUsed/>
    <w:qFormat/>
    <w:uiPriority w:val="39"/>
    <w:pPr>
      <w:spacing w:before="240" w:line="259" w:lineRule="auto"/>
      <w:outlineLvl w:val="9"/>
    </w:pPr>
    <w:rPr>
      <w:b w:val="0"/>
      <w:bCs w:val="0"/>
      <w:color w:val="376092" w:themeColor="accent1" w:themeShade="BF"/>
    </w:rPr>
  </w:style>
  <w:style w:type="character" w:customStyle="1" w:styleId="39">
    <w:name w:val="KeywordTok"/>
    <w:basedOn w:val="35"/>
    <w:qFormat/>
    <w:uiPriority w:val="0"/>
    <w:rPr>
      <w:rFonts w:ascii="Consolas" w:hAnsi="Consolas"/>
      <w:b/>
      <w:color w:val="204A87"/>
      <w:sz w:val="22"/>
      <w:shd w:val="clear" w:color="auto" w:fill="F8F8F8"/>
    </w:rPr>
  </w:style>
  <w:style w:type="character" w:customStyle="1" w:styleId="40">
    <w:name w:val="DataTypeTok"/>
    <w:basedOn w:val="35"/>
    <w:qFormat/>
    <w:uiPriority w:val="0"/>
    <w:rPr>
      <w:rFonts w:ascii="Consolas" w:hAnsi="Consolas"/>
      <w:color w:val="204A87"/>
      <w:sz w:val="22"/>
      <w:shd w:val="clear" w:color="auto" w:fill="F8F8F8"/>
    </w:rPr>
  </w:style>
  <w:style w:type="character" w:customStyle="1" w:styleId="41">
    <w:name w:val="DecValTok"/>
    <w:basedOn w:val="35"/>
    <w:qFormat/>
    <w:uiPriority w:val="0"/>
    <w:rPr>
      <w:rFonts w:ascii="Consolas" w:hAnsi="Consolas"/>
      <w:color w:val="0000CF"/>
      <w:sz w:val="22"/>
      <w:shd w:val="clear" w:color="auto" w:fill="F8F8F8"/>
    </w:rPr>
  </w:style>
  <w:style w:type="character" w:customStyle="1" w:styleId="42">
    <w:name w:val="BaseNTok"/>
    <w:basedOn w:val="35"/>
    <w:qFormat/>
    <w:uiPriority w:val="0"/>
    <w:rPr>
      <w:rFonts w:ascii="Consolas" w:hAnsi="Consolas"/>
      <w:color w:val="0000CF"/>
      <w:sz w:val="22"/>
      <w:shd w:val="clear" w:color="auto" w:fill="F8F8F8"/>
    </w:rPr>
  </w:style>
  <w:style w:type="character" w:customStyle="1" w:styleId="43">
    <w:name w:val="FloatTok"/>
    <w:basedOn w:val="35"/>
    <w:qFormat/>
    <w:uiPriority w:val="0"/>
    <w:rPr>
      <w:rFonts w:ascii="Consolas" w:hAnsi="Consolas"/>
      <w:color w:val="0000CF"/>
      <w:sz w:val="22"/>
      <w:shd w:val="clear" w:color="auto" w:fill="F8F8F8"/>
    </w:rPr>
  </w:style>
  <w:style w:type="character" w:customStyle="1" w:styleId="44">
    <w:name w:val="ConstantTok"/>
    <w:basedOn w:val="35"/>
    <w:qFormat/>
    <w:uiPriority w:val="0"/>
    <w:rPr>
      <w:rFonts w:ascii="Consolas" w:hAnsi="Consolas"/>
      <w:color w:val="000000"/>
      <w:sz w:val="22"/>
      <w:shd w:val="clear" w:color="auto" w:fill="F8F8F8"/>
    </w:rPr>
  </w:style>
  <w:style w:type="character" w:customStyle="1" w:styleId="45">
    <w:name w:val="CharTok"/>
    <w:basedOn w:val="35"/>
    <w:qFormat/>
    <w:uiPriority w:val="0"/>
    <w:rPr>
      <w:rFonts w:ascii="Consolas" w:hAnsi="Consolas"/>
      <w:color w:val="4E9A06"/>
      <w:sz w:val="22"/>
      <w:shd w:val="clear" w:color="auto" w:fill="F8F8F8"/>
    </w:rPr>
  </w:style>
  <w:style w:type="character" w:customStyle="1" w:styleId="46">
    <w:name w:val="SpecialCharTok"/>
    <w:basedOn w:val="35"/>
    <w:qFormat/>
    <w:uiPriority w:val="0"/>
    <w:rPr>
      <w:rFonts w:ascii="Consolas" w:hAnsi="Consolas"/>
      <w:color w:val="000000"/>
      <w:sz w:val="22"/>
      <w:shd w:val="clear" w:color="auto" w:fill="F8F8F8"/>
    </w:rPr>
  </w:style>
  <w:style w:type="character" w:customStyle="1" w:styleId="47">
    <w:name w:val="StringTok"/>
    <w:basedOn w:val="35"/>
    <w:qFormat/>
    <w:uiPriority w:val="0"/>
    <w:rPr>
      <w:rFonts w:ascii="Consolas" w:hAnsi="Consolas"/>
      <w:color w:val="4E9A06"/>
      <w:sz w:val="22"/>
      <w:shd w:val="clear" w:color="auto" w:fill="F8F8F8"/>
    </w:rPr>
  </w:style>
  <w:style w:type="character" w:customStyle="1" w:styleId="48">
    <w:name w:val="VerbatimStringTok"/>
    <w:basedOn w:val="35"/>
    <w:qFormat/>
    <w:uiPriority w:val="0"/>
    <w:rPr>
      <w:rFonts w:ascii="Consolas" w:hAnsi="Consolas"/>
      <w:color w:val="4E9A06"/>
      <w:sz w:val="22"/>
      <w:shd w:val="clear" w:color="auto" w:fill="F8F8F8"/>
    </w:rPr>
  </w:style>
  <w:style w:type="character" w:customStyle="1" w:styleId="49">
    <w:name w:val="SpecialStringTok"/>
    <w:basedOn w:val="35"/>
    <w:qFormat/>
    <w:uiPriority w:val="0"/>
    <w:rPr>
      <w:rFonts w:ascii="Consolas" w:hAnsi="Consolas"/>
      <w:color w:val="4E9A06"/>
      <w:sz w:val="22"/>
      <w:shd w:val="clear" w:color="auto" w:fill="F8F8F8"/>
    </w:rPr>
  </w:style>
  <w:style w:type="character" w:customStyle="1" w:styleId="50">
    <w:name w:val="ImportTok"/>
    <w:basedOn w:val="35"/>
    <w:qFormat/>
    <w:uiPriority w:val="0"/>
    <w:rPr>
      <w:rFonts w:ascii="Consolas" w:hAnsi="Consolas"/>
      <w:sz w:val="22"/>
      <w:shd w:val="clear" w:color="auto" w:fill="F8F8F8"/>
    </w:rPr>
  </w:style>
  <w:style w:type="character" w:customStyle="1" w:styleId="51">
    <w:name w:val="CommentTok"/>
    <w:basedOn w:val="35"/>
    <w:qFormat/>
    <w:uiPriority w:val="0"/>
    <w:rPr>
      <w:rFonts w:ascii="Consolas" w:hAnsi="Consolas"/>
      <w:i/>
      <w:color w:val="8F5902"/>
      <w:sz w:val="22"/>
      <w:shd w:val="clear" w:color="auto" w:fill="F8F8F8"/>
    </w:rPr>
  </w:style>
  <w:style w:type="character" w:customStyle="1" w:styleId="52">
    <w:name w:val="DocumentationTok"/>
    <w:basedOn w:val="35"/>
    <w:qFormat/>
    <w:uiPriority w:val="0"/>
    <w:rPr>
      <w:rFonts w:ascii="Consolas" w:hAnsi="Consolas"/>
      <w:b/>
      <w:i/>
      <w:color w:val="8F5902"/>
      <w:sz w:val="22"/>
      <w:shd w:val="clear" w:color="auto" w:fill="F8F8F8"/>
    </w:rPr>
  </w:style>
  <w:style w:type="character" w:customStyle="1" w:styleId="53">
    <w:name w:val="AnnotationTok"/>
    <w:basedOn w:val="35"/>
    <w:qFormat/>
    <w:uiPriority w:val="0"/>
    <w:rPr>
      <w:rFonts w:ascii="Consolas" w:hAnsi="Consolas"/>
      <w:b/>
      <w:i/>
      <w:color w:val="8F5902"/>
      <w:sz w:val="22"/>
      <w:shd w:val="clear" w:color="auto" w:fill="F8F8F8"/>
    </w:rPr>
  </w:style>
  <w:style w:type="character" w:customStyle="1" w:styleId="54">
    <w:name w:val="CommentVarTok"/>
    <w:basedOn w:val="35"/>
    <w:qFormat/>
    <w:uiPriority w:val="0"/>
    <w:rPr>
      <w:rFonts w:ascii="Consolas" w:hAnsi="Consolas"/>
      <w:b/>
      <w:i/>
      <w:color w:val="8F5902"/>
      <w:sz w:val="22"/>
      <w:shd w:val="clear" w:color="auto" w:fill="F8F8F8"/>
    </w:rPr>
  </w:style>
  <w:style w:type="character" w:customStyle="1" w:styleId="55">
    <w:name w:val="OtherTok"/>
    <w:basedOn w:val="35"/>
    <w:qFormat/>
    <w:uiPriority w:val="0"/>
    <w:rPr>
      <w:rFonts w:ascii="Consolas" w:hAnsi="Consolas"/>
      <w:color w:val="8F5902"/>
      <w:sz w:val="22"/>
      <w:shd w:val="clear" w:color="auto" w:fill="F8F8F8"/>
    </w:rPr>
  </w:style>
  <w:style w:type="character" w:customStyle="1" w:styleId="56">
    <w:name w:val="FunctionTok"/>
    <w:basedOn w:val="35"/>
    <w:qFormat/>
    <w:uiPriority w:val="0"/>
    <w:rPr>
      <w:rFonts w:ascii="Consolas" w:hAnsi="Consolas"/>
      <w:color w:val="000000"/>
      <w:sz w:val="22"/>
      <w:shd w:val="clear" w:color="auto" w:fill="F8F8F8"/>
    </w:rPr>
  </w:style>
  <w:style w:type="character" w:customStyle="1" w:styleId="57">
    <w:name w:val="VariableTok"/>
    <w:basedOn w:val="35"/>
    <w:qFormat/>
    <w:uiPriority w:val="0"/>
    <w:rPr>
      <w:rFonts w:ascii="Consolas" w:hAnsi="Consolas"/>
      <w:color w:val="000000"/>
      <w:sz w:val="22"/>
      <w:shd w:val="clear" w:color="auto" w:fill="F8F8F8"/>
    </w:rPr>
  </w:style>
  <w:style w:type="character" w:customStyle="1" w:styleId="58">
    <w:name w:val="ControlFlowTok"/>
    <w:basedOn w:val="35"/>
    <w:qFormat/>
    <w:uiPriority w:val="0"/>
    <w:rPr>
      <w:rFonts w:ascii="Consolas" w:hAnsi="Consolas"/>
      <w:b/>
      <w:color w:val="204A87"/>
      <w:sz w:val="22"/>
      <w:shd w:val="clear" w:color="auto" w:fill="F8F8F8"/>
    </w:rPr>
  </w:style>
  <w:style w:type="character" w:customStyle="1" w:styleId="59">
    <w:name w:val="OperatorTok"/>
    <w:basedOn w:val="35"/>
    <w:uiPriority w:val="0"/>
    <w:rPr>
      <w:rFonts w:ascii="Consolas" w:hAnsi="Consolas"/>
      <w:b/>
      <w:color w:val="CE5C00"/>
      <w:sz w:val="22"/>
      <w:shd w:val="clear" w:color="auto" w:fill="F8F8F8"/>
    </w:rPr>
  </w:style>
  <w:style w:type="character" w:customStyle="1" w:styleId="60">
    <w:name w:val="BuiltInTok"/>
    <w:basedOn w:val="35"/>
    <w:qFormat/>
    <w:uiPriority w:val="0"/>
    <w:rPr>
      <w:rFonts w:ascii="Consolas" w:hAnsi="Consolas"/>
      <w:sz w:val="22"/>
      <w:shd w:val="clear" w:color="auto" w:fill="F8F8F8"/>
    </w:rPr>
  </w:style>
  <w:style w:type="character" w:customStyle="1" w:styleId="61">
    <w:name w:val="ExtensionTok"/>
    <w:basedOn w:val="35"/>
    <w:uiPriority w:val="0"/>
    <w:rPr>
      <w:rFonts w:ascii="Consolas" w:hAnsi="Consolas"/>
      <w:sz w:val="22"/>
      <w:shd w:val="clear" w:color="auto" w:fill="F8F8F8"/>
    </w:rPr>
  </w:style>
  <w:style w:type="character" w:customStyle="1" w:styleId="62">
    <w:name w:val="PreprocessorTok"/>
    <w:basedOn w:val="35"/>
    <w:uiPriority w:val="0"/>
    <w:rPr>
      <w:rFonts w:ascii="Consolas" w:hAnsi="Consolas"/>
      <w:i/>
      <w:color w:val="8F5902"/>
      <w:sz w:val="22"/>
      <w:shd w:val="clear" w:color="auto" w:fill="F8F8F8"/>
    </w:rPr>
  </w:style>
  <w:style w:type="character" w:customStyle="1" w:styleId="63">
    <w:name w:val="AttributeTok"/>
    <w:basedOn w:val="35"/>
    <w:qFormat/>
    <w:uiPriority w:val="0"/>
    <w:rPr>
      <w:rFonts w:ascii="Consolas" w:hAnsi="Consolas"/>
      <w:color w:val="C4A000"/>
      <w:sz w:val="22"/>
      <w:shd w:val="clear" w:color="auto" w:fill="F8F8F8"/>
    </w:rPr>
  </w:style>
  <w:style w:type="character" w:customStyle="1" w:styleId="64">
    <w:name w:val="RegionMarkerTok"/>
    <w:basedOn w:val="35"/>
    <w:qFormat/>
    <w:uiPriority w:val="0"/>
    <w:rPr>
      <w:rFonts w:ascii="Consolas" w:hAnsi="Consolas"/>
      <w:sz w:val="22"/>
      <w:shd w:val="clear" w:color="auto" w:fill="F8F8F8"/>
    </w:rPr>
  </w:style>
  <w:style w:type="character" w:customStyle="1" w:styleId="65">
    <w:name w:val="InformationTok"/>
    <w:basedOn w:val="35"/>
    <w:uiPriority w:val="0"/>
    <w:rPr>
      <w:rFonts w:ascii="Consolas" w:hAnsi="Consolas"/>
      <w:b/>
      <w:i/>
      <w:color w:val="8F5902"/>
      <w:sz w:val="22"/>
      <w:shd w:val="clear" w:color="auto" w:fill="F8F8F8"/>
    </w:rPr>
  </w:style>
  <w:style w:type="character" w:customStyle="1" w:styleId="66">
    <w:name w:val="WarningTok"/>
    <w:basedOn w:val="35"/>
    <w:uiPriority w:val="0"/>
    <w:rPr>
      <w:rFonts w:ascii="Consolas" w:hAnsi="Consolas"/>
      <w:b/>
      <w:i/>
      <w:color w:val="8F5902"/>
      <w:sz w:val="22"/>
      <w:shd w:val="clear" w:color="auto" w:fill="F8F8F8"/>
    </w:rPr>
  </w:style>
  <w:style w:type="character" w:customStyle="1" w:styleId="67">
    <w:name w:val="AlertTok"/>
    <w:basedOn w:val="35"/>
    <w:uiPriority w:val="0"/>
    <w:rPr>
      <w:rFonts w:ascii="Consolas" w:hAnsi="Consolas"/>
      <w:color w:val="EF2929"/>
      <w:sz w:val="22"/>
      <w:shd w:val="clear" w:color="auto" w:fill="F8F8F8"/>
    </w:rPr>
  </w:style>
  <w:style w:type="character" w:customStyle="1" w:styleId="68">
    <w:name w:val="ErrorTok"/>
    <w:basedOn w:val="35"/>
    <w:qFormat/>
    <w:uiPriority w:val="0"/>
    <w:rPr>
      <w:rFonts w:ascii="Consolas" w:hAnsi="Consolas"/>
      <w:b/>
      <w:color w:val="A40000"/>
      <w:sz w:val="22"/>
      <w:shd w:val="clear" w:color="auto" w:fill="F8F8F8"/>
    </w:rPr>
  </w:style>
  <w:style w:type="character" w:customStyle="1" w:styleId="69">
    <w:name w:val="NormalTok"/>
    <w:basedOn w:val="35"/>
    <w:qFormat/>
    <w:uiPriority w:val="0"/>
    <w:rPr>
      <w:rFonts w:ascii="Consolas" w:hAnsi="Consolas"/>
      <w:sz w:val="22"/>
      <w:shd w:val="clear" w:color="auto" w:fill="F8F8F8"/>
    </w:rPr>
  </w:style>
  <w:style w:type="character" w:customStyle="1" w:styleId="70">
    <w:name w:val="Основной текст Знак"/>
    <w:basedOn w:val="12"/>
    <w:link w:val="3"/>
    <w:qFormat/>
    <w:uiPriority w:val="0"/>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15</Pages>
  <Words>510</Words>
  <Characters>2909</Characters>
  <Lines>24</Lines>
  <Paragraphs>6</Paragraphs>
  <TotalTime>6</TotalTime>
  <ScaleCrop>false</ScaleCrop>
  <LinksUpToDate>false</LinksUpToDate>
  <CharactersWithSpaces>3413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2025-01-21T16:07:00Z</dcterms:created>
  <dc:creator>google1599737165</dc:creator>
  <cp:lastModifiedBy>google1599737165</cp:lastModifiedBy>
  <dcterms:modified xsi:type="dcterms:W3CDTF">2025-01-21T16:11:37Z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y fmtid="{D5CDD505-2E9C-101B-9397-08002B2CF9AE}" pid="4" name="KSOProductBuildVer">
    <vt:lpwstr>1049-12.2.0.19805</vt:lpwstr>
  </property>
  <property fmtid="{D5CDD505-2E9C-101B-9397-08002B2CF9AE}" pid="5" name="ICV">
    <vt:lpwstr>230EF36CE1AF46D899765784A55614E7_12</vt:lpwstr>
  </property>
</Properties>
</file>