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png" ContentType="image/png"/>
  <Override PartName="/word/media/rId36.png" ContentType="image/png"/>
  <Override PartName="/word/media/rId32.png" ContentType="image/png"/>
  <Override PartName="/word/media/rId47.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8314279773324a78e6d5d431284ab885204bdea"/>
    <w:p>
      <w:pPr>
        <w:pStyle w:val="1"/>
      </w:pPr>
      <w:r>
        <w:t xml:space="preserve">Разделение каких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0fa320d9127163cce0d9648479799f0b2733f21"/>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Littorina saxatilis</w:t>
      </w:r>
      <w:r>
        <w:t xml:space="preserve"> </w:t>
      </w:r>
      <w:r>
        <w:t xml:space="preserve">распространены в основном на верхнем уровне литорали, а интенсивность питания не меняется от типа субстрата, а</w:t>
      </w:r>
      <w:r>
        <w:t xml:space="preserve"> </w:t>
      </w:r>
      <w:r>
        <w:rPr>
          <w:i/>
          <w:iCs/>
        </w:rPr>
        <w:t xml:space="preserve">Littorina obtusata</w:t>
      </w:r>
      <w:r>
        <w:t xml:space="preserve"> </w:t>
      </w:r>
      <w:r>
        <w:t xml:space="preserve">в основном обитает на нижних уровнях литорали и на фукоидах питается активнее, чем на камнях.</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являются промежуточными хозяевами для десяти видов паразитов</w:t>
      </w:r>
      <w:r>
        <w:t xml:space="preserve"> </w:t>
      </w:r>
      <w:r>
        <w:t xml:space="preserve">(Granovitch, Sergievsky, and Sokolova 2000)</w:t>
      </w:r>
      <w:r>
        <w:t xml:space="preserve">. Так как эти два вида моллюска являются близкими, то они вынуждены разделять свою фундаментальную нишу. Они разделяют ее пространственно.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(А. Д. Наумов and Оленев 1981)</w:t>
      </w:r>
      <w:r>
        <w:t xml:space="preserve">.</w:t>
      </w:r>
    </w:p>
    <w:p>
      <w:pPr>
        <w:pStyle w:val="a0"/>
      </w:pPr>
      <w:r>
        <w:t xml:space="preserve">Знание закономерностей, лежащих в основе пространственной сегрегации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они показывают, как экологическая диверсификация смягчает межвидовую конкуренцию, способствует эффективной эксплуатации ресурсов</w:t>
      </w:r>
      <w:r>
        <w:t xml:space="preserve"> </w:t>
      </w:r>
      <w:r>
        <w:t xml:space="preserve">(Maltseva et al. 2021)</w:t>
      </w:r>
      <w:r>
        <w:t xml:space="preserve">.</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w:t>
      </w:r>
    </w:p>
    <w:p>
      <w:pPr>
        <w:pStyle w:val="CaptionedFigure"/>
      </w:pPr>
      <w:r>
        <w:drawing>
          <wp:inline>
            <wp:extent cx="6146800" cy="3911095"/>
            <wp:effectExtent b="0" l="0" r="0" t="0"/>
            <wp:docPr descr="Рисунок +++, Место сбора материал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6146800" cy="3911095"/>
                    </a:xfrm>
                    <a:prstGeom prst="rect">
                      <a:avLst/>
                    </a:prstGeom>
                    <a:noFill/>
                    <a:ln w="9525">
                      <a:noFill/>
                      <a:headEnd/>
                      <a:tailEnd/>
                    </a:ln>
                  </pic:spPr>
                </pic:pic>
              </a:graphicData>
            </a:graphic>
          </wp:inline>
        </w:drawing>
      </w:r>
    </w:p>
    <w:p>
      <w:pPr>
        <w:pStyle w:val="ImageCaption"/>
      </w:pPr>
      <w:r>
        <w:t xml:space="preserve">Рисунок +++, Место сбора материалла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 Первая трансекта была поделена на двенадцать уровней. Первый уровень был отмечен колышком, находящимся на высоте 145,9 см над нулем глубин. Все последующие колышки находились на расстоянии 5 метров друг от друга. Вторая трансекта была поделена на девять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w:t>
      </w:r>
    </w:p>
    <w:p>
      <w:pPr>
        <w:pStyle w:val="a0"/>
      </w:pPr>
      <w:r>
        <w:drawing>
          <wp:inline>
            <wp:extent cx="6083166" cy="4196614"/>
            <wp:effectExtent b="0" l="0" r="0" t="0"/>
            <wp:docPr descr="Рисунок +++, Принцы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6083166" cy="4196614"/>
                    </a:xfrm>
                    <a:prstGeom prst="rect">
                      <a:avLst/>
                    </a:prstGeom>
                    <a:noFill/>
                    <a:ln w="9525">
                      <a:noFill/>
                      <a:headEnd/>
                      <a:tailEnd/>
                    </a:ln>
                  </pic:spPr>
                </pic:pic>
              </a:graphicData>
            </a:graphic>
          </wp:inline>
        </w:drawing>
      </w:r>
      <w:r>
        <w:t xml:space="preserve"> </w:t>
      </w: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w:t>
      </w:r>
    </w:p>
    <w:p>
      <w:pPr>
        <w:pStyle w:val="CaptionedFigure"/>
      </w:pPr>
      <w:r>
        <w:drawing>
          <wp:inline>
            <wp:extent cx="6146800" cy="4615833"/>
            <wp:effectExtent b="0" l="0" r="0" t="0"/>
            <wp:docPr descr="Рисунок +++,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6146800" cy="4615833"/>
                    </a:xfrm>
                    <a:prstGeom prst="rect">
                      <a:avLst/>
                    </a:prstGeom>
                    <a:noFill/>
                    <a:ln w="9525">
                      <a:noFill/>
                      <a:headEnd/>
                      <a:tailEnd/>
                    </a:ln>
                  </pic:spPr>
                </pic:pic>
              </a:graphicData>
            </a:graphic>
          </wp:inline>
        </w:drawing>
      </w:r>
    </w:p>
    <w:p>
      <w:pPr>
        <w:pStyle w:val="ImageCaption"/>
      </w:pPr>
      <w:r>
        <w:t xml:space="preserve">Рисунок +++, Внешний вид пеллет</w:t>
      </w:r>
      <w:r>
        <w:t xml:space="preserve"> </w:t>
      </w:r>
      <w:r>
        <w:rPr>
          <w:i/>
          <w:iCs/>
        </w:rPr>
        <w:t xml:space="preserve">Littorina saxatilis</w:t>
      </w:r>
    </w:p>
    <w:bookmarkEnd w:id="43"/>
    <w:bookmarkStart w:id="44" w:name="X75b55c15a3e846040d2f877046d7b937b5b1a3d"/>
    <w:p>
      <w:pPr>
        <w:pStyle w:val="2"/>
      </w:pPr>
      <w:r>
        <w:t xml:space="preserve">Экспериментальное изучение влияния типа субстрата на выделение пелет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w:t>
      </w:r>
      <w:r>
        <w:rPr>
          <w:b/>
          <w:bCs/>
        </w:rPr>
        <w:t xml:space="preserve">бритиковэколого?</w:t>
      </w:r>
      <w:r>
        <w:t xml:space="preserve">)</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делью с размером ячеи 4 мм и к ним были привязанны грузы. Всяконструкция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w:t>
      </w:r>
      <w:r>
        <w:t xml:space="preserve"> </w:t>
      </w:r>
      <w:r>
        <w:t xml:space="preserve">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 α=0,05.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 естественных биотопах.</w:t>
      </w:r>
    </w:p>
    <w:p>
      <w:pPr>
        <w:pStyle w:val="a0"/>
      </w:pPr>
      <w:r>
        <w:t xml:space="preserve">В качестве зависимой переменной в статистическом анализе экспериментального изучение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распределине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ин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 показывает изменение количества моллюсков двух видов в зависимости от высоты над нулем глубин, предсказанное описанной выше моделью. Видно, что обилие этого вида в пределах пояса фукоидов было невелико. Вне пояса фукоидов их обилие резко возрастает и с повышением высоты оно незначительно увеличивается. На правом графике графике представлена логарифма значение от количества</w:t>
      </w:r>
      <w:r>
        <w:t xml:space="preserve"> </w:t>
      </w:r>
      <w:r>
        <w:rPr>
          <w:i/>
          <w:iCs/>
        </w:rPr>
        <w:t xml:space="preserve">Lo</w:t>
      </w:r>
      <w:r>
        <w:t xml:space="preserve"> </w:t>
      </w:r>
      <w:r>
        <w:t xml:space="preserve">в зависимости от высоты над уровнем моря.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моря. После пояса фукоидов их обилие резко падает, после чего, с увеличением высоты, незначительно увеличивается.</w:t>
      </w:r>
    </w:p>
    <w:p>
      <w:pPr>
        <w:pStyle w:val="CaptionedFigure"/>
      </w:pPr>
      <w:r>
        <w:drawing>
          <wp:inline>
            <wp:extent cx="4620126" cy="3696101"/>
            <wp:effectExtent b="0" l="0" r="0" t="0"/>
            <wp:docPr descr="Рисунок ++, Распределение двух видов литторин по литорали.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3-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Распределение двух видов литторин по литорали.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а</w:t>
      </w:r>
      <w:r>
        <w:t xml:space="preserve"> </w:t>
      </w:r>
      <w:r>
        <w:rPr>
          <w:i/>
          <w:iCs/>
        </w:rPr>
        <w:t xml:space="preserve">Ls</w:t>
      </w:r>
      <w:r>
        <w:t xml:space="preserve"> </w:t>
      </w:r>
      <w:r>
        <w:t xml:space="preserve">за сутки выделяли 11.8 пеллет.</w:t>
      </w:r>
    </w:p>
    <w:bookmarkEnd w:id="51"/>
    <w:bookmarkStart w:id="58" w:name="X8c219a3a0559f29cfb8da8bc481a09fd95be9af"/>
    <w:p>
      <w:pPr>
        <w:pStyle w:val="2"/>
      </w:pPr>
      <w:r>
        <w:t xml:space="preserve">Экспериментальное изучение влияния типа субстрата на выделение пелет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4620126" cy="3696101"/>
            <wp:effectExtent b="0" l="0" r="0" t="0"/>
            <wp:docPr descr="Рисунок ++, Зависимость колличества пеллет у двух видов моллюсков от типа субстрата в экспериментальных условиях (первичные данны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4-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Зависимость колличества пеллет у двух видов моллюсков от типа субстрата в экспериментальных условиях (первичные данные).</w:t>
      </w:r>
    </w:p>
    <w:p>
      <w:pPr>
        <w:pStyle w:val="a0"/>
      </w:pPr>
      <w:r>
        <w:t xml:space="preserve">Для более строгого сравнения мы построили модель, описывающую связь количества выделенных пеллет с типом субстрата, на котором кормились улитки и видом моллюска (Табл. ++).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698"/>
        <w:gridCol w:w="931"/>
        <w:gridCol w:w="1514"/>
        <w:gridCol w:w="990"/>
        <w:gridCol w:w="1106"/>
        <w:gridCol w:w="1339"/>
        <w:gridCol w:w="757"/>
        <w:gridCol w:w="58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3.0242547</w:t>
            </w:r>
          </w:p>
        </w:tc>
        <w:tc>
          <w:tcPr/>
          <w:p>
            <w:pPr>
              <w:pStyle w:val="Compact"/>
              <w:jc w:val="right"/>
            </w:pPr>
            <w:r>
              <w:t xml:space="preserve">0.3685177</w:t>
            </w:r>
          </w:p>
        </w:tc>
        <w:tc>
          <w:tcPr/>
          <w:p>
            <w:pPr>
              <w:pStyle w:val="Compact"/>
              <w:jc w:val="right"/>
            </w:pPr>
            <w:r>
              <w:t xml:space="preserve">211</w:t>
            </w:r>
          </w:p>
        </w:tc>
        <w:tc>
          <w:tcPr/>
          <w:p>
            <w:pPr>
              <w:pStyle w:val="Compact"/>
              <w:jc w:val="right"/>
            </w:pPr>
            <w:r>
              <w:t xml:space="preserve">8.206539</w:t>
            </w:r>
          </w:p>
        </w:tc>
        <w:tc>
          <w:tcPr/>
          <w:p>
            <w:pPr>
              <w:pStyle w:val="Compact"/>
              <w:jc w:val="right"/>
            </w:pPr>
            <w:r>
              <w:t xml:space="preserve">0.0000000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-0.7887271</w:t>
            </w:r>
          </w:p>
        </w:tc>
        <w:tc>
          <w:tcPr/>
          <w:p>
            <w:pPr>
              <w:pStyle w:val="Compact"/>
              <w:jc w:val="right"/>
            </w:pPr>
            <w:r>
              <w:t xml:space="preserve">0.2008290</w:t>
            </w:r>
          </w:p>
        </w:tc>
        <w:tc>
          <w:tcPr/>
          <w:p>
            <w:pPr>
              <w:pStyle w:val="Compact"/>
              <w:jc w:val="right"/>
            </w:pPr>
            <w:r>
              <w:t xml:space="preserve">211</w:t>
            </w:r>
          </w:p>
        </w:tc>
        <w:tc>
          <w:tcPr/>
          <w:p>
            <w:pPr>
              <w:pStyle w:val="Compact"/>
              <w:jc w:val="right"/>
            </w:pPr>
            <w:r>
              <w:t xml:space="preserve">-3.927356</w:t>
            </w:r>
          </w:p>
        </w:tc>
        <w:tc>
          <w:tcPr/>
          <w:p>
            <w:pPr>
              <w:pStyle w:val="Compact"/>
              <w:jc w:val="right"/>
            </w:pPr>
            <w:r>
              <w:t xml:space="preserve">0.0001163</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-0.8773645</w:t>
            </w:r>
          </w:p>
        </w:tc>
        <w:tc>
          <w:tcPr/>
          <w:p>
            <w:pPr>
              <w:pStyle w:val="Compact"/>
              <w:jc w:val="right"/>
            </w:pPr>
            <w:r>
              <w:t xml:space="preserve">0.2543986</w:t>
            </w:r>
          </w:p>
        </w:tc>
        <w:tc>
          <w:tcPr/>
          <w:p>
            <w:pPr>
              <w:pStyle w:val="Compact"/>
              <w:jc w:val="right"/>
            </w:pPr>
            <w:r>
              <w:t xml:space="preserve">211</w:t>
            </w:r>
          </w:p>
        </w:tc>
        <w:tc>
          <w:tcPr/>
          <w:p>
            <w:pPr>
              <w:pStyle w:val="Compact"/>
              <w:jc w:val="right"/>
            </w:pPr>
            <w:r>
              <w:t xml:space="preserve">-3.448778</w:t>
            </w:r>
          </w:p>
        </w:tc>
        <w:tc>
          <w:tcPr/>
          <w:p>
            <w:pPr>
              <w:pStyle w:val="Compact"/>
              <w:jc w:val="right"/>
            </w:pPr>
            <w:r>
              <w:t xml:space="preserve">0.0006798</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0.7533914</w:t>
            </w:r>
          </w:p>
        </w:tc>
        <w:tc>
          <w:tcPr/>
          <w:p>
            <w:pPr>
              <w:pStyle w:val="Compact"/>
              <w:jc w:val="right"/>
            </w:pPr>
            <w:r>
              <w:t xml:space="preserve">0.3543587</w:t>
            </w:r>
          </w:p>
        </w:tc>
        <w:tc>
          <w:tcPr/>
          <w:p>
            <w:pPr>
              <w:pStyle w:val="Compact"/>
              <w:jc w:val="right"/>
            </w:pPr>
            <w:r>
              <w:t xml:space="preserve">211</w:t>
            </w:r>
          </w:p>
        </w:tc>
        <w:tc>
          <w:tcPr/>
          <w:p>
            <w:pPr>
              <w:pStyle w:val="Compact"/>
              <w:jc w:val="right"/>
            </w:pPr>
            <w:r>
              <w:t xml:space="preserve">2.126070</w:t>
            </w:r>
          </w:p>
        </w:tc>
        <w:tc>
          <w:tcPr/>
          <w:p>
            <w:pPr>
              <w:pStyle w:val="Compact"/>
              <w:jc w:val="right"/>
            </w:pPr>
            <w:r>
              <w:t xml:space="preserve">0.0346595</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0.5906440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1.2137753</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 статистически значимо отличается от всех остальных средних среднее количество пеллет, выделенных Lo, которые питались на фукоидах.</w:t>
      </w:r>
    </w:p>
    <w:p>
      <w:pPr>
        <w:pStyle w:val="CaptionedFigure"/>
      </w:pPr>
      <w:r>
        <w:drawing>
          <wp:inline>
            <wp:extent cx="4620126" cy="3696101"/>
            <wp:effectExtent b="0" l="0" r="0" t="0"/>
            <wp:docPr descr="Рисунок ++, Зависимость колличества пеллет у двух видов моллюсков от типа субстрата в экспериментальных условиях (обрабтанные данные)."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6-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 Зависимость колличества пеллет у двух видов моллюсков от типа субстрата в экспериментальных условиях (обрабтанные данные).</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литорали. Эти данные хорошо соотносятся с данными, приведенными в литературе</w:t>
      </w:r>
      <w:r>
        <w:t xml:space="preserve"> </w:t>
      </w:r>
      <w:r>
        <w:t xml:space="preserve">(А. Д. 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Согласно этой модели между двумя видами должна наблюдаться конкуренция,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Одним из возможных показателей может являться интенсивность питания, которую мы можем оценить по количеству выделяемых пеллет фекалий.</w:t>
      </w:r>
    </w:p>
    <w:p>
      <w:pPr>
        <w:pStyle w:val="a0"/>
      </w:pPr>
      <w:r>
        <w:t xml:space="preserve">Если рассматривать первую модель, то</w:t>
      </w:r>
      <w:r>
        <w:t xml:space="preserve"> </w:t>
      </w:r>
      <w:r>
        <w:rPr>
          <w:i/>
          <w:iCs/>
        </w:rPr>
        <w:t xml:space="preserve">Lo</w:t>
      </w:r>
      <w:r>
        <w:t xml:space="preserve"> </w:t>
      </w:r>
      <w:r>
        <w:t xml:space="preserve">питавшиеся на камнях выделяли значимо меньше фекалий, чем представители того же вида питавшиеся на камнях. Считается, что</w:t>
      </w:r>
      <w:r>
        <w:t xml:space="preserve"> </w:t>
      </w:r>
      <w:r>
        <w:rPr>
          <w:i/>
          <w:iCs/>
        </w:rPr>
        <w:t xml:space="preserve">Lo</w:t>
      </w:r>
      <w:r>
        <w:t xml:space="preserve"> </w:t>
      </w:r>
      <w:r>
        <w:t xml:space="preserve">- это растительноядные формы</w:t>
      </w:r>
      <w:r>
        <w:t xml:space="preserve"> </w:t>
      </w:r>
      <w:r>
        <w:t xml:space="preserve">(А. Наумов and Федяков 1993)</w:t>
      </w:r>
      <w:r>
        <w:t xml:space="preserve">, что также соотносится с корреляцией численности этого вида с обилием макрофитов</w:t>
      </w:r>
      <w:r>
        <w:t xml:space="preserve"> </w:t>
      </w:r>
      <w:r>
        <w:t xml:space="preserve">(Sergievsky, Granovitch, and Sokolova 1997)</w:t>
      </w:r>
      <w:r>
        <w:t xml:space="preserve">.</w:t>
      </w:r>
      <w:r>
        <w:t xml:space="preserve"> </w:t>
      </w:r>
      <w:r>
        <w:rPr>
          <w:i/>
          <w:iCs/>
        </w:rPr>
        <w:t xml:space="preserve">Ls</w:t>
      </w:r>
      <w:r>
        <w:t xml:space="preserve"> </w:t>
      </w:r>
      <w:r>
        <w:t xml:space="preserve">же питается в основном соскабливая пищу с камней</w:t>
      </w:r>
      <w:r>
        <w:t xml:space="preserve">(А. Наумов and Федяков 1993)</w:t>
      </w:r>
      <w:r>
        <w:t xml:space="preserve">.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 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(Watson and Norton 1987; Rolán-Alvarez, Rolán, and Johannesson 1996)</w:t>
      </w:r>
      <w:r>
        <w:t xml:space="preserve">.</w:t>
      </w:r>
    </w:p>
    <w:p>
      <w:pPr>
        <w:pStyle w:val="a0"/>
      </w:pPr>
      <w:r>
        <w:t xml:space="preserve">В подтверждение второй модели</w:t>
      </w:r>
    </w:p>
    <w:p>
      <w:pPr>
        <w:pStyle w:val="a0"/>
      </w:pPr>
      <w:r>
        <w:t xml:space="preserve">В подтверждение второй модели</w:t>
      </w:r>
      <w:r>
        <w:t xml:space="preserve"> </w:t>
      </w:r>
      <w:r>
        <w:rPr>
          <w:i/>
          <w:iCs/>
        </w:rPr>
        <w:t xml:space="preserve">Ls</w:t>
      </w:r>
      <w:r>
        <w:t xml:space="preserve"> </w:t>
      </w:r>
      <w:r>
        <w:t xml:space="preserve">в естественных условиях на камнях выделяли меньше пеллет, чем представители того же вида на камнях но уже в экспериментальных условиях. В то же время</w:t>
      </w:r>
      <w:r>
        <w:t xml:space="preserve"> </w:t>
      </w:r>
      <w:r>
        <w:rPr>
          <w:i/>
          <w:iCs/>
        </w:rPr>
        <w:t xml:space="preserve">Ls</w:t>
      </w:r>
      <w:r>
        <w:t xml:space="preserve"> </w:t>
      </w:r>
      <w:r>
        <w:t xml:space="preserve">в эксперименте в садках с фукоидами выделяли столько же пеллет сколько и особи в естественных условиях с камней. Это может говорить о высокой внутривидовой конкуренции.</w:t>
      </w:r>
    </w:p>
    <w:p>
      <w:pPr>
        <w:pStyle w:val="a0"/>
      </w:pPr>
      <w:r>
        <w:t xml:space="preserve">Если рассматривать вторую модель, то</w:t>
      </w:r>
      <w:r>
        <w:t xml:space="preserve"> </w:t>
      </w:r>
      <w:r>
        <w:rPr>
          <w:i/>
          <w:iCs/>
        </w:rPr>
        <w:t xml:space="preserve">Ls</w:t>
      </w:r>
      <w:r>
        <w:t xml:space="preserve"> </w:t>
      </w:r>
      <w:r>
        <w:t xml:space="preserve">и</w:t>
      </w:r>
      <w:r>
        <w:t xml:space="preserve"> </w:t>
      </w:r>
      <w:r>
        <w:rPr>
          <w:i/>
          <w:iCs/>
        </w:rPr>
        <w:t xml:space="preserve">Lo</w:t>
      </w:r>
      <w:r>
        <w:t xml:space="preserve">, должны име имеют различное строение радул</w:t>
      </w:r>
      <w:r>
        <w:t xml:space="preserve"> </w:t>
      </w:r>
      <w:r>
        <w:t xml:space="preserve">(Rolán-Alvarez, Rolán, and Johannesson 1996; Watson and Norton 1987)</w:t>
      </w:r>
      <w:r>
        <w:t xml:space="preserve">. Радула</w:t>
      </w:r>
      <w:r>
        <w:t xml:space="preserve"> </w:t>
      </w:r>
      <w:r>
        <w:rPr>
          <w:i/>
          <w:iCs/>
        </w:rPr>
        <w:t xml:space="preserve">Lo</w:t>
      </w:r>
      <w:r>
        <w:t xml:space="preserve"> </w:t>
      </w:r>
      <w:r>
        <w:t xml:space="preserve">покрыта зубами, имеющими много небольших выростов. Такая форма зубов помогает им в поедание макрофитов</w:t>
      </w:r>
      <w:r>
        <w:t xml:space="preserve"> </w:t>
      </w:r>
      <w:r>
        <w:t xml:space="preserve">(Hilgers et al. 2022)</w:t>
      </w:r>
      <w:r>
        <w:t xml:space="preserve">, однако может не ограничивать рацион только ими.</w:t>
      </w:r>
      <w:r>
        <w:t xml:space="preserve"> </w:t>
      </w:r>
      <w:r>
        <w:rPr>
          <w:i/>
          <w:iCs/>
        </w:rPr>
        <w:t xml:space="preserve">Ls</w:t>
      </w:r>
      <w:r>
        <w:t xml:space="preserve"> </w:t>
      </w:r>
      <w:r>
        <w:t xml:space="preserve">имеют зуб с одним большим и двумя маленькими выростами</w:t>
      </w:r>
      <w:r>
        <w:t xml:space="preserve"> </w:t>
      </w:r>
      <w:r>
        <w:t xml:space="preserve">(Rolán-Alvarez, Rolán, and Johannesson 1996)</w:t>
      </w:r>
      <w:r>
        <w:t xml:space="preserve">.</w:t>
      </w:r>
    </w:p>
    <w:p>
      <w:pPr>
        <w:pStyle w:val="a0"/>
      </w:pPr>
      <w:r>
        <w:t xml:space="preserve">Другим объяснением подобного разделения экологических ниш может быть различия в метаболизме. Так в работе Роберт Макмахон предположил</w:t>
      </w:r>
      <w:r>
        <w:t xml:space="preserve"> </w:t>
      </w:r>
      <w:r>
        <w:t xml:space="preserve">существование двух стратегий у приливно-отливных брюхоногих моллюсков. Обитатели низкой и средней литорали стараются сохранять метаболическую активности, даже на воздухе во время отлива, в то время как обитатели высокой литорали замедляют метаболические процессы и закрывают раковины крышечками</w:t>
      </w:r>
      <w:r>
        <w:t xml:space="preserve"> </w:t>
      </w:r>
      <w:r>
        <w:t xml:space="preserve">(McMahon 1990)</w:t>
      </w:r>
      <w:r>
        <w:t xml:space="preserve">.</w:t>
      </w:r>
      <w:r>
        <w:t xml:space="preserve"> </w:t>
      </w:r>
      <w:r>
        <w:rPr>
          <w:i/>
          <w:iCs/>
        </w:rPr>
        <w:t xml:space="preserve">Lo</w:t>
      </w:r>
      <w:r>
        <w:t xml:space="preserve"> </w:t>
      </w:r>
      <w:r>
        <w:t xml:space="preserve">в основном придерживаются первой стратегии из-за чего не могут выжить во время отлива на более высоких уровнях литорали, а</w:t>
      </w:r>
      <w:r>
        <w:t xml:space="preserve"> </w:t>
      </w:r>
      <w:r>
        <w:rPr>
          <w:i/>
          <w:iCs/>
        </w:rPr>
        <w:t xml:space="preserve">Ls</w:t>
      </w:r>
      <w:r>
        <w:t xml:space="preserve"> </w:t>
      </w:r>
      <w:r>
        <w:t xml:space="preserve">придерживаются второй стратегии от чего могут встречаться на большем количестве литоральных уровней.</w:t>
      </w:r>
    </w:p>
    <w:p>
      <w:pPr>
        <w:pStyle w:val="a0"/>
      </w:pPr>
      <w:r>
        <w:t xml:space="preserve">Иным объяснением такого распределения может быть то, что мы попали в определенную фазу цикла. Так в работе</w:t>
      </w:r>
      <w:r>
        <w:t xml:space="preserve"> </w:t>
      </w:r>
      <w:r>
        <w:t xml:space="preserve">Sergievsky, Granovitch, and Sokolova (1997)</w:t>
      </w:r>
      <w:r>
        <w:t xml:space="preserve">, анализировавшей в том числе динамику численности этих двух видов во времени, было показано наличие наличие асинхронного изменения численности популяций этих двух видов. Таким образом мы можем предположить, что такое пространственное разделение верно не всегда.</w:t>
      </w:r>
    </w:p>
    <w:bookmarkEnd w:id="60"/>
    <w:bookmarkStart w:id="61" w:name="заключение"/>
    <w:p>
      <w:pPr>
        <w:pStyle w:val="1"/>
      </w:pPr>
      <w:r>
        <w:t xml:space="preserve">Заключение</w:t>
      </w:r>
    </w:p>
    <w:p>
      <w:pPr>
        <w:pStyle w:val="FirstParagraph"/>
      </w:pPr>
      <w:r>
        <w:t xml:space="preserve">Таким образом можно сказать, что соотношение саксатилис и обтузат менялось следующим образом: на более низком уровне литорали преобладали</w:t>
      </w:r>
      <w:r>
        <w:t xml:space="preserve"> </w:t>
      </w:r>
      <w:r>
        <w:rPr>
          <w:i/>
          <w:iCs/>
        </w:rPr>
        <w:t xml:space="preserve">L. obtusata</w:t>
      </w:r>
      <w:r>
        <w:t xml:space="preserve">, а после пояса фукоидов количество</w:t>
      </w:r>
      <w:r>
        <w:t xml:space="preserve"> </w:t>
      </w:r>
      <w:r>
        <w:rPr>
          <w:i/>
          <w:iCs/>
        </w:rPr>
        <w:t xml:space="preserve">L. obtusata</w:t>
      </w:r>
      <w:r>
        <w:t xml:space="preserve"> </w:t>
      </w:r>
      <w:r>
        <w:t xml:space="preserve">уменьшалось, а</w:t>
      </w:r>
      <w:r>
        <w:t xml:space="preserve"> </w:t>
      </w:r>
      <w:r>
        <w:rPr>
          <w:i/>
          <w:iCs/>
        </w:rPr>
        <w:t xml:space="preserve">L. saxatilis</w:t>
      </w:r>
      <w:r>
        <w:t xml:space="preserve">, наоборот, увеличивалось. Такое разделение может быть обусловлено тем что обтузаты, имея фундаментальное разделение ниш, преобладали в нижней зоне литорали, где находятся фукоиды. Саксатилисы имели реализованное разделение экологических ниш встречаясь массово лишь в тех местах, где количество обтузат было не велико.</w:t>
      </w:r>
    </w:p>
    <w:bookmarkEnd w:id="61"/>
    <w:bookmarkStart w:id="62"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2"/>
    <w:bookmarkStart w:id="83" w:name="список-литературы"/>
    <w:p>
      <w:pPr>
        <w:pStyle w:val="1"/>
      </w:pPr>
      <w:r>
        <w:t xml:space="preserve">Список литературы</w:t>
      </w:r>
    </w:p>
    <w:bookmarkStart w:id="82" w:name="refs"/>
    <w:bookmarkStart w:id="64" w:name="ref-WoRMS20250114"/>
    <w:p>
      <w:pPr>
        <w:pStyle w:val="a8"/>
      </w:pPr>
      <w:r>
        <w:t xml:space="preserve">Ahyong, S., C. B. Boyko, J. Bernot, S. N. Brandão, M. Daly, S. De Grave, N. J. de Voogd, et al. 2025.</w:t>
      </w:r>
      <w:r>
        <w:t xml:space="preserve"> </w:t>
      </w:r>
      <w:r>
        <w:t xml:space="preserve">“World Register of Marine Species (WoRMS).”</w:t>
      </w:r>
      <w:r>
        <w:t xml:space="preserve"> </w:t>
      </w:r>
      <w:r>
        <w:t xml:space="preserve">WoRMS Editorial Board.</w:t>
      </w:r>
      <w:r>
        <w:t xml:space="preserve"> </w:t>
      </w:r>
      <w:hyperlink r:id="rId63">
        <w:r>
          <w:rPr>
            <w:rStyle w:val="ae"/>
          </w:rPr>
          <w:t xml:space="preserve">https://www.marinespecies.org</w:t>
        </w:r>
      </w:hyperlink>
      <w:r>
        <w:t xml:space="preserve">.</w:t>
      </w:r>
    </w:p>
    <w:bookmarkEnd w:id="64"/>
    <w:bookmarkStart w:id="65" w:name="ref-cooper2024ecological"/>
    <w:p>
      <w:pPr>
        <w:pStyle w:val="a8"/>
      </w:pPr>
      <w:r>
        <w:t xml:space="preserve">Cooper, Jacob C. 2024.</w:t>
      </w:r>
      <w:r>
        <w:t xml:space="preserve"> </w:t>
      </w:r>
      <w:r>
        <w:t xml:space="preserve">“Ecological Niche Divergence or Ecological Niche Partitioning in a Widespread Neotropical Bird Lineage.”</w:t>
      </w:r>
      <w:r>
        <w:t xml:space="preserve"> </w:t>
      </w:r>
      <w:r>
        <w:rPr>
          <w:i/>
          <w:iCs/>
        </w:rPr>
        <w:t xml:space="preserve">PeerJ</w:t>
      </w:r>
      <w:r>
        <w:t xml:space="preserve"> </w:t>
      </w:r>
      <w:r>
        <w:t xml:space="preserve">12: e17345.</w:t>
      </w:r>
    </w:p>
    <w:bookmarkEnd w:id="65"/>
    <w:bookmarkStart w:id="66" w:name="ref-costa2019competition"/>
    <w:p>
      <w:pPr>
        <w:pStyle w:val="a8"/>
      </w:pPr>
      <w:r>
        <w:t xml:space="preserve">Costa-Pereira, Raul, Márcio S Araújo, Franco L Souza, and Travis Ingram. 2019.</w:t>
      </w:r>
      <w:r>
        <w:t xml:space="preserve"> </w:t>
      </w:r>
      <w:r>
        <w:t xml:space="preserve">“Competition and Resource Breadth Shape Niche Variation and Overlap in Multiple Trophic Dimensions.”</w:t>
      </w:r>
      <w:r>
        <w:t xml:space="preserve"> </w:t>
      </w:r>
      <w:r>
        <w:rPr>
          <w:i/>
          <w:iCs/>
        </w:rPr>
        <w:t xml:space="preserve">Proceedings of the Royal Society B</w:t>
      </w:r>
      <w:r>
        <w:t xml:space="preserve"> </w:t>
      </w:r>
      <w:r>
        <w:t xml:space="preserve">286 (1902): 20190369.</w:t>
      </w:r>
    </w:p>
    <w:bookmarkEnd w:id="66"/>
    <w:bookmarkStart w:id="67" w:name="ref-granovitch2000spatial"/>
    <w:p>
      <w:pPr>
        <w:pStyle w:val="a8"/>
      </w:pPr>
      <w:r>
        <w:t xml:space="preserve">Granovitch, AI, SO Sergievsky, and IM Sokolova. 2000.</w:t>
      </w:r>
      <w:r>
        <w:t xml:space="preserve"> </w:t>
      </w:r>
      <w:r>
        <w:t xml:space="preserve">“Spatial and Temporal Variation of Trematode Infection in Coexisting Populations of Intertidal Gastropods Littorina Saxatilis and l. Obtusata in the White Sea.”</w:t>
      </w:r>
      <w:r>
        <w:t xml:space="preserve"> </w:t>
      </w:r>
      <w:r>
        <w:rPr>
          <w:i/>
          <w:iCs/>
        </w:rPr>
        <w:t xml:space="preserve">Diseases of Aquatic Organisms</w:t>
      </w:r>
      <w:r>
        <w:t xml:space="preserve"> </w:t>
      </w:r>
      <w:r>
        <w:t xml:space="preserve">41 (1): 53–64.</w:t>
      </w:r>
    </w:p>
    <w:bookmarkEnd w:id="67"/>
    <w:bookmarkStart w:id="68" w:name="ref-guo2012separation"/>
    <w:p>
      <w:pPr>
        <w:pStyle w:val="a8"/>
      </w:pPr>
      <w:r>
        <w:t xml:space="preserve">Guo, Zhiqiang. 2012.</w:t>
      </w:r>
      <w:r>
        <w:t xml:space="preserve"> </w:t>
      </w:r>
      <w:r>
        <w:t xml:space="preserve">“S</w:t>
      </w:r>
      <w:r>
        <w:t xml:space="preserve">é</w:t>
      </w:r>
      <w:r>
        <w:t xml:space="preserve">paration de Niche Entre Deux Esp</w:t>
      </w:r>
      <w:r>
        <w:t xml:space="preserve">è</w:t>
      </w:r>
      <w:r>
        <w:t xml:space="preserve">ces Invasives de Gobies.”</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68"/>
    <w:bookmarkStart w:id="69" w:name="ref-hilgers2022evolutionary"/>
    <w:p>
      <w:pPr>
        <w:pStyle w:val="a8"/>
      </w:pPr>
      <w:r>
        <w:t xml:space="preserve">Hilgers, Leon, Stefanie Hartmann, Jobst Pfaender, Nora Lentge-Maaß, Ristiyanti M Marwoto, Thomas von Rintelen, and Michael Hofreiter. 2022.</w:t>
      </w:r>
      <w:r>
        <w:t xml:space="preserve"> </w:t>
      </w:r>
      <w:r>
        <w:t xml:space="preserve">“Evolutionary Divergence and Radula Diversification in Two Ecomorphs from an Adaptive Radiation of Freshwater Snails.”</w:t>
      </w:r>
      <w:r>
        <w:t xml:space="preserve"> </w:t>
      </w:r>
      <w:r>
        <w:rPr>
          <w:i/>
          <w:iCs/>
        </w:rPr>
        <w:t xml:space="preserve">Genes</w:t>
      </w:r>
      <w:r>
        <w:t xml:space="preserve"> </w:t>
      </w:r>
      <w:r>
        <w:t xml:space="preserve">13 (6): 1029.</w:t>
      </w:r>
    </w:p>
    <w:bookmarkEnd w:id="69"/>
    <w:bookmarkStart w:id="70" w:name="ref-hutchinson1957concluding"/>
    <w:p>
      <w:pPr>
        <w:pStyle w:val="a8"/>
      </w:pPr>
      <w:r>
        <w:t xml:space="preserve">Hutchinson, G. 1957.</w:t>
      </w:r>
      <w:r>
        <w:t xml:space="preserve"> </w:t>
      </w:r>
      <w:r>
        <w:t xml:space="preserve">“Concluding Remarks–Cold Spring Harbor Symposia on Quantitative Biology 22: 415–427. Reprinted in 1991: Classics in Theoritical Biology.”</w:t>
      </w:r>
      <w:r>
        <w:t xml:space="preserve"> </w:t>
      </w:r>
      <w:r>
        <w:rPr>
          <w:i/>
          <w:iCs/>
        </w:rPr>
        <w:t xml:space="preserve">Bull. Math. Biol</w:t>
      </w:r>
      <w:r>
        <w:t xml:space="preserve"> </w:t>
      </w:r>
      <w:r>
        <w:t xml:space="preserve">53: 193–213.</w:t>
      </w:r>
    </w:p>
    <w:bookmarkEnd w:id="70"/>
    <w:bookmarkStart w:id="71" w:name="ref-maltseva2021linking"/>
    <w:p>
      <w:pPr>
        <w:pStyle w:val="a8"/>
      </w:pPr>
      <w:r>
        <w:t xml:space="preserve">Maltseva, Arina L, Marina A Varfolomeeva, Roman V Ayanka, Elizaveta R Gafarova, Egor A Repkin, Polina A Pavlova, Alexei L Shavarda, Natalia A Mikhailova, and Andrei I Granovitch. 2021.</w:t>
      </w:r>
      <w:r>
        <w:t xml:space="preserve"> </w:t>
      </w:r>
      <w:r>
        <w:t xml:space="preserve">“Linking Ecology, Morphology, and Metabolism: Niche Differentiation in Sympatric Populations of Closely Related Species of the Genus Littorina (Neritrema).”</w:t>
      </w:r>
      <w:r>
        <w:t xml:space="preserve"> </w:t>
      </w:r>
      <w:r>
        <w:rPr>
          <w:i/>
          <w:iCs/>
        </w:rPr>
        <w:t xml:space="preserve">Ecology and Evolution</w:t>
      </w:r>
      <w:r>
        <w:t xml:space="preserve"> </w:t>
      </w:r>
      <w:r>
        <w:t xml:space="preserve">11 (16): 11134–54.</w:t>
      </w:r>
    </w:p>
    <w:bookmarkEnd w:id="71"/>
    <w:bookmarkStart w:id="72" w:name="ref-mcmahon1990thermal"/>
    <w:p>
      <w:pPr>
        <w:pStyle w:val="a8"/>
      </w:pPr>
      <w:r>
        <w:t xml:space="preserve">McMahon, Robert F. 1990.</w:t>
      </w:r>
      <w:r>
        <w:t xml:space="preserve"> </w:t>
      </w:r>
      <w:r>
        <w:t xml:space="preserve">“Thermal Tolerance, Evaporative Water Loss, Air-Water Oxygen Consumption and Zonation of Intertidal Prosobranchs: A New Synthesis.”</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2"/>
    <w:bookmarkStart w:id="74" w:name="ref-R"/>
    <w:p>
      <w:pPr>
        <w:pStyle w:val="a8"/>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3">
        <w:r>
          <w:rPr>
            <w:rStyle w:val="ae"/>
          </w:rPr>
          <w:t xml:space="preserve">https://www.R-project.org/</w:t>
        </w:r>
      </w:hyperlink>
      <w:r>
        <w:t xml:space="preserve">.</w:t>
      </w:r>
    </w:p>
    <w:bookmarkEnd w:id="74"/>
    <w:bookmarkStart w:id="75" w:name="ref-rolan1996differentiation"/>
    <w:p>
      <w:pPr>
        <w:pStyle w:val="a8"/>
      </w:pPr>
      <w:r>
        <w:t xml:space="preserve">Rolán-Alvarez, E, E Rolán, and K Johannesson. 1996.</w:t>
      </w:r>
      <w:r>
        <w:t xml:space="preserve"> </w:t>
      </w:r>
      <w:r>
        <w:t xml:space="preserve">“Differentiation in Radular and Embryonic Characters, and Further Comments on Gene Flow, Between Two Sympatric Morphs of Littorina Saxatilis (Olivi).”</w:t>
      </w:r>
      <w:r>
        <w:t xml:space="preserve"> </w:t>
      </w:r>
      <w:r>
        <w:rPr>
          <w:i/>
          <w:iCs/>
        </w:rPr>
        <w:t xml:space="preserve">Ophelia</w:t>
      </w:r>
      <w:r>
        <w:t xml:space="preserve"> </w:t>
      </w:r>
      <w:r>
        <w:t xml:space="preserve">45 (1): 1–15.</w:t>
      </w:r>
    </w:p>
    <w:bookmarkEnd w:id="75"/>
    <w:bookmarkStart w:id="76" w:name="ref-sergievsky1997long"/>
    <w:p>
      <w:pPr>
        <w:pStyle w:val="a8"/>
      </w:pPr>
      <w:r>
        <w:t xml:space="preserve">Sergievsky, SO, AI Granovitch, and IM Sokolova. 1997.</w:t>
      </w:r>
      <w:r>
        <w:t xml:space="preserve"> </w:t>
      </w:r>
      <w:r>
        <w:t xml:space="preserve">“Long-Term Studies of Littorina Obtusata and Littorina Saxatilis Populations in the White Sea.”</w:t>
      </w:r>
      <w:r>
        <w:t xml:space="preserve"> </w:t>
      </w:r>
      <w:r>
        <w:rPr>
          <w:i/>
          <w:iCs/>
        </w:rPr>
        <w:t xml:space="preserve">Oceanolica Acta</w:t>
      </w:r>
      <w:r>
        <w:t xml:space="preserve"> </w:t>
      </w:r>
      <w:r>
        <w:t xml:space="preserve">20 (1): 259–65.</w:t>
      </w:r>
    </w:p>
    <w:bookmarkEnd w:id="76"/>
    <w:bookmarkStart w:id="77" w:name="ref-smith2012elements"/>
    <w:p>
      <w:pPr>
        <w:pStyle w:val="a8"/>
      </w:pPr>
      <w:r>
        <w:t xml:space="preserve">Smith, Thomas M, and RL Smith. 2012.</w:t>
      </w:r>
      <w:r>
        <w:t xml:space="preserve"> </w:t>
      </w:r>
      <w:r>
        <w:t xml:space="preserve">“Elements of Ecology, Eight Editions.”</w:t>
      </w:r>
      <w:r>
        <w:t xml:space="preserve"> </w:t>
      </w:r>
      <w:r>
        <w:rPr>
          <w:i/>
          <w:iCs/>
        </w:rPr>
        <w:t xml:space="preserve">Person Benjamin Cummings: San Francisco</w:t>
      </w:r>
      <w:r>
        <w:t xml:space="preserve">, 1–611.</w:t>
      </w:r>
    </w:p>
    <w:bookmarkEnd w:id="77"/>
    <w:bookmarkStart w:id="78" w:name="ref-watson1987habitat"/>
    <w:p>
      <w:pPr>
        <w:pStyle w:val="a8"/>
      </w:pPr>
      <w:r>
        <w:t xml:space="preserve">Watson, David C, and Trevor A Norton. 1987.</w:t>
      </w:r>
      <w:r>
        <w:t xml:space="preserve"> </w:t>
      </w:r>
      <w:r>
        <w:t xml:space="preserve">“The Habitat and Feeding Preferences of Littorina Obtusata (l.) and l. Mariae Sacchi Et Rastelli.”</w:t>
      </w:r>
      <w:r>
        <w:t xml:space="preserve"> </w:t>
      </w:r>
      <w:r>
        <w:rPr>
          <w:i/>
          <w:iCs/>
        </w:rPr>
        <w:t xml:space="preserve">Journal of Experimental Marine Biology and Ecology</w:t>
      </w:r>
      <w:r>
        <w:t xml:space="preserve"> </w:t>
      </w:r>
      <w:r>
        <w:t xml:space="preserve">112 (1): 61–72.</w:t>
      </w:r>
    </w:p>
    <w:bookmarkEnd w:id="78"/>
    <w:bookmarkStart w:id="79" w:name="ref-mgcv2017"/>
    <w:p>
      <w:pPr>
        <w:pStyle w:val="a8"/>
      </w:pPr>
      <w:r>
        <w:t xml:space="preserve">Wood, S. N. 2017.</w:t>
      </w:r>
      <w:r>
        <w:t xml:space="preserve"> </w:t>
      </w:r>
      <w:r>
        <w:rPr>
          <w:i/>
          <w:iCs/>
        </w:rPr>
        <w:t xml:space="preserve">Generalized Additive Models: An Introduction with r</w:t>
      </w:r>
      <w:r>
        <w:t xml:space="preserve">. 2nd ed. Chapman; Hall/CRC.</w:t>
      </w:r>
    </w:p>
    <w:bookmarkEnd w:id="79"/>
    <w:bookmarkStart w:id="80" w:name="ref-наумов1993вечно"/>
    <w:p>
      <w:pPr>
        <w:pStyle w:val="a8"/>
      </w:pPr>
      <w:r>
        <w:t xml:space="preserve">Наумов, АД, and ВВ Федяков. 1993.</w:t>
      </w:r>
      <w:r>
        <w:t xml:space="preserve"> </w:t>
      </w:r>
      <w:r>
        <w:t xml:space="preserve">“Вечно Живое Белое Море.”</w:t>
      </w:r>
      <w:r>
        <w:t xml:space="preserve"> </w:t>
      </w:r>
      <w:r>
        <w:rPr>
          <w:i/>
          <w:iCs/>
        </w:rPr>
        <w:t xml:space="preserve">СПб.: Изд. СПбГДТЮ</w:t>
      </w:r>
      <w:r>
        <w:t xml:space="preserve">.</w:t>
      </w:r>
    </w:p>
    <w:bookmarkEnd w:id="80"/>
    <w:bookmarkStart w:id="81" w:name="ref-наумов1981зоологические"/>
    <w:p>
      <w:pPr>
        <w:pStyle w:val="a8"/>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1"/>
    <w:bookmarkEnd w:id="82"/>
    <w:bookmarkEnd w:id="83"/>
    <w:sectPr w:rsidR="00B72B85" w:rsidRPr="00584126">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9AE4A2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4DCD06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681CE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78CC75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7ACE48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E48EEB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6CA2E6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DE442B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A3EC8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CA4D87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1B040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style>
  <w:style w:styleId="1" w:type="paragraph">
    <w:name w:val="heading 1"/>
    <w:basedOn w:val="a"/>
    <w:next w:val="a0"/>
    <w:uiPriority w:val="9"/>
    <w:qFormat/>
    <w:rsid w:val="007B1750"/>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rsid w:val="007B1750"/>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584126"/>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7B1750"/>
    <w:pPr>
      <w:spacing w:after="180" w:before="180" w:line="360" w:lineRule="auto"/>
      <w:ind w:firstLine="851"/>
      <w:jc w:val="both"/>
    </w:pPr>
    <w:rPr>
      <w:rFonts w:ascii="Times New Roman" w:hAnsi="Times New Roman"/>
    </w:rPr>
  </w:style>
  <w:style w:customStyle="1" w:styleId="FirstParagraph" w:type="paragraph">
    <w:name w:val="First Paragraph"/>
    <w:basedOn w:val="a0"/>
    <w:next w:val="a0"/>
    <w:qFormat/>
    <w:rsid w:val="00D212B6"/>
  </w:style>
  <w:style w:customStyle="1" w:styleId="Compact" w:type="paragraph">
    <w:name w:val="Compact"/>
    <w:basedOn w:val="a0"/>
    <w:qFormat/>
    <w:rsid w:val="007B1750"/>
    <w:pPr>
      <w:spacing w:after="36" w:before="36"/>
      <w:ind w:firstLine="0"/>
    </w:pPr>
  </w:style>
  <w:style w:styleId="a5" w:type="paragraph">
    <w:name w:val="Title"/>
    <w:basedOn w:val="a"/>
    <w:next w:val="a0"/>
    <w:qFormat/>
    <w:rsid w:val="007B1750"/>
    <w:pPr>
      <w:keepNext/>
      <w:keepLines/>
      <w:spacing w:after="240" w:before="480"/>
      <w:jc w:val="center"/>
    </w:pPr>
    <w:rPr>
      <w:rFonts w:ascii="Times New Roman" w:cstheme="majorBidi" w:eastAsiaTheme="majorEastAsia" w:hAnsi="Times New Roman"/>
      <w:b/>
      <w:bCs/>
      <w:sz w:val="28"/>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firstLine="0" w:left="480" w:right="480"/>
    </w:pPr>
  </w:style>
  <w:style w:styleId="aa"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rPr>
      <w:color w:themeColor="accent1" w:val="4F81BD"/>
    </w:rPr>
  </w:style>
  <w:style w:styleId="af"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sid w:val="007B175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53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73" Target="https://www.R-project.org/" TargetMode="External" /><Relationship Type="http://schemas.openxmlformats.org/officeDocument/2006/relationships/hyperlink" Id="rId63"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3" Target="https://www.R-project.org/" TargetMode="External" /><Relationship Type="http://schemas.openxmlformats.org/officeDocument/2006/relationships/hyperlink" Id="rId63"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432</Words>
  <Characters>2464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Влияние мидий на двигательные способности литоральных брюхоногих моллюсков</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2025-01-15T15:22:35Z</dcterms:created>
  <dcterms:modified xsi:type="dcterms:W3CDTF">2025-01-15T15:22:35Z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