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22.jpg" ContentType="image/jpe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102bf2fd33f87f55533b6013c918a3587fd6a00"/>
    <w:p>
      <w:pPr>
        <w:pStyle w:val="1"/>
      </w:pPr>
      <w:r>
        <w:t xml:space="preserve">Эколого-биологический центр</w:t>
      </w:r>
      <w:r>
        <w:t xml:space="preserve"> </w:t>
      </w:r>
      <w:r>
        <w:t xml:space="preserve">“</w:t>
      </w:r>
      <w:r>
        <w:t xml:space="preserve">Крестовский остров</w:t>
      </w:r>
      <w:r>
        <w:t xml:space="preserve">”</w:t>
      </w:r>
    </w:p>
    <w:bookmarkEnd w:id="20"/>
    <w:bookmarkStart w:id="21" w:name="лаборатория-экологии-морского-бентоса"/>
    <w:p>
      <w:pPr>
        <w:pStyle w:val="1"/>
      </w:pPr>
      <w:r>
        <w:t xml:space="preserve">Лаборатория Экологии Морского Бентоса</w:t>
      </w:r>
    </w:p>
    <w:bookmarkEnd w:id="21"/>
    <w:bookmarkStart w:id="25" w:name="гидробиологии"/>
    <w:p>
      <w:pPr>
        <w:pStyle w:val="1"/>
      </w:pPr>
      <w:r>
        <w:t xml:space="preserve">(гидробиологии)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p>
      <w:pPr>
        <w:pStyle w:val="a0"/>
      </w:pPr>
      <w:r>
        <w:drawing>
          <wp:inline>
            <wp:extent cx="2382981" cy="245687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Figures/Logotype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81" cy="245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 </w:t>
      </w:r>
    </w:p>
    <w:bookmarkEnd w:id="25"/>
    <w:bookmarkStart w:id="26" w:name="а.-бритиков"/>
    <w:p>
      <w:pPr>
        <w:pStyle w:val="1"/>
      </w:pPr>
      <w:r>
        <w:t xml:space="preserve">А. Бритиков</w:t>
      </w:r>
    </w:p>
    <w:bookmarkEnd w:id="26"/>
    <w:bookmarkStart w:id="27" w:name="X4536335aade25afef844b2b4584d52d22721370"/>
    <w:p>
      <w:pPr>
        <w:pStyle w:val="1"/>
      </w:pPr>
      <w:r>
        <w:t xml:space="preserve">Разделение каких экологических ниш Littorina saxatilis и L. obtusata мы наблюдаем на литорали Белого моря?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bookmarkEnd w:id="27"/>
    <w:bookmarkStart w:id="28" w:name="санкт-петербург"/>
    <w:p>
      <w:pPr>
        <w:pStyle w:val="1"/>
      </w:pPr>
      <w:r>
        <w:t xml:space="preserve">Санкт-Петербург</w:t>
      </w:r>
    </w:p>
    <w:bookmarkEnd w:id="28"/>
    <w:bookmarkStart w:id="29" w:name="section"/>
    <w:p>
      <w:pPr>
        <w:pStyle w:val="1"/>
      </w:pPr>
      <w:r>
        <w:t xml:space="preserve">2024</w:t>
      </w:r>
    </w:p>
    <w:p>
      <w:r>
        <w:br w:type="page"/>
      </w:r>
    </w:p>
    <w:bookmarkEnd w:id="29"/>
    <w:bookmarkStart w:id="30" w:name="введение"/>
    <w:p>
      <w:pPr>
        <w:pStyle w:val="1"/>
      </w:pPr>
      <w:r>
        <w:t xml:space="preserve">Введение</w:t>
      </w:r>
    </w:p>
    <w:p>
      <w:pPr>
        <w:pStyle w:val="FirstParagraph"/>
      </w:pPr>
      <w:r>
        <w:t xml:space="preserve">Экологическая ниша - это многомерное пространство, формируемое условиями и ресурсами, которые обеспечивают существование видов, влияя на то, как виды сосуществуют и разделяются, используя различные ресурсы и условия окружающей среды для снижения конкуренции (</w:t>
      </w:r>
      <w:r>
        <w:t xml:space="preserve">Reyes-Puig et al. (2024)</w:t>
      </w:r>
      <w:r>
        <w:t xml:space="preserve">). Дифференциация на специфические ниши включает пространственную, трофическую, временную и/или их комбинацию (</w:t>
      </w:r>
      <w:r>
        <w:t xml:space="preserve">Guo (2012)</w:t>
      </w:r>
      <w:r>
        <w:t xml:space="preserve">).</w:t>
      </w:r>
    </w:p>
    <w:p>
      <w:pPr>
        <w:pStyle w:val="a0"/>
      </w:pPr>
      <w:r>
        <w:t xml:space="preserve">Адаптивная диверсификация сложных признаков играет ключевую роль в эволюции разнообразия организмов. У пресноводных улиток рода Tylomelania адаптивные радикации, вероятно, способствовала трофическая специализация через диверсификацию их ключевого кормового органа - радулы (</w:t>
      </w:r>
      <w:r>
        <w:t xml:space="preserve">Hilgers et al. (2022)</w:t>
      </w:r>
      <w:r>
        <w:t xml:space="preserve">). Так в работе Гуо</w:t>
      </w:r>
      <w:r>
        <w:t xml:space="preserve"> </w:t>
      </w:r>
      <w:r>
        <w:t xml:space="preserve">Guo (2012)</w:t>
      </w:r>
      <w:r>
        <w:t xml:space="preserve">, было показано, на примере бычков</w:t>
      </w:r>
      <w:r>
        <w:t xml:space="preserve"> </w:t>
      </w:r>
      <w:r>
        <w:rPr>
          <w:i/>
          <w:iCs/>
        </w:rPr>
        <w:t xml:space="preserve">Rhinogobius cliffordpopei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Rhinogobius giurius</w:t>
      </w:r>
      <w:r>
        <w:t xml:space="preserve">, разделение экологических ниш двумя схожими вида в пространстве, времени и пищевых объектах.</w:t>
      </w:r>
    </w:p>
    <w:p>
      <w:pPr>
        <w:pStyle w:val="a0"/>
      </w:pPr>
      <w:r>
        <w:t xml:space="preserve">В данном исследование изучалось разделение экологических ниш между двумя вида моллюсков:</w:t>
      </w:r>
      <w:r>
        <w:t xml:space="preserve"> </w:t>
      </w:r>
      <w:r>
        <w:rPr>
          <w:i/>
          <w:iCs/>
        </w:rPr>
        <w:t xml:space="preserve">L.saxatilis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L.obtusata</w:t>
      </w:r>
      <w:r>
        <w:t xml:space="preserve">. Целью этой работы было определить разделение каких экологических ниш Littorina saxatilis и L. obtusata мы наблюдаем на литорали Белого моря. В задачи исследования входило: определить, как в зависимости от высоты меняется процентное соотношение этих двух видов моллюсков и какие могут быть причины такого разделения экологических ниш.</w:t>
      </w:r>
    </w:p>
    <w:bookmarkEnd w:id="30"/>
    <w:bookmarkStart w:id="37" w:name="материалы-и-методика"/>
    <w:p>
      <w:pPr>
        <w:pStyle w:val="1"/>
      </w:pPr>
      <w:r>
        <w:t xml:space="preserve">Материалы и методика</w:t>
      </w:r>
    </w:p>
    <w:bookmarkStart w:id="34" w:name="место-сбора"/>
    <w:p>
      <w:pPr>
        <w:pStyle w:val="2"/>
      </w:pPr>
      <w:r>
        <w:t xml:space="preserve">Место сбора</w:t>
      </w:r>
    </w:p>
    <w:p>
      <w:pPr>
        <w:pStyle w:val="FirstParagraph"/>
      </w:pPr>
      <w:r>
        <w:t xml:space="preserve"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667°00’27.2”N 32°34’34.4”E) и на литорали около скальных выходов (координаты точки сбора 67°00’27.6”N 32°35’07.5”E) (рис. +++).</w:t>
      </w:r>
    </w:p>
    <w:p>
      <w:pPr>
        <w:pStyle w:val="a0"/>
      </w:pPr>
      <w:r>
        <w:drawing>
          <wp:inline>
            <wp:extent cx="6146800" cy="3911095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Figures/photo_from_satellit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91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По малой воде мы заложили две трансекты - колышки расположенные в одну линию через определенное расстояние. Одну - на литорали Южной губы (трансекта 1), другую на литорали у скальных выступов (трансекта 2). На первой трансекте было сделано двенадцать разрезов, с промежутками между колышков в 5 метров, на второй - девять, с промежутком между колышками в 10 метров, кроме трех последних, расстояние между которыми было 5 метров.</w:t>
      </w:r>
    </w:p>
    <w:p>
      <w:pPr>
        <w:pStyle w:val="a0"/>
      </w:pPr>
      <w:r>
        <w:t xml:space="preserve">Используя рамку 1/40 квадратного метра нами было взято по три рамки на один колышек на первой трансекте и по 5 рамок на каждый колышек второй трансекты. Из каждой рамки мы выбирали всех моллюсков вида L.saxatilis и L.obtusata. Обтузат мы определяли по округлой форме раковины, маленьким и часто расположенным продольным бороздкам на раковине и запаяным швам между завитками раковины. Саксатилис мы различали по Вытянутой раковине с более крупными и более редкими, чем у обтузат, продольными бороздами и вдавленным швам между завитками раковины. Этих улиток мы подсчитывали, чтобы понять распределение этих двух видов в зависимости от высоты литорали. Высоту, на которых находились колышки мы определяли с помощью водяного уровня.</w:t>
      </w:r>
    </w:p>
    <w:bookmarkEnd w:id="34"/>
    <w:bookmarkStart w:id="35" w:name="проведение-эксперимента"/>
    <w:p>
      <w:pPr>
        <w:pStyle w:val="2"/>
      </w:pPr>
      <w:r>
        <w:t xml:space="preserve">Проведение эксперимента</w:t>
      </w:r>
    </w:p>
    <w:p>
      <w:pPr>
        <w:pStyle w:val="FirstParagraph"/>
      </w:pPr>
      <w:r>
        <w:t xml:space="preserve">Чтобы проверить возможную причину разделения, связанную с разницей пищевых объектов на</w:t>
      </w:r>
    </w:p>
    <w:bookmarkEnd w:id="35"/>
    <w:bookmarkStart w:id="36" w:name="статистическая-обработка"/>
    <w:p>
      <w:pPr>
        <w:pStyle w:val="2"/>
      </w:pPr>
      <w:r>
        <w:t xml:space="preserve">Статистическая обработка</w:t>
      </w:r>
    </w:p>
    <w:p>
      <w:pPr>
        <w:pStyle w:val="FirstParagraph"/>
      </w:pPr>
      <w:r>
        <w:t xml:space="preserve">В качестве зависимой переменной в статистическом анализе мы использовали количество фекалий (пеллет) выделенных моллюсками (Pell).Для каждой из этих переменных были построены линейные модели, отражающие связь с двумя предикторами (</w:t>
      </w:r>
      <w:r>
        <w:t xml:space="preserve">“</w:t>
      </w:r>
      <w:r>
        <w:t xml:space="preserve">Статус моллюска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Размер устья</w:t>
      </w:r>
      <w:r>
        <w:t xml:space="preserve">”</w:t>
      </w:r>
      <w:r>
        <w:t xml:space="preserve">) и их взаимодействием. На основе дисперсионного анализа полученных моделей принималось решение о статистической значимости влияния того или иного фактора. В качестве порогового значения для отвержения нулевой гипотезы использовался уровень значимости α=0,05. Все расчеты проводились с использованием функций языка статистического программирования R 4.4.2 (R Core Team, 2024).</w:t>
      </w:r>
    </w:p>
    <w:bookmarkEnd w:id="36"/>
    <w:bookmarkEnd w:id="37"/>
    <w:bookmarkStart w:id="38" w:name="результаты"/>
    <w:p>
      <w:pPr>
        <w:pStyle w:val="1"/>
      </w:pPr>
      <w:r>
        <w:t xml:space="preserve">Результаты</w:t>
      </w:r>
    </w:p>
    <w:bookmarkEnd w:id="38"/>
    <w:bookmarkStart w:id="39" w:name="обсуждение"/>
    <w:p>
      <w:pPr>
        <w:pStyle w:val="1"/>
      </w:pPr>
      <w:r>
        <w:t xml:space="preserve">Обсуждение</w:t>
      </w:r>
    </w:p>
    <w:bookmarkEnd w:id="39"/>
    <w:bookmarkStart w:id="59" w:name="выводы"/>
    <w:p>
      <w:pPr>
        <w:pStyle w:val="1"/>
      </w:pPr>
      <w:r>
        <w:t xml:space="preserve">Выводы</w:t>
      </w:r>
    </w:p>
    <w:p>
      <w:pPr>
        <w:pStyle w:val="SourceCode"/>
      </w:pPr>
      <w:r>
        <w:rPr>
          <w:rStyle w:val="VerbatimChar"/>
        </w:rPr>
        <w:t xml:space="preserve">## [1] "Date"           "Description"    "Site"           "Sampling_Level"</w:t>
      </w:r>
      <w:r>
        <w:br/>
      </w:r>
      <w:r>
        <w:rPr>
          <w:rStyle w:val="VerbatimChar"/>
        </w:rPr>
        <w:t xml:space="preserve">## [5] "Real_H"         "Sample"         "L.saxatilis"    "L.obtusata"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Britikov_2024_files/figure-docx/unnamed-chunk-1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&lt;ggproto object: Class FacetWrap, Facet, gg&gt;</w:t>
      </w:r>
      <w:r>
        <w:br/>
      </w:r>
      <w:r>
        <w:rPr>
          <w:rStyle w:val="VerbatimChar"/>
        </w:rPr>
        <w:t xml:space="preserve">##     compute_layout: function</w:t>
      </w:r>
      <w:r>
        <w:br/>
      </w:r>
      <w:r>
        <w:rPr>
          <w:rStyle w:val="VerbatimChar"/>
        </w:rPr>
        <w:t xml:space="preserve">##     draw_back: function</w:t>
      </w:r>
      <w:r>
        <w:br/>
      </w:r>
      <w:r>
        <w:rPr>
          <w:rStyle w:val="VerbatimChar"/>
        </w:rPr>
        <w:t xml:space="preserve">##     draw_front: function</w:t>
      </w:r>
      <w:r>
        <w:br/>
      </w:r>
      <w:r>
        <w:rPr>
          <w:rStyle w:val="VerbatimChar"/>
        </w:rPr>
        <w:t xml:space="preserve">##     draw_labels: function</w:t>
      </w:r>
      <w:r>
        <w:br/>
      </w:r>
      <w:r>
        <w:rPr>
          <w:rStyle w:val="VerbatimChar"/>
        </w:rPr>
        <w:t xml:space="preserve">##     draw_panels: function</w:t>
      </w:r>
      <w:r>
        <w:br/>
      </w:r>
      <w:r>
        <w:rPr>
          <w:rStyle w:val="VerbatimChar"/>
        </w:rPr>
        <w:t xml:space="preserve">##     finish_data: function</w:t>
      </w:r>
      <w:r>
        <w:br/>
      </w:r>
      <w:r>
        <w:rPr>
          <w:rStyle w:val="VerbatimChar"/>
        </w:rPr>
        <w:t xml:space="preserve">##     init_scales: function</w:t>
      </w:r>
      <w:r>
        <w:br/>
      </w:r>
      <w:r>
        <w:rPr>
          <w:rStyle w:val="VerbatimChar"/>
        </w:rPr>
        <w:t xml:space="preserve">##     map_data: function</w:t>
      </w:r>
      <w:r>
        <w:br/>
      </w:r>
      <w:r>
        <w:rPr>
          <w:rStyle w:val="VerbatimChar"/>
        </w:rPr>
        <w:t xml:space="preserve">##     params: list</w:t>
      </w:r>
      <w:r>
        <w:br/>
      </w:r>
      <w:r>
        <w:rPr>
          <w:rStyle w:val="VerbatimChar"/>
        </w:rPr>
        <w:t xml:space="preserve">##     setup_data: function</w:t>
      </w:r>
      <w:r>
        <w:br/>
      </w:r>
      <w:r>
        <w:rPr>
          <w:rStyle w:val="VerbatimChar"/>
        </w:rPr>
        <w:t xml:space="preserve">##     setup_params: function</w:t>
      </w:r>
      <w:r>
        <w:br/>
      </w:r>
      <w:r>
        <w:rPr>
          <w:rStyle w:val="VerbatimChar"/>
        </w:rPr>
        <w:t xml:space="preserve">##     shrink: TRUE</w:t>
      </w:r>
      <w:r>
        <w:br/>
      </w:r>
      <w:r>
        <w:rPr>
          <w:rStyle w:val="VerbatimChar"/>
        </w:rPr>
        <w:t xml:space="preserve">##     train_scales: function</w:t>
      </w:r>
      <w:r>
        <w:br/>
      </w:r>
      <w:r>
        <w:rPr>
          <w:rStyle w:val="VerbatimChar"/>
        </w:rPr>
        <w:t xml:space="preserve">##     vars: function</w:t>
      </w:r>
      <w:r>
        <w:br/>
      </w:r>
      <w:r>
        <w:rPr>
          <w:rStyle w:val="VerbatimChar"/>
        </w:rPr>
        <w:t xml:space="preserve">##     super:  &lt;ggproto object: Class FacetWrap, Facet, gg&gt;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Britikov_2024_files/figure-docx/unnamed-chunk-2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4620126" cy="369610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Britikov_2024_files/figure-docx/unnamed-chunk-3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Britikov_2024_files/figure-docx/unnamed-chunk-3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Britikov_2024_files/figure-docx/unnamed-chunk-3-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Negative Binomial(0.8115)  ( log )</w:t>
      </w:r>
      <w:r>
        <w:br/>
      </w:r>
      <w:r>
        <w:rPr>
          <w:rStyle w:val="VerbatimChar"/>
        </w:rPr>
        <w:t xml:space="preserve">## Formula: Pell ~ Species * Substrate + (1 | Experiment)</w:t>
      </w:r>
      <w:r>
        <w:br/>
      </w:r>
      <w:r>
        <w:rPr>
          <w:rStyle w:val="VerbatimChar"/>
        </w:rPr>
        <w:t xml:space="preserve">##    Data: pel_caged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1789.2   1809.5   -888.6   1777.2      211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-0.8888 -0.6983 -0.1481  0.4164  3.8198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 Name        Variance Std.Dev.</w:t>
      </w:r>
      <w:r>
        <w:br/>
      </w:r>
      <w:r>
        <w:rPr>
          <w:rStyle w:val="VerbatimChar"/>
        </w:rPr>
        <w:t xml:space="preserve">##  Experiment (Intercept) 0.1411   0.3756  </w:t>
      </w:r>
      <w:r>
        <w:br/>
      </w:r>
      <w:r>
        <w:rPr>
          <w:rStyle w:val="VerbatimChar"/>
        </w:rPr>
        <w:t xml:space="preserve">## Number of obs: 217, groups:  Experiment,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3.3443     0.2573  13.000  &lt; 2e-16 ***</w:t>
      </w:r>
      <w:r>
        <w:br/>
      </w:r>
      <w:r>
        <w:rPr>
          <w:rStyle w:val="VerbatimChar"/>
        </w:rPr>
        <w:t xml:space="preserve">## SpeciesSax                 -0.4303     0.1975  -2.179  0.02934 *  </w:t>
      </w:r>
      <w:r>
        <w:br/>
      </w:r>
      <w:r>
        <w:rPr>
          <w:rStyle w:val="VerbatimChar"/>
        </w:rPr>
        <w:t xml:space="preserve">## SubstrateStone             -0.7524     0.2656  -2.833  0.00461 ** </w:t>
      </w:r>
      <w:r>
        <w:br/>
      </w:r>
      <w:r>
        <w:rPr>
          <w:rStyle w:val="VerbatimChar"/>
        </w:rPr>
        <w:t xml:space="preserve">## SpeciesSax:SubstrateStone   0.7374     0.3413   2.161  0.03073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SpcsSx SbstrS</w:t>
      </w:r>
      <w:r>
        <w:br/>
      </w:r>
      <w:r>
        <w:rPr>
          <w:rStyle w:val="VerbatimChar"/>
        </w:rPr>
        <w:t xml:space="preserve">## SpeciesSax  -0.387              </w:t>
      </w:r>
      <w:r>
        <w:br/>
      </w:r>
      <w:r>
        <w:rPr>
          <w:rStyle w:val="VerbatimChar"/>
        </w:rPr>
        <w:t xml:space="preserve">## SubstratStn -0.343  0.478       </w:t>
      </w:r>
      <w:r>
        <w:br/>
      </w:r>
      <w:r>
        <w:rPr>
          <w:rStyle w:val="VerbatimChar"/>
        </w:rPr>
        <w:t xml:space="preserve">## SpcsSx:SbsS  0.231 -0.591 -0.679</w:t>
      </w:r>
    </w:p>
    <w:p>
      <w:pPr>
        <w:pStyle w:val="SourceCode"/>
      </w:pPr>
      <w:r>
        <w:rPr>
          <w:rStyle w:val="VerbatimChar"/>
        </w:rPr>
        <w:t xml:space="preserve">##       chisq       ratio         rdf           p </w:t>
      </w:r>
      <w:r>
        <w:br/>
      </w:r>
      <w:r>
        <w:rPr>
          <w:rStyle w:val="VerbatimChar"/>
        </w:rPr>
        <w:t xml:space="preserve">## 150.9663059   0.7154801 211.0000000   0.9993677</w:t>
      </w:r>
    </w:p>
    <w:bookmarkStart w:id="58" w:name="refs"/>
    <w:bookmarkStart w:id="55" w:name="ref-guo2012separation"/>
    <w:p>
      <w:pPr>
        <w:pStyle w:val="a8"/>
      </w:pPr>
      <w:r>
        <w:t xml:space="preserve">Guo, Zhiqiang. 2012.</w:t>
      </w:r>
      <w:r>
        <w:t xml:space="preserve"> </w:t>
      </w:r>
      <w:r>
        <w:t xml:space="preserve">“S</w:t>
      </w:r>
      <w:r>
        <w:t xml:space="preserve">é</w:t>
      </w:r>
      <w:r>
        <w:t xml:space="preserve">paration de Niche Entre Deux Esp</w:t>
      </w:r>
      <w:r>
        <w:t xml:space="preserve">è</w:t>
      </w:r>
      <w:r>
        <w:t xml:space="preserve">ces Invasives de Gobies.”</w:t>
      </w:r>
      <w:r>
        <w:t xml:space="preserve"> </w:t>
      </w:r>
      <w:r>
        <w:t xml:space="preserve">PhD thesis, Universit</w:t>
      </w:r>
      <w:r>
        <w:t xml:space="preserve">é</w:t>
      </w:r>
      <w:r>
        <w:t xml:space="preserve"> </w:t>
      </w:r>
      <w:r>
        <w:t xml:space="preserve">de Toulouse, Universit</w:t>
      </w:r>
      <w:r>
        <w:t xml:space="preserve">é</w:t>
      </w:r>
      <w:r>
        <w:t xml:space="preserve"> </w:t>
      </w:r>
      <w:r>
        <w:t xml:space="preserve">Toulouse III-Paul Sabatier.</w:t>
      </w:r>
    </w:p>
    <w:bookmarkEnd w:id="55"/>
    <w:bookmarkStart w:id="56" w:name="ref-hilgers2022evolutionary"/>
    <w:p>
      <w:pPr>
        <w:pStyle w:val="a8"/>
      </w:pPr>
      <w:r>
        <w:t xml:space="preserve">Hilgers, Leon, Stefanie Hartmann, Jobst Pfaender, Nora Lentge-Maaß, Ristiyanti M Marwoto, Thomas von Rintelen, and Michael Hofreiter. 2022.</w:t>
      </w:r>
      <w:r>
        <w:t xml:space="preserve"> </w:t>
      </w:r>
      <w:r>
        <w:t xml:space="preserve">“Evolutionary Divergence and Radula Diversification in Two Ecomorphs from an Adaptive Radiation of Freshwater Snails.”</w:t>
      </w:r>
      <w:r>
        <w:t xml:space="preserve"> </w:t>
      </w:r>
      <w:r>
        <w:rPr>
          <w:i/>
          <w:iCs/>
        </w:rPr>
        <w:t xml:space="preserve">Genes</w:t>
      </w:r>
      <w:r>
        <w:t xml:space="preserve"> </w:t>
      </w:r>
      <w:r>
        <w:t xml:space="preserve">13 (6): 1029.</w:t>
      </w:r>
    </w:p>
    <w:bookmarkEnd w:id="56"/>
    <w:bookmarkStart w:id="57" w:name="ref-reyes2024all"/>
    <w:p>
      <w:pPr>
        <w:pStyle w:val="a8"/>
      </w:pPr>
      <w:r>
        <w:t xml:space="preserve">Reyes-Puig, Carolina, Urtzi Enriquez-Urzelai, Miguel A Carretero, and Antigoni Kaliontzopoulou. 2024.</w:t>
      </w:r>
      <w:r>
        <w:t xml:space="preserve"> </w:t>
      </w:r>
      <w:r>
        <w:t xml:space="preserve">“Is It All about Size? Dismantling the Integrated Phenotype to Understand Species Coexistence and Niche Segregation.”</w:t>
      </w:r>
      <w:r>
        <w:t xml:space="preserve"> </w:t>
      </w:r>
      <w:r>
        <w:rPr>
          <w:i/>
          <w:iCs/>
        </w:rPr>
        <w:t xml:space="preserve">Functional Ecology</w:t>
      </w:r>
      <w:r>
        <w:t xml:space="preserve"> </w:t>
      </w:r>
      <w:r>
        <w:t xml:space="preserve">38 (11): 2350–68.</w:t>
      </w:r>
    </w:p>
    <w:bookmarkEnd w:id="57"/>
    <w:bookmarkEnd w:id="58"/>
    <w:bookmarkEnd w:id="59"/>
    <w:sectPr w:rsidR="00B72B85" w:rsidRPr="00584126">
      <w:pgSz w:h="15840" w:w="12240"/>
      <w:pgMar w:bottom="1134" w:footer="720" w:gutter="0" w:header="720" w:left="1701" w:right="850" w:top="1134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9AE4A2C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4DCD06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7C681CEE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178CC75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A7ACE488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E48EEB8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A6CA2E6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0DE442BC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A3EC8F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CA4D87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51B0406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704AA"/>
    <w:rsid w:val="002349FE"/>
    <w:rsid w:val="00301E6B"/>
    <w:rsid w:val="003A2761"/>
    <w:rsid w:val="004C4EF7"/>
    <w:rsid w:val="00584126"/>
    <w:rsid w:val="007B1750"/>
    <w:rsid w:val="00813075"/>
    <w:rsid w:val="00984031"/>
    <w:rsid w:val="00B203B9"/>
    <w:rsid w:val="00B72B85"/>
    <w:rsid w:val="00D212B6"/>
    <w:rsid w:val="00D52295"/>
    <w:rsid w:val="00EB1193"/>
    <w:rsid w:val="00F126BA"/>
    <w:rsid w:val="00FF79E5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</w:style>
  <w:style w:styleId="1" w:type="paragraph">
    <w:name w:val="heading 1"/>
    <w:basedOn w:val="a"/>
    <w:next w:val="a0"/>
    <w:uiPriority w:val="9"/>
    <w:qFormat/>
    <w:rsid w:val="007B1750"/>
    <w:pPr>
      <w:keepNext/>
      <w:keepLines/>
      <w:spacing w:after="0" w:before="480"/>
      <w:jc w:val="center"/>
      <w:outlineLvl w:val="0"/>
    </w:pPr>
    <w:rPr>
      <w:rFonts w:ascii="Times New Roman" w:cstheme="majorBidi" w:eastAsiaTheme="majorEastAsia" w:hAnsi="Times New Roman"/>
      <w:b/>
      <w:bCs/>
      <w:sz w:val="28"/>
      <w:szCs w:val="32"/>
    </w:rPr>
  </w:style>
  <w:style w:styleId="2" w:type="paragraph">
    <w:name w:val="heading 2"/>
    <w:basedOn w:val="a"/>
    <w:next w:val="a0"/>
    <w:uiPriority w:val="9"/>
    <w:unhideWhenUsed/>
    <w:qFormat/>
    <w:rsid w:val="007B1750"/>
    <w:pPr>
      <w:keepNext/>
      <w:keepLines/>
      <w:spacing w:after="0" w:before="200" w:line="360" w:lineRule="auto"/>
      <w:ind w:firstLine="851"/>
      <w:outlineLvl w:val="1"/>
    </w:pPr>
    <w:rPr>
      <w:rFonts w:ascii="Times New Roman" w:cstheme="majorBidi" w:eastAsiaTheme="majorEastAsia" w:hAnsi="Times New Roman"/>
      <w:bCs/>
      <w:i/>
      <w:szCs w:val="28"/>
    </w:rPr>
  </w:style>
  <w:style w:styleId="3" w:type="paragraph">
    <w:name w:val="heading 3"/>
    <w:basedOn w:val="a"/>
    <w:next w:val="a0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rsid w:val="00584126"/>
    <w:pPr>
      <w:keepNext/>
      <w:keepLines/>
      <w:spacing w:after="0" w:before="200"/>
      <w:outlineLvl w:val="5"/>
    </w:pPr>
    <w:rPr>
      <w:rFonts w:ascii="Times New Roman" w:cstheme="majorBidi" w:eastAsiaTheme="majorEastAsia" w:hAnsi="Times New Roman"/>
      <w:color w:themeColor="text1" w:val="000000"/>
      <w:sz w:val="20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rsid w:val="007B1750"/>
    <w:pPr>
      <w:spacing w:after="180" w:before="180" w:line="360" w:lineRule="auto"/>
      <w:ind w:firstLine="851"/>
      <w:jc w:val="both"/>
    </w:pPr>
    <w:rPr>
      <w:rFonts w:ascii="Times New Roman" w:hAnsi="Times New Roman"/>
    </w:rPr>
  </w:style>
  <w:style w:customStyle="1" w:styleId="FirstParagraph" w:type="paragraph">
    <w:name w:val="First Paragraph"/>
    <w:basedOn w:val="a0"/>
    <w:next w:val="a0"/>
    <w:qFormat/>
    <w:rsid w:val="00D212B6"/>
  </w:style>
  <w:style w:customStyle="1" w:styleId="Compact" w:type="paragraph">
    <w:name w:val="Compact"/>
    <w:basedOn w:val="a0"/>
    <w:qFormat/>
    <w:rsid w:val="007B1750"/>
    <w:pPr>
      <w:spacing w:after="36" w:before="36"/>
      <w:ind w:firstLine="0"/>
    </w:pPr>
  </w:style>
  <w:style w:styleId="a5" w:type="paragraph">
    <w:name w:val="Title"/>
    <w:basedOn w:val="a"/>
    <w:next w:val="a0"/>
    <w:qFormat/>
    <w:rsid w:val="007B1750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sz w:val="28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0"/>
    <w:next w:val="a0"/>
    <w:uiPriority w:val="9"/>
    <w:unhideWhenUsed/>
    <w:qFormat/>
    <w:pPr>
      <w:spacing w:after="100" w:before="100"/>
      <w:ind w:firstLine="0" w:left="480" w:right="480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Название объекта Знак"/>
    <w:basedOn w:val="a1"/>
    <w:link w:val="ab"/>
  </w:style>
  <w:style w:customStyle="1" w:styleId="VerbatimChar" w:type="character">
    <w:name w:val="Verbatim Char"/>
    <w:basedOn w:val="ac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af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a4" w:type="character">
    <w:name w:val="Основной текст Знак"/>
    <w:basedOn w:val="a1"/>
    <w:link w:val="a0"/>
    <w:rsid w:val="007B175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2" Target="media/rId22.jp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Влияние мидий на двигательные способности литоральных брюхоногих моллюсков</vt:lpstr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2024-12-18T16:10:30Z</dcterms:created>
  <dcterms:modified xsi:type="dcterms:W3CDTF">2024-12-18T16:10:30Z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output">
    <vt:lpwstr/>
  </property>
</Properties>
</file>