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02bf2fd33f87f55533b6013c918a3587fd6a00"/>
    <w:p>
      <w:pPr>
        <w:pStyle w:val="1"/>
      </w:pPr>
      <w:r>
        <w:t xml:space="preserve">Эколого-биологический центр</w:t>
      </w:r>
      <w:r>
        <w:t xml:space="preserve"> </w:t>
      </w:r>
      <w:r>
        <w:t xml:space="preserve">“</w:t>
      </w:r>
      <w:r>
        <w:t xml:space="preserve">Крестовский остров</w:t>
      </w:r>
      <w:r>
        <w:t xml:space="preserve">”</w:t>
      </w:r>
    </w:p>
    <w:bookmarkEnd w:id="20"/>
    <w:bookmarkStart w:id="21" w:name="лаборатория-экологии-морского-бентоса"/>
    <w:p>
      <w:pPr>
        <w:pStyle w:val="1"/>
      </w:pPr>
      <w:r>
        <w:t xml:space="preserve">Лаборатория Экологии Морского Бентоса</w:t>
      </w:r>
    </w:p>
    <w:bookmarkEnd w:id="21"/>
    <w:bookmarkStart w:id="25" w:name="гидробиологии"/>
    <w:p>
      <w:pPr>
        <w:pStyle w:val="1"/>
      </w:pPr>
      <w:r>
        <w:t xml:space="preserve">(гидробиологии)</w:t>
      </w:r>
    </w:p>
    <w:p>
      <w:pPr>
        <w:pStyle w:val="FirstParagraph"/>
      </w:pPr>
      <w:r>
        <w:t xml:space="preserve"> </w:t>
      </w:r>
    </w:p>
    <w:p>
      <w:pPr>
        <w:pStyle w:val="a0"/>
      </w:pPr>
      <w:r>
        <w:t xml:space="preserve"> </w:t>
      </w:r>
    </w:p>
    <w:p>
      <w:pPr>
        <w:pStyle w:val="a0"/>
      </w:pPr>
      <w:r>
        <w:drawing>
          <wp:inline>
            <wp:extent cx="2382981" cy="245687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Figures/Logotype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981" cy="2456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 </w:t>
      </w:r>
    </w:p>
    <w:bookmarkEnd w:id="25"/>
    <w:bookmarkStart w:id="26" w:name="а.-бритиков"/>
    <w:p>
      <w:pPr>
        <w:pStyle w:val="1"/>
      </w:pPr>
      <w:r>
        <w:t xml:space="preserve">А. Бритиков</w:t>
      </w:r>
    </w:p>
    <w:bookmarkEnd w:id="26"/>
    <w:bookmarkStart w:id="27" w:name="X40dbca3bd8b5338a5b19fd65f89ecd073def099"/>
    <w:p>
      <w:pPr>
        <w:pStyle w:val="1"/>
      </w:pPr>
      <w:r>
        <w:t xml:space="preserve">Разделение экологических ниш L. Saxatilis и L. Obtusata на территории Кандалакшского заповедника на острове Ряжков</w:t>
      </w:r>
    </w:p>
    <w:p>
      <w:pPr>
        <w:pStyle w:val="FirstParagraph"/>
      </w:pPr>
      <w:r>
        <w:t xml:space="preserve"> </w:t>
      </w:r>
    </w:p>
    <w:p>
      <w:pPr>
        <w:pStyle w:val="a0"/>
      </w:pPr>
      <w:r>
        <w:t xml:space="preserve"> </w:t>
      </w:r>
    </w:p>
    <w:bookmarkEnd w:id="27"/>
    <w:bookmarkStart w:id="28" w:name="санкт-петербург"/>
    <w:p>
      <w:pPr>
        <w:pStyle w:val="1"/>
      </w:pPr>
      <w:r>
        <w:t xml:space="preserve">Санкт-Петербург</w:t>
      </w:r>
    </w:p>
    <w:bookmarkEnd w:id="28"/>
    <w:bookmarkStart w:id="29" w:name="section"/>
    <w:p>
      <w:pPr>
        <w:pStyle w:val="1"/>
      </w:pPr>
      <w:r>
        <w:t xml:space="preserve">2024</w:t>
      </w:r>
    </w:p>
    <w:p>
      <w:r>
        <w:br w:type="page"/>
      </w:r>
    </w:p>
    <w:bookmarkEnd w:id="29"/>
    <w:bookmarkStart w:id="30" w:name="введение"/>
    <w:p>
      <w:pPr>
        <w:pStyle w:val="1"/>
      </w:pPr>
      <w:r>
        <w:t xml:space="preserve">Введение</w:t>
      </w:r>
    </w:p>
    <w:p>
      <w:pPr>
        <w:pStyle w:val="FirstParagraph"/>
      </w:pPr>
      <w:r>
        <w:t xml:space="preserve">Приливно-отливные зоны, или литорали, являются местом жительства многих беспозвоночных животных (</w:t>
      </w:r>
      <w:r>
        <w:t xml:space="preserve">Stoffels, Closs, and Burns (2003)</w:t>
      </w:r>
      <w:r>
        <w:t xml:space="preserve">). Все они разделены по уровням литторали и тем или иным способом взаимодействуют друг с другом (</w:t>
      </w:r>
      <w:r>
        <w:t xml:space="preserve">Zohary and Gasith (2014)</w:t>
      </w:r>
      <w:r>
        <w:t xml:space="preserve">,</w:t>
      </w:r>
      <w:r>
        <w:t xml:space="preserve"> </w:t>
      </w:r>
      <w:r>
        <w:t xml:space="preserve">Hartog (1968)</w:t>
      </w:r>
      <w:r>
        <w:t xml:space="preserve">,</w:t>
      </w:r>
      <w:r>
        <w:t xml:space="preserve"> </w:t>
      </w:r>
      <w:r>
        <w:t xml:space="preserve">Jeppesen et al. (2002)</w:t>
      </w:r>
      <w:r>
        <w:t xml:space="preserve"> </w:t>
      </w:r>
      <w:r>
        <w:t xml:space="preserve">найти фул).</w:t>
      </w:r>
    </w:p>
    <w:p>
      <w:pPr>
        <w:pStyle w:val="a0"/>
      </w:pPr>
      <w:r>
        <w:t xml:space="preserve">Одной из наиболее распространенных групп животных обитающих на литорали являются моллюски.</w:t>
      </w:r>
    </w:p>
    <w:p>
      <w:pPr>
        <w:pStyle w:val="a0"/>
      </w:pPr>
      <w:r>
        <w:t xml:space="preserve">В данной работе изучалось пространственное распределение двух видов моллюсков: Littorina Obtusata (далее обтузата) и Littorina Saxatilis (далее саксатилис).Целью моей работы было узнать возможные причины такого пространственного распределения двух видов литторальных брюхоногих моллюсков.</w:t>
      </w:r>
    </w:p>
    <w:bookmarkEnd w:id="30"/>
    <w:bookmarkStart w:id="36" w:name="материалы-и-методика"/>
    <w:p>
      <w:pPr>
        <w:pStyle w:val="1"/>
      </w:pPr>
      <w:r>
        <w:t xml:space="preserve">Материалы и методика</w:t>
      </w:r>
    </w:p>
    <w:bookmarkStart w:id="31" w:name="место-сбора"/>
    <w:p>
      <w:pPr>
        <w:pStyle w:val="2"/>
      </w:pPr>
      <w:r>
        <w:t xml:space="preserve">Место сбора</w:t>
      </w:r>
    </w:p>
    <w:p>
      <w:pPr>
        <w:pStyle w:val="FirstParagraph"/>
      </w:pPr>
      <w:r>
        <w:t xml:space="preserve">Работа проводилась на территории Кандалакшского заповедника на острове Ряжков. Непосредственный сбор материалов происходил на илисто-песчаной литорали Южной губы (координаты точки сбора 667°00’27.2”N 32°34’34.4”E) и на литорали около скальных выходов (координаты точки сбора 67°00’27.6”N 32°35’07.5”E) (рис. +++).</w:t>
      </w:r>
    </w:p>
    <w:bookmarkEnd w:id="31"/>
    <w:bookmarkStart w:id="32" w:name="высотный-учет-моллюсков"/>
    <w:p>
      <w:pPr>
        <w:pStyle w:val="2"/>
      </w:pPr>
      <w:r>
        <w:t xml:space="preserve">Высотный учет моллюсков</w:t>
      </w:r>
    </w:p>
    <w:p>
      <w:pPr>
        <w:pStyle w:val="FirstParagraph"/>
      </w:pPr>
      <w:r>
        <w:t xml:space="preserve">По малой воде мы заложили две трансекты - колышки расположенные в одну линию через определенное расстояние. Одну мы заложили на литорали Южной губы (первая трансекта), другую на литорали у скальных выступов (вторая трансекта). На первой трансекте было сделано двенадцать разрезов, с промежутками между колышков в 5 метров, на второй - девять, с промежутком между кловышками в 10 метров, кроме трех последних, рассотяние между которыми было 5 метров.</w:t>
      </w:r>
      <w:r>
        <w:t xml:space="preserve"> </w:t>
      </w:r>
      <w:r>
        <w:t xml:space="preserve">После во время отлива используюя рамку 1/40 квадратного метра мы собирали всех моллюсков из рамки. Всего нами было измерено 81 рамка: по три рамки на один колышек на первой трансекте и по 5 рамак на каждый колышек второго разреза.</w:t>
      </w:r>
    </w:p>
    <w:bookmarkEnd w:id="32"/>
    <w:bookmarkStart w:id="33" w:name="сбор-моллюсков-для-эксперимента"/>
    <w:p>
      <w:pPr>
        <w:pStyle w:val="2"/>
      </w:pPr>
      <w:r>
        <w:t xml:space="preserve">Сбор моллюсков для эксперимента</w:t>
      </w:r>
    </w:p>
    <w:p>
      <w:pPr>
        <w:pStyle w:val="FirstParagraph"/>
      </w:pPr>
      <w:r>
        <w:t xml:space="preserve">По малой воде на литорали мы собирали моллюсков с двух поверхностей на литорали, находящейся рядом с скальными выступами: с камней и с фуккоидов. На месте мы определяли литорин до вида и складывали их в zip-пакеты. Обтузат мы определяли по округлой форме раковины, маленьким и часто расположенным продольным бороздкам на раковине и запаяным швам между завитками раковины. Саксатилис мы различали по Вытянутой раковине с более крупными и более редкими, чем у обтузат, продольными бороздами и вдавленным швам между завитками раковины. Этих уиток мы перемещали в лабораторию.</w:t>
      </w:r>
    </w:p>
    <w:bookmarkEnd w:id="33"/>
    <w:bookmarkStart w:id="34" w:name="проведение-эксперимента"/>
    <w:p>
      <w:pPr>
        <w:pStyle w:val="2"/>
      </w:pPr>
      <w:r>
        <w:t xml:space="preserve">Проведение эксперимента</w:t>
      </w:r>
    </w:p>
    <w:p>
      <w:pPr>
        <w:pStyle w:val="FirstParagraph"/>
      </w:pPr>
      <w:r>
        <w:t xml:space="preserve">В лаборатории мы доставали из zip-пакетов собранных на литорали около скальных выходов обтузат и саксатилис и улиток собранных в северо-восточной части южной губы острова Ряжков и используя бинокувляр дополнительно подтверждали видовую принадлежность. Улитки помещались в два сорокапяти луночных планшет по одиночке с мрпской водой, после чего два планшета с плотно привязанным к ним камнямипомещались на литораль, гдне находились в течении следующих суток. После мы доставали моллюсков из лунок, мерили размер их устья и считали число выделившехся вытянутых оранжевых фекалий - пеллет.</w:t>
      </w:r>
    </w:p>
    <w:p>
      <w:pPr>
        <w:pStyle w:val="a0"/>
      </w:pPr>
      <w:r>
        <w:t xml:space="preserve">Полученных</w:t>
      </w:r>
      <w:r>
        <w:t xml:space="preserve"> </w:t>
      </w:r>
      <w:r>
        <w:t xml:space="preserve">“</w:t>
      </w:r>
      <w:r>
        <w:t xml:space="preserve">голодных</w:t>
      </w:r>
      <w:r>
        <w:t xml:space="preserve">”</w:t>
      </w:r>
      <w:r>
        <w:t xml:space="preserve"> </w:t>
      </w:r>
      <w:r>
        <w:t xml:space="preserve">улиток мы поровну рассаживали в шесть экспериментальных садков (рис. +++). В три садка мы помещали камни с приблизительным диаметром пятнадцать сантиметров. В оставшиеся три садка мы помещали фуккоиды. Эти шесть садков с прикрепленными к ним грузами мы размещали на литорали оставляя их так на один день. Спустя день мы снимали садки и</w:t>
      </w:r>
      <w:r>
        <w:t xml:space="preserve"> </w:t>
      </w:r>
      <w:r>
        <w:t xml:space="preserve">“</w:t>
      </w:r>
      <w:r>
        <w:t xml:space="preserve">откормленных</w:t>
      </w:r>
      <w:r>
        <w:t xml:space="preserve">”</w:t>
      </w:r>
      <w:r>
        <w:t xml:space="preserve"> </w:t>
      </w:r>
      <w:r>
        <w:t xml:space="preserve">улиток мы размещали по одному в двух сорокапяти луночных планшетах предварительно налив в каждую лунку морскую воду. Эти планшеты с привязанным к ним грузом мы так же помещали на литораль на одни сутки, а после снимали снимали их и измеряли размер устья моллюсков и количество отложенных ими пеллет.</w:t>
      </w:r>
    </w:p>
    <w:bookmarkEnd w:id="34"/>
    <w:bookmarkStart w:id="35" w:name="статистическая-обработка"/>
    <w:p>
      <w:pPr>
        <w:pStyle w:val="2"/>
      </w:pPr>
      <w:r>
        <w:t xml:space="preserve">Статистическая обработка</w:t>
      </w:r>
    </w:p>
    <w:p>
      <w:pPr>
        <w:pStyle w:val="FirstParagraph"/>
      </w:pPr>
      <w:r>
        <w:t xml:space="preserve">В качестве зависимой переменной в статистическом анализе мы использовали тип субстрата с которого были сняты моллюски (Substrate) и тип самого моллюска (Type).Для каждой из этих переменных были построены линейные модели, отражающие связь с двумя предикторами (</w:t>
      </w:r>
      <w:r>
        <w:t xml:space="preserve">“</w:t>
      </w:r>
      <w:r>
        <w:t xml:space="preserve">Статус моллюска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Размер устья</w:t>
      </w:r>
      <w:r>
        <w:t xml:space="preserve">”</w:t>
      </w:r>
      <w:r>
        <w:t xml:space="preserve">) и их взаимодействием. На основе дисперсионного анализа полученных моделей принималось решение о статистической значимости влияния того или иного фактора. В качестве порогового значения для отвержения нулевой гипотезы использовался уровень значимости α=0,05. Все расчеты проводились с использованием функций языка статистического программирования R 4.2.2 (R Core Team, 2022).</w:t>
      </w:r>
    </w:p>
    <w:bookmarkEnd w:id="35"/>
    <w:bookmarkEnd w:id="36"/>
    <w:bookmarkStart w:id="37" w:name="результаты"/>
    <w:p>
      <w:pPr>
        <w:pStyle w:val="1"/>
      </w:pPr>
      <w:r>
        <w:t xml:space="preserve">Результаты</w:t>
      </w:r>
    </w:p>
    <w:bookmarkEnd w:id="37"/>
    <w:bookmarkStart w:id="38" w:name="обсуждение"/>
    <w:p>
      <w:pPr>
        <w:pStyle w:val="1"/>
      </w:pPr>
      <w:r>
        <w:t xml:space="preserve">Обсуждение</w:t>
      </w:r>
    </w:p>
    <w:bookmarkEnd w:id="38"/>
    <w:bookmarkStart w:id="56" w:name="выводы"/>
    <w:p>
      <w:pPr>
        <w:pStyle w:val="1"/>
      </w:pPr>
      <w:r>
        <w:t xml:space="preserve">Выводы</w:t>
      </w:r>
    </w:p>
    <w:p>
      <w:pPr>
        <w:pStyle w:val="SourceCode"/>
      </w:pPr>
      <w:r>
        <w:rPr>
          <w:rStyle w:val="VerbatimChar"/>
        </w:rPr>
        <w:t xml:space="preserve">## [1] "Date"           "Description"    "Site"           "Sampling_Level"</w:t>
      </w:r>
      <w:r>
        <w:br/>
      </w:r>
      <w:r>
        <w:rPr>
          <w:rStyle w:val="VerbatimChar"/>
        </w:rPr>
        <w:t xml:space="preserve">## [5] "Real_H"         "Sample"         "L.saxatilis"    "L.obtusata"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Britikov_2024_files/figure-docx/unnamed-chunk-1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&lt;ggproto object: Class FacetWrap, Facet, gg&gt;</w:t>
      </w:r>
      <w:r>
        <w:br/>
      </w:r>
      <w:r>
        <w:rPr>
          <w:rStyle w:val="VerbatimChar"/>
        </w:rPr>
        <w:t xml:space="preserve">##     compute_layout: function</w:t>
      </w:r>
      <w:r>
        <w:br/>
      </w:r>
      <w:r>
        <w:rPr>
          <w:rStyle w:val="VerbatimChar"/>
        </w:rPr>
        <w:t xml:space="preserve">##     draw_back: function</w:t>
      </w:r>
      <w:r>
        <w:br/>
      </w:r>
      <w:r>
        <w:rPr>
          <w:rStyle w:val="VerbatimChar"/>
        </w:rPr>
        <w:t xml:space="preserve">##     draw_front: function</w:t>
      </w:r>
      <w:r>
        <w:br/>
      </w:r>
      <w:r>
        <w:rPr>
          <w:rStyle w:val="VerbatimChar"/>
        </w:rPr>
        <w:t xml:space="preserve">##     draw_labels: function</w:t>
      </w:r>
      <w:r>
        <w:br/>
      </w:r>
      <w:r>
        <w:rPr>
          <w:rStyle w:val="VerbatimChar"/>
        </w:rPr>
        <w:t xml:space="preserve">##     draw_panels: function</w:t>
      </w:r>
      <w:r>
        <w:br/>
      </w:r>
      <w:r>
        <w:rPr>
          <w:rStyle w:val="VerbatimChar"/>
        </w:rPr>
        <w:t xml:space="preserve">##     finish_data: function</w:t>
      </w:r>
      <w:r>
        <w:br/>
      </w:r>
      <w:r>
        <w:rPr>
          <w:rStyle w:val="VerbatimChar"/>
        </w:rPr>
        <w:t xml:space="preserve">##     init_scales: function</w:t>
      </w:r>
      <w:r>
        <w:br/>
      </w:r>
      <w:r>
        <w:rPr>
          <w:rStyle w:val="VerbatimChar"/>
        </w:rPr>
        <w:t xml:space="preserve">##     map_data: function</w:t>
      </w:r>
      <w:r>
        <w:br/>
      </w:r>
      <w:r>
        <w:rPr>
          <w:rStyle w:val="VerbatimChar"/>
        </w:rPr>
        <w:t xml:space="preserve">##     params: list</w:t>
      </w:r>
      <w:r>
        <w:br/>
      </w:r>
      <w:r>
        <w:rPr>
          <w:rStyle w:val="VerbatimChar"/>
        </w:rPr>
        <w:t xml:space="preserve">##     setup_data: function</w:t>
      </w:r>
      <w:r>
        <w:br/>
      </w:r>
      <w:r>
        <w:rPr>
          <w:rStyle w:val="VerbatimChar"/>
        </w:rPr>
        <w:t xml:space="preserve">##     setup_params: function</w:t>
      </w:r>
      <w:r>
        <w:br/>
      </w:r>
      <w:r>
        <w:rPr>
          <w:rStyle w:val="VerbatimChar"/>
        </w:rPr>
        <w:t xml:space="preserve">##     shrink: TRUE</w:t>
      </w:r>
      <w:r>
        <w:br/>
      </w:r>
      <w:r>
        <w:rPr>
          <w:rStyle w:val="VerbatimChar"/>
        </w:rPr>
        <w:t xml:space="preserve">##     train_scales: function</w:t>
      </w:r>
      <w:r>
        <w:br/>
      </w:r>
      <w:r>
        <w:rPr>
          <w:rStyle w:val="VerbatimChar"/>
        </w:rPr>
        <w:t xml:space="preserve">##     vars: function</w:t>
      </w:r>
      <w:r>
        <w:br/>
      </w:r>
      <w:r>
        <w:rPr>
          <w:rStyle w:val="VerbatimChar"/>
        </w:rPr>
        <w:t xml:space="preserve">##     super:  &lt;ggproto object: Class FacetWrap, Facet, gg&gt;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Britikov_2024_files/figure-docx/unnamed-chunk-1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Britikov_2024_files/figure-docx/unnamed-chunk-2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Britikov_2024_files/figure-docx/unnamed-chunk-2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5" w:name="refs"/>
    <w:bookmarkStart w:id="51" w:name="ref-den1968littoral"/>
    <w:p>
      <w:pPr>
        <w:pStyle w:val="a8"/>
      </w:pPr>
      <w:r>
        <w:t xml:space="preserve">Hartog, Cees den. 1968.</w:t>
      </w:r>
      <w:r>
        <w:t xml:space="preserve"> </w:t>
      </w:r>
      <w:r>
        <w:t xml:space="preserve">“The Littoral Environment of Rocky Shores as a Border Between the Sea and the Land and Between the Sea and the Fresh Water.”</w:t>
      </w:r>
      <w:r>
        <w:t xml:space="preserve"> </w:t>
      </w:r>
      <w:r>
        <w:rPr>
          <w:i/>
          <w:iCs/>
        </w:rPr>
        <w:t xml:space="preserve">Blumea: Biodiversity, Evolution and Biogeography of Plants</w:t>
      </w:r>
      <w:r>
        <w:t xml:space="preserve"> </w:t>
      </w:r>
      <w:r>
        <w:t xml:space="preserve">16 (2): 375–93.</w:t>
      </w:r>
    </w:p>
    <w:bookmarkEnd w:id="51"/>
    <w:bookmarkStart w:id="52" w:name="ref-jeppesen2002cascading"/>
    <w:p>
      <w:pPr>
        <w:pStyle w:val="a8"/>
      </w:pPr>
      <w:r>
        <w:t xml:space="preserve">Jeppesen, Erik, Martin Søndergaard, Morten Søndergaard, Kirsten Christoffersen, Jon Theil-Nielsen, and Klaus Jürgens. 2002.</w:t>
      </w:r>
      <w:r>
        <w:t xml:space="preserve"> </w:t>
      </w:r>
      <w:r>
        <w:t xml:space="preserve">“Cascading Trophic Interactions in the Littoral Zone: An Enclosure Experiment in Shallow Lake Stigsholm, Denmark.”</w:t>
      </w:r>
      <w:r>
        <w:t xml:space="preserve"> </w:t>
      </w:r>
      <w:r>
        <w:rPr>
          <w:i/>
          <w:iCs/>
        </w:rPr>
        <w:t xml:space="preserve">Archiv f</w:t>
      </w:r>
      <w:r>
        <w:rPr>
          <w:i/>
          <w:iCs/>
        </w:rPr>
        <w:t xml:space="preserve">ü</w:t>
      </w:r>
      <w:r>
        <w:rPr>
          <w:i/>
          <w:iCs/>
        </w:rPr>
        <w:t xml:space="preserve">r Hydrobiologie</w:t>
      </w:r>
      <w:r>
        <w:t xml:space="preserve"> </w:t>
      </w:r>
      <w:r>
        <w:t xml:space="preserve">153 (4): 533–55.</w:t>
      </w:r>
    </w:p>
    <w:bookmarkEnd w:id="52"/>
    <w:bookmarkStart w:id="53" w:name="ref-stoffels2003"/>
    <w:p>
      <w:pPr>
        <w:pStyle w:val="a8"/>
      </w:pPr>
      <w:r>
        <w:t xml:space="preserve">Stoffels, Rick J, Gerard P Closs, and Carolyn W Burns. 2003.</w:t>
      </w:r>
      <w:r>
        <w:t xml:space="preserve"> </w:t>
      </w:r>
      <w:r>
        <w:t xml:space="preserve">“Multiple Scales and the Relationship Between Density and Spatial Aggregation in Littoral Zone Communities.”</w:t>
      </w:r>
      <w:r>
        <w:t xml:space="preserve"> </w:t>
      </w:r>
      <w:r>
        <w:rPr>
          <w:i/>
          <w:iCs/>
        </w:rPr>
        <w:t xml:space="preserve">Oikos</w:t>
      </w:r>
      <w:r>
        <w:t xml:space="preserve"> </w:t>
      </w:r>
      <w:r>
        <w:t xml:space="preserve">103 (1): 81–92.</w:t>
      </w:r>
    </w:p>
    <w:bookmarkEnd w:id="53"/>
    <w:bookmarkStart w:id="54" w:name="ref-zohary2014littoral"/>
    <w:p>
      <w:pPr>
        <w:pStyle w:val="a8"/>
      </w:pPr>
      <w:r>
        <w:t xml:space="preserve">Zohary, Tamar, and Avital Gasith. 2014.</w:t>
      </w:r>
      <w:r>
        <w:t xml:space="preserve"> </w:t>
      </w:r>
      <w:r>
        <w:t xml:space="preserve">“The Littoral Zone.”</w:t>
      </w:r>
      <w:r>
        <w:t xml:space="preserve"> </w:t>
      </w:r>
      <w:r>
        <w:rPr>
          <w:i/>
          <w:iCs/>
        </w:rPr>
        <w:t xml:space="preserve">Lake Kinneret: Ecology and Management</w:t>
      </w:r>
      <w:r>
        <w:t xml:space="preserve">, 517–32.</w:t>
      </w:r>
    </w:p>
    <w:bookmarkEnd w:id="54"/>
    <w:bookmarkEnd w:id="55"/>
    <w:bookmarkEnd w:id="56"/>
    <w:sectPr w:rsidR="00B72B85" w:rsidRPr="00584126">
      <w:pgSz w:h="15840" w:w="12240"/>
      <w:pgMar w:bottom="1134" w:footer="720" w:gutter="0" w:header="720" w:left="1701" w:right="850" w:top="1134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9AE4A2C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B4DCD06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7C681CEE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178CC75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7ACE48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7E48EEB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6CA2E6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DE442BC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A3EC8F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CA4D87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51B0406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6B"/>
    <w:rsid w:val="001704AA"/>
    <w:rsid w:val="002349FE"/>
    <w:rsid w:val="00301E6B"/>
    <w:rsid w:val="003A2761"/>
    <w:rsid w:val="004C4EF7"/>
    <w:rsid w:val="00584126"/>
    <w:rsid w:val="007B1750"/>
    <w:rsid w:val="00813075"/>
    <w:rsid w:val="00984031"/>
    <w:rsid w:val="00B203B9"/>
    <w:rsid w:val="00B72B85"/>
    <w:rsid w:val="00D212B6"/>
    <w:rsid w:val="00D52295"/>
    <w:rsid w:val="00EB1193"/>
    <w:rsid w:val="00F126BA"/>
    <w:rsid w:val="00FF79E5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7B1750"/>
    <w:pPr>
      <w:keepNext/>
      <w:keepLines/>
      <w:spacing w:after="0" w:before="480"/>
      <w:jc w:val="center"/>
      <w:outlineLvl w:val="0"/>
    </w:pPr>
    <w:rPr>
      <w:rFonts w:ascii="Times New Roman" w:cstheme="majorBidi" w:eastAsiaTheme="majorEastAsia" w:hAnsi="Times New Roman"/>
      <w:b/>
      <w:bCs/>
      <w:sz w:val="28"/>
      <w:szCs w:val="32"/>
    </w:rPr>
  </w:style>
  <w:style w:styleId="2" w:type="paragraph">
    <w:name w:val="heading 2"/>
    <w:basedOn w:val="a"/>
    <w:next w:val="a0"/>
    <w:uiPriority w:val="9"/>
    <w:unhideWhenUsed/>
    <w:qFormat/>
    <w:rsid w:val="007B1750"/>
    <w:pPr>
      <w:keepNext/>
      <w:keepLines/>
      <w:spacing w:after="0" w:before="200" w:line="360" w:lineRule="auto"/>
      <w:ind w:firstLine="851"/>
      <w:outlineLvl w:val="1"/>
    </w:pPr>
    <w:rPr>
      <w:rFonts w:ascii="Times New Roman" w:cstheme="majorBidi" w:eastAsiaTheme="majorEastAsia" w:hAnsi="Times New Roman"/>
      <w:bCs/>
      <w:i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rsid w:val="00584126"/>
    <w:pPr>
      <w:keepNext/>
      <w:keepLines/>
      <w:spacing w:after="0" w:before="200"/>
      <w:outlineLvl w:val="5"/>
    </w:pPr>
    <w:rPr>
      <w:rFonts w:ascii="Times New Roman" w:cstheme="majorBidi" w:eastAsiaTheme="majorEastAsia" w:hAnsi="Times New Roman"/>
      <w:color w:themeColor="text1" w:val="000000"/>
      <w:sz w:val="20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B1750"/>
    <w:pPr>
      <w:spacing w:after="180" w:before="180" w:line="360" w:lineRule="auto"/>
      <w:ind w:firstLine="851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a0"/>
    <w:next w:val="a0"/>
    <w:qFormat/>
    <w:rsid w:val="00D212B6"/>
  </w:style>
  <w:style w:customStyle="1" w:styleId="Compact" w:type="paragraph">
    <w:name w:val="Compact"/>
    <w:basedOn w:val="a0"/>
    <w:qFormat/>
    <w:rsid w:val="007B1750"/>
    <w:pPr>
      <w:spacing w:after="36" w:before="36"/>
      <w:ind w:firstLine="0"/>
    </w:pPr>
  </w:style>
  <w:style w:styleId="a5" w:type="paragraph">
    <w:name w:val="Title"/>
    <w:basedOn w:val="a"/>
    <w:next w:val="a0"/>
    <w:qFormat/>
    <w:rsid w:val="007B1750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b/>
      <w:bCs/>
      <w:sz w:val="28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firstLine="0"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Название объекта Знак"/>
    <w:basedOn w:val="a1"/>
    <w:link w:val="ab"/>
  </w:style>
  <w:style w:customStyle="1" w:styleId="VerbatimChar" w:type="character">
    <w:name w:val="Verbatim Char"/>
    <w:basedOn w:val="ac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af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a4" w:type="character">
    <w:name w:val="Основной текст Знак"/>
    <w:basedOn w:val="a1"/>
    <w:link w:val="a0"/>
    <w:rsid w:val="007B175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5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Влияние мидий на двигательные способности литоральных брюхоногих моллюсков</vt:lpstr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2024-12-06T17:02:07Z</dcterms:created>
  <dcterms:modified xsi:type="dcterms:W3CDTF">2024-12-06T17:02:07Z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output">
    <vt:lpwstr/>
  </property>
</Properties>
</file>