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02bf2fd33f87f55533b6013c918a3587fd6a00"/>
    <w:p>
      <w:pPr>
        <w:pStyle w:val="1"/>
      </w:pPr>
      <w:r>
        <w:t xml:space="preserve">Эколого-биологический центр</w:t>
      </w:r>
      <w:r>
        <w:t xml:space="preserve"> </w:t>
      </w:r>
      <w:r>
        <w:t xml:space="preserve">“</w:t>
      </w:r>
      <w:r>
        <w:t xml:space="preserve">Крестовский остров</w:t>
      </w:r>
      <w:r>
        <w:t xml:space="preserve">”</w:t>
      </w:r>
    </w:p>
    <w:bookmarkEnd w:id="20"/>
    <w:bookmarkStart w:id="21" w:name="лаборатория-экологии-морского-бентоса"/>
    <w:p>
      <w:pPr>
        <w:pStyle w:val="1"/>
      </w:pPr>
      <w:r>
        <w:t xml:space="preserve">Лаборатория Экологии Морского Бентоса</w:t>
      </w:r>
    </w:p>
    <w:bookmarkEnd w:id="21"/>
    <w:bookmarkStart w:id="25" w:name="гидробиологии"/>
    <w:p>
      <w:pPr>
        <w:pStyle w:val="1"/>
      </w:pPr>
      <w:r>
        <w:t xml:space="preserve">(гидробиологии)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p>
      <w:pPr>
        <w:pStyle w:val="a0"/>
      </w:pPr>
      <w:r>
        <w:drawing>
          <wp:inline>
            <wp:extent cx="2382981" cy="245687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Figures/Logotype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981" cy="2456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 </w:t>
      </w:r>
    </w:p>
    <w:bookmarkEnd w:id="25"/>
    <w:bookmarkStart w:id="26" w:name="а.-бритиков"/>
    <w:p>
      <w:pPr>
        <w:pStyle w:val="1"/>
      </w:pPr>
      <w:r>
        <w:t xml:space="preserve">А. Бритиков</w:t>
      </w:r>
    </w:p>
    <w:bookmarkEnd w:id="26"/>
    <w:bookmarkStart w:id="27" w:name="X40dbca3bd8b5338a5b19fd65f89ecd073def099"/>
    <w:p>
      <w:pPr>
        <w:pStyle w:val="1"/>
      </w:pPr>
      <w:r>
        <w:t xml:space="preserve">Разделение экологических ниш L. Saxatilis и L. Obtusata на территории Кандалакшского заповедника на острове Ряжков</w:t>
      </w:r>
    </w:p>
    <w:p>
      <w:pPr>
        <w:pStyle w:val="FirstParagraph"/>
      </w:pPr>
      <w:r>
        <w:t xml:space="preserve"> </w:t>
      </w:r>
    </w:p>
    <w:p>
      <w:pPr>
        <w:pStyle w:val="a0"/>
      </w:pPr>
      <w:r>
        <w:t xml:space="preserve"> </w:t>
      </w:r>
    </w:p>
    <w:bookmarkEnd w:id="27"/>
    <w:bookmarkStart w:id="28" w:name="санкт-петербург"/>
    <w:p>
      <w:pPr>
        <w:pStyle w:val="1"/>
      </w:pPr>
      <w:r>
        <w:t xml:space="preserve">Санкт-Петербург</w:t>
      </w:r>
    </w:p>
    <w:bookmarkEnd w:id="28"/>
    <w:bookmarkStart w:id="29" w:name="section"/>
    <w:p>
      <w:pPr>
        <w:pStyle w:val="1"/>
      </w:pPr>
      <w:r>
        <w:t xml:space="preserve">2024</w:t>
      </w:r>
    </w:p>
    <w:p>
      <w:r>
        <w:br w:type="page"/>
      </w:r>
    </w:p>
    <w:bookmarkEnd w:id="29"/>
    <w:bookmarkStart w:id="30" w:name="введение"/>
    <w:p>
      <w:pPr>
        <w:pStyle w:val="1"/>
      </w:pPr>
      <w:r>
        <w:t xml:space="preserve">Введение</w:t>
      </w:r>
    </w:p>
    <w:p>
      <w:pPr>
        <w:pStyle w:val="FirstParagraph"/>
      </w:pPr>
      <w:r>
        <w:t xml:space="preserve">Приливно-отливные зоны, или литорали, являются местом жительства многих беспозвоночных животных (</w:t>
      </w:r>
      <w:r>
        <w:t xml:space="preserve">Stoffels, Closs, and Burns (2003)</w:t>
      </w:r>
      <w:r>
        <w:t xml:space="preserve">). которые служат средой обитания для разнообразных беспозвоночных животных. В этих зонах, расположенных между отметками прилива и отлива, обитают такие виды, как моллюски, ракообразные, иглокожие и различные виды червей.(+++)</w:t>
      </w:r>
    </w:p>
    <w:p>
      <w:pPr>
        <w:pStyle w:val="a0"/>
      </w:pPr>
      <w:r>
        <w:t xml:space="preserve">Одной из наиболее распространенных групп животных обитающих на литорали являются моллюски.</w:t>
      </w:r>
    </w:p>
    <w:p>
      <w:pPr>
        <w:pStyle w:val="a0"/>
      </w:pPr>
      <w:r>
        <w:t xml:space="preserve">В данной работе изучалось пространственное распределение двух видов моллюсков: Littorina Obtusata (далее обтузата) и Littorina Saxatilis (далее саксатилис).Целью моей работы было узнать возможные причины такого пространственного распределения двух видов литторальных брюхоногих моллюсков.</w:t>
      </w:r>
    </w:p>
    <w:bookmarkEnd w:id="30"/>
    <w:bookmarkStart w:id="34" w:name="материалы-и-методика"/>
    <w:p>
      <w:pPr>
        <w:pStyle w:val="1"/>
      </w:pPr>
      <w:r>
        <w:t xml:space="preserve">Материалы и методика</w:t>
      </w:r>
    </w:p>
    <w:bookmarkStart w:id="31" w:name="сбор-материалов"/>
    <w:p>
      <w:pPr>
        <w:pStyle w:val="2"/>
      </w:pPr>
      <w:r>
        <w:t xml:space="preserve">Сбор материалов</w:t>
      </w:r>
    </w:p>
    <w:p>
      <w:pPr>
        <w:pStyle w:val="FirstParagraph"/>
      </w:pPr>
      <w:r>
        <w:t xml:space="preserve">Работа проводилась на территории Кандалакшского заповедника на острове Ряжков. Непосредственный сбор материалов происходил на илисто-песчаной литорали Южной губы (координаты точки сбора 67.008560 N, 32.571260 E).</w:t>
      </w:r>
      <w:r>
        <w:t xml:space="preserve"> </w:t>
      </w:r>
      <w:r>
        <w:t xml:space="preserve">По малой воде, мы собирали мидиевые друзы, после чего помещали их в отдельный контейнер, не содержащий воды. Помимо сбора друз в этой же точке мы собирали живых улиток, представителей двух семейств Littorinidae и Hydrobiidae. Улитки из первого семейства были представлены только Littorina saxatilis (далее этих моллюсков будем обозначать термином</w:t>
      </w:r>
      <w:r>
        <w:t xml:space="preserve"> </w:t>
      </w:r>
      <w:r>
        <w:t xml:space="preserve">“</w:t>
      </w:r>
      <w:r>
        <w:t xml:space="preserve">литторины</w:t>
      </w:r>
      <w:r>
        <w:t xml:space="preserve">”</w:t>
      </w:r>
      <w:r>
        <w:t xml:space="preserve">). Согласно исследованиям, Гафарова (2019), в месте сбора материала могут встречаться два вида, представителей второго семейства: Peringia ulvae и Ecrobia ventrosa. Поскольку идентификация этих видов без нарушения жизнедеятельности моллюсков невозможна, то мы не различали эти виды, а обозначали всех использованных в экспериментах улиток из этого семейства, как</w:t>
      </w:r>
      <w:r>
        <w:t xml:space="preserve"> </w:t>
      </w:r>
      <w:r>
        <w:t xml:space="preserve">“</w:t>
      </w:r>
      <w:r>
        <w:t xml:space="preserve">гидробии</w:t>
      </w:r>
      <w:r>
        <w:t xml:space="preserve">”</w:t>
      </w:r>
      <w:r>
        <w:t xml:space="preserve">.</w:t>
      </w:r>
      <w:r>
        <w:t xml:space="preserve"> </w:t>
      </w:r>
      <w:r>
        <w:t xml:space="preserve">Гидробий мы собирали, промывая песок через сито с размером ячеи 0.5 мм и помещая их в отдельный контейнер без воды. Литторин мы собирали с поверхности грунта после чего так же помещали их в сухой контейнер. Отсутствие воды в контейнерах, использованных для транспортировки собранных животных было необходимо, чтобы избежать преждевременного начала движения улиток. Контейнеры перемещали в лабораторию. Улитки до начала экспериментовсо держались не более 8 часов.</w:t>
      </w:r>
    </w:p>
    <w:bookmarkEnd w:id="31"/>
    <w:bookmarkStart w:id="32" w:name="проведение-эксперимента"/>
    <w:p>
      <w:pPr>
        <w:pStyle w:val="2"/>
      </w:pPr>
      <w:r>
        <w:t xml:space="preserve">Проведение эксперимента</w:t>
      </w:r>
    </w:p>
    <w:p>
      <w:pPr>
        <w:pStyle w:val="FirstParagraph"/>
      </w:pPr>
      <w:r>
        <w:t xml:space="preserve">В лаборатории мы доставали из zip-пакетов собранных на литорали около</w:t>
      </w:r>
      <w:r>
        <w:t xml:space="preserve"> </w:t>
      </w:r>
      <w:r>
        <w:t xml:space="preserve">“</w:t>
      </w:r>
      <w:r>
        <w:t xml:space="preserve">бараньих лбов</w:t>
      </w:r>
      <w:r>
        <w:t xml:space="preserve">”</w:t>
      </w:r>
      <w:r>
        <w:t xml:space="preserve"> </w:t>
      </w:r>
      <w:r>
        <w:t xml:space="preserve">обтузат и саксатилис (в дальнейшем такие моллюски будут называться</w:t>
      </w:r>
      <w:r>
        <w:t xml:space="preserve"> </w:t>
      </w:r>
      <w:r>
        <w:t xml:space="preserve">“</w:t>
      </w:r>
      <w:r>
        <w:t xml:space="preserve">дикие с камней</w:t>
      </w:r>
      <w:r>
        <w:t xml:space="preserve">”</w:t>
      </w:r>
      <w:r>
        <w:t xml:space="preserve">), и улиток собранных в северо-восточной части южной губы острова Ряжков (далее</w:t>
      </w:r>
      <w:r>
        <w:t xml:space="preserve"> </w:t>
      </w:r>
      <w:r>
        <w:t xml:space="preserve">“</w:t>
      </w:r>
      <w:r>
        <w:t xml:space="preserve">дикие с фуккоидов</w:t>
      </w:r>
      <w:r>
        <w:t xml:space="preserve">”</w:t>
      </w:r>
      <w:r>
        <w:t xml:space="preserve">). Улитки помещались в два сорокапяти луночных планшет по одиночке с мрпской водой, после чего два планшета с плотно привязанным к ним камнямипомещались на литораль, гдне находились в течении следующих суток. После мы доставали моллюсков из лунок, мерили размер их устья и считали число выделившехся вытянутых оранжевых фекалий - пеллет.</w:t>
      </w:r>
    </w:p>
    <w:p>
      <w:pPr>
        <w:pStyle w:val="a0"/>
      </w:pPr>
      <w:r>
        <w:t xml:space="preserve">Полученных</w:t>
      </w:r>
      <w:r>
        <w:t xml:space="preserve"> </w:t>
      </w:r>
      <w:r>
        <w:t xml:space="preserve">“</w:t>
      </w:r>
      <w:r>
        <w:t xml:space="preserve">голодных</w:t>
      </w:r>
      <w:r>
        <w:t xml:space="preserve">”</w:t>
      </w:r>
      <w:r>
        <w:t xml:space="preserve"> </w:t>
      </w:r>
      <w:r>
        <w:t xml:space="preserve">улиток мы поровну рассаживали в шесть экспериментальных садков (рис. +++). В три садка мы помещали камни с приблизительным диаметром пятнадцать сантиметров. В оставшиеся три садка мы помещали фуккоиды. Эти шесть садков с прикрепленными к ним грузами мы размещали на литорали оставляя их так на один день. Спустя день мы снимали садки и</w:t>
      </w:r>
      <w:r>
        <w:t xml:space="preserve"> </w:t>
      </w:r>
      <w:r>
        <w:t xml:space="preserve">“</w:t>
      </w:r>
      <w:r>
        <w:t xml:space="preserve">откормленных</w:t>
      </w:r>
      <w:r>
        <w:t xml:space="preserve">”</w:t>
      </w:r>
      <w:r>
        <w:t xml:space="preserve"> </w:t>
      </w:r>
      <w:r>
        <w:t xml:space="preserve">улиток мы размещали по одному в двух сорокапяти луночных планшетах предварительно налив в каждую лунку морскую воду. Эти планшеты с привязанным к ним грузом мы так же помещали на литораль на одни сутки, а после снимали снимали их и измеряли размер устья моллюсков и количество отложенных ими пеллет.</w:t>
      </w:r>
    </w:p>
    <w:bookmarkEnd w:id="32"/>
    <w:bookmarkStart w:id="33" w:name="статистическая-обработка"/>
    <w:p>
      <w:pPr>
        <w:pStyle w:val="2"/>
      </w:pPr>
      <w:r>
        <w:t xml:space="preserve">Статистическая обработка</w:t>
      </w:r>
    </w:p>
    <w:p>
      <w:pPr>
        <w:pStyle w:val="FirstParagraph"/>
      </w:pPr>
      <w:r>
        <w:t xml:space="preserve">В качестве зависимой переменной в статистическом анализе мы использовали тип субстрата с которого были сняты моллюски (Substrate) и тип самого моллюска (Type).Для каждой из этих переменных были построены линейные модели, отражающие связь с двумя предикторами (</w:t>
      </w:r>
      <w:r>
        <w:t xml:space="preserve">“</w:t>
      </w:r>
      <w:r>
        <w:t xml:space="preserve">Статус моллюска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Размер устья</w:t>
      </w:r>
      <w:r>
        <w:t xml:space="preserve">”</w:t>
      </w:r>
      <w:r>
        <w:t xml:space="preserve">) и их взаимодействием. На основе дисперсионного анализа полученных моделей принималось решение о статистической значимости влияния того или иного фактора. В качестве порогового значения для отвержения нулевой гипотезы использовался уровень значимости α=0,05. Все расчеты проводились с использованием функций языка статистического программирования R 4.2.2 (R Core Team, 2022).</w:t>
      </w:r>
    </w:p>
    <w:bookmarkEnd w:id="33"/>
    <w:bookmarkEnd w:id="34"/>
    <w:bookmarkStart w:id="35" w:name="результаты"/>
    <w:p>
      <w:pPr>
        <w:pStyle w:val="1"/>
      </w:pPr>
      <w:r>
        <w:t xml:space="preserve">Результаты</w:t>
      </w:r>
    </w:p>
    <w:bookmarkEnd w:id="35"/>
    <w:bookmarkStart w:id="36" w:name="обсуждение"/>
    <w:p>
      <w:pPr>
        <w:pStyle w:val="1"/>
      </w:pPr>
      <w:r>
        <w:t xml:space="preserve">Обсуждение</w:t>
      </w:r>
    </w:p>
    <w:bookmarkEnd w:id="36"/>
    <w:bookmarkStart w:id="39" w:name="выводы"/>
    <w:p>
      <w:pPr>
        <w:pStyle w:val="1"/>
      </w:pPr>
      <w:r>
        <w:t xml:space="preserve">Выводы</w:t>
      </w:r>
    </w:p>
    <w:bookmarkStart w:id="38" w:name="refs"/>
    <w:bookmarkStart w:id="37" w:name="ref-stoffels2003"/>
    <w:p>
      <w:pPr>
        <w:pStyle w:val="a8"/>
      </w:pPr>
      <w:r>
        <w:t xml:space="preserve">Stoffels, Rick J, Gerard P Closs, and Carolyn W Burns. 2003.</w:t>
      </w:r>
      <w:r>
        <w:t xml:space="preserve"> </w:t>
      </w:r>
      <w:r>
        <w:t xml:space="preserve">“Multiple Scales and the Relationship Between Density and Spatial Aggregation in Littoral Zone Communities.”</w:t>
      </w:r>
      <w:r>
        <w:t xml:space="preserve"> </w:t>
      </w:r>
      <w:r>
        <w:rPr>
          <w:iCs/>
          <w:i/>
        </w:rPr>
        <w:t xml:space="preserve">Oikos</w:t>
      </w:r>
      <w:r>
        <w:t xml:space="preserve"> </w:t>
      </w:r>
      <w:r>
        <w:t xml:space="preserve">103 (1): 81–92.</w:t>
      </w:r>
    </w:p>
    <w:bookmarkEnd w:id="37"/>
    <w:bookmarkEnd w:id="38"/>
    <w:bookmarkEnd w:id="39"/>
    <w:sectPr w:rsidR="00B72B85" w:rsidRPr="00584126">
      <w:pgSz w:h="15840" w:w="12240"/>
      <w:pgMar w:bottom="1134" w:footer="720" w:gutter="0" w:header="720" w:left="1701" w:right="850" w:top="1134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9AE4A2C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B4DCD06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7C681CE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78CC75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A7ACE48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7E48EEB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6CA2E6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DE442B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A3EC8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CA4D87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51B0406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7B1750"/>
    <w:pPr>
      <w:keepNext/>
      <w:keepLines/>
      <w:spacing w:after="0" w:before="480"/>
      <w:jc w:val="center"/>
      <w:outlineLvl w:val="0"/>
    </w:pPr>
    <w:rPr>
      <w:rFonts w:ascii="Times New Roman" w:cstheme="majorBidi" w:eastAsiaTheme="majorEastAsia" w:hAnsi="Times New Roman"/>
      <w:b/>
      <w:bCs/>
      <w:sz w:val="28"/>
      <w:szCs w:val="32"/>
    </w:rPr>
  </w:style>
  <w:style w:styleId="2" w:type="paragraph">
    <w:name w:val="heading 2"/>
    <w:basedOn w:val="a"/>
    <w:next w:val="a0"/>
    <w:uiPriority w:val="9"/>
    <w:unhideWhenUsed/>
    <w:qFormat/>
    <w:rsid w:val="007B1750"/>
    <w:pPr>
      <w:keepNext/>
      <w:keepLines/>
      <w:spacing w:after="0" w:before="200" w:line="360" w:lineRule="auto"/>
      <w:ind w:firstLine="851"/>
      <w:outlineLvl w:val="1"/>
    </w:pPr>
    <w:rPr>
      <w:rFonts w:ascii="Times New Roman" w:cstheme="majorBidi" w:eastAsiaTheme="majorEastAsia" w:hAnsi="Times New Roman"/>
      <w:bCs/>
      <w:i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rsid w:val="00584126"/>
    <w:pPr>
      <w:keepNext/>
      <w:keepLines/>
      <w:spacing w:after="0" w:before="200"/>
      <w:outlineLvl w:val="5"/>
    </w:pPr>
    <w:rPr>
      <w:rFonts w:ascii="Times New Roman" w:cstheme="majorBidi" w:eastAsiaTheme="majorEastAsia" w:hAnsi="Times New Roman"/>
      <w:color w:themeColor="text1" w:val="000000"/>
      <w:sz w:val="20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B1750"/>
    <w:pPr>
      <w:spacing w:after="180" w:before="180" w:line="360" w:lineRule="auto"/>
      <w:ind w:firstLine="851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a0"/>
    <w:next w:val="a0"/>
    <w:qFormat/>
    <w:rsid w:val="00D212B6"/>
  </w:style>
  <w:style w:customStyle="1" w:styleId="Compact" w:type="paragraph">
    <w:name w:val="Compact"/>
    <w:basedOn w:val="a0"/>
    <w:qFormat/>
    <w:rsid w:val="007B1750"/>
    <w:pPr>
      <w:spacing w:after="36" w:before="36"/>
      <w:ind w:firstLine="0"/>
    </w:pPr>
  </w:style>
  <w:style w:styleId="a5" w:type="paragraph">
    <w:name w:val="Title"/>
    <w:basedOn w:val="a"/>
    <w:next w:val="a0"/>
    <w:qFormat/>
    <w:rsid w:val="007B1750"/>
    <w:pPr>
      <w:keepNext/>
      <w:keepLines/>
      <w:spacing w:after="240" w:before="480"/>
      <w:jc w:val="center"/>
    </w:pPr>
    <w:rPr>
      <w:rFonts w:ascii="Times New Roman" w:cstheme="majorBidi" w:eastAsiaTheme="majorEastAsia" w:hAnsi="Times New Roman"/>
      <w:b/>
      <w:bCs/>
      <w:sz w:val="28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pPr>
      <w:keepNext/>
      <w:keepLines/>
      <w:jc w:val="center"/>
    </w:p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Название объекта Знак"/>
    <w:basedOn w:val="a1"/>
    <w:link w:val="ab"/>
  </w:style>
  <w:style w:customStyle="1" w:styleId="VerbatimChar" w:type="character">
    <w:name w:val="Verbatim Char"/>
    <w:basedOn w:val="ac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af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a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a4" w:type="character">
    <w:name w:val="Основной текст Знак"/>
    <w:basedOn w:val="a1"/>
    <w:link w:val="a0"/>
    <w:rsid w:val="007B175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5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Влияние мидий на двигательные способности литоральных брюхоногих моллюсков</vt:lpstr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2024-11-15T16:16:58Z</dcterms:created>
  <dcterms:modified xsi:type="dcterms:W3CDTF">2024-11-15T16:16:58Z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bibliography.bib</vt:lpwstr>
  </property>
  <property fmtid="{D5CDD505-2E9C-101B-9397-08002B2CF9AE}" pid="3" name="output">
    <vt:lpwstr/>
  </property>
</Properties>
</file>