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C3706">
      <w:pPr>
        <w:pStyle w:val="20"/>
        <w:rPr>
          <w:lang w:val="ru-RU"/>
        </w:rPr>
      </w:pPr>
      <w:r>
        <w:rPr>
          <w:lang w:val="ru-RU"/>
        </w:rPr>
        <w:t>Влияние мидий на двигательные способности литоральных брюхоногих моллюсков</w:t>
      </w:r>
    </w:p>
    <w:p w14:paraId="3C3867E5">
      <w:pPr>
        <w:pStyle w:val="2"/>
        <w:rPr>
          <w:lang w:val="ru-RU"/>
        </w:rPr>
      </w:pPr>
      <w:bookmarkStart w:id="0" w:name="введение"/>
      <w:r>
        <w:rPr>
          <w:lang w:val="ru-RU"/>
        </w:rPr>
        <w:t>Введение</w:t>
      </w:r>
    </w:p>
    <w:p w14:paraId="42BF9AAC">
      <w:pPr>
        <w:pStyle w:val="3"/>
        <w:rPr>
          <w:lang w:val="ru-RU"/>
        </w:rPr>
      </w:pPr>
      <w:r>
        <w:rPr>
          <w:lang w:val="ru-RU"/>
        </w:rPr>
        <w:t>Мидиевые скопление соединенных между собой биссусными нитями, так же известным как друзы, являются консорцием с ярко выраженными топическими связями (Варигин 2018). Топические связи характеризуются тем, что один организм-детерминант изменяет внешнюю среду в худшую или в лучшую сторону для другого организма-консортанта (Беклемишев 1951). Консортантами в этих связях, могут выступать различные беспозвоночные организмы такие как полихеты трубкостроители, ракообразные, олигохеты (</w:t>
      </w:r>
      <w:r>
        <w:t>Tsuchiya</w:t>
      </w:r>
      <w:r>
        <w:rPr>
          <w:lang w:val="ru-RU"/>
        </w:rPr>
        <w:t xml:space="preserve"> &amp; </w:t>
      </w:r>
      <w:r>
        <w:t>Nishihira</w:t>
      </w:r>
      <w:r>
        <w:rPr>
          <w:lang w:val="ru-RU"/>
        </w:rPr>
        <w:t xml:space="preserve"> 1986, </w:t>
      </w:r>
      <w:r>
        <w:t>Dittmann</w:t>
      </w:r>
      <w:r>
        <w:rPr>
          <w:lang w:val="ru-RU"/>
        </w:rPr>
        <w:t xml:space="preserve"> 1990, Хайтов </w:t>
      </w:r>
      <w:r>
        <w:t>et</w:t>
      </w:r>
      <w:r>
        <w:rPr>
          <w:lang w:val="ru-RU"/>
        </w:rPr>
        <w:t xml:space="preserve"> </w:t>
      </w:r>
      <w:r>
        <w:t>al</w:t>
      </w:r>
      <w:r>
        <w:rPr>
          <w:lang w:val="ru-RU"/>
        </w:rPr>
        <w:t>. 2007). Консортантов в подобных связях может привлекать предоставляемые им детерминаторами убежище от своих естественных врагов, создаваемый субстрат и пища. (Турмухаметова &amp; Пайдышева 2011, Кособокова &amp; Морозова 2016). Мидии являясь активными биоседиментаторами (</w:t>
      </w:r>
      <w:r>
        <w:t>Tsuchiya</w:t>
      </w:r>
      <w:r>
        <w:rPr>
          <w:lang w:val="ru-RU"/>
        </w:rPr>
        <w:t xml:space="preserve"> &amp; </w:t>
      </w:r>
      <w:r>
        <w:t>Nishihira</w:t>
      </w:r>
      <w:r>
        <w:rPr>
          <w:lang w:val="ru-RU"/>
        </w:rPr>
        <w:t xml:space="preserve"> 1986) способствуют накоплению в друзах осадка, который может привлекать консортантов.</w:t>
      </w:r>
    </w:p>
    <w:p w14:paraId="745FAC60">
      <w:pPr>
        <w:pStyle w:val="3"/>
        <w:rPr>
          <w:lang w:val="ru-RU"/>
        </w:rPr>
      </w:pPr>
      <w:r>
        <w:rPr>
          <w:lang w:val="ru-RU"/>
        </w:rPr>
        <w:t xml:space="preserve">Одними из наиболее многочисленных форм, населяющих скопления мидий, оказываются брюхоногие моллюски (представители семейства </w:t>
      </w:r>
      <w:r>
        <w:rPr>
          <w:i/>
          <w:iCs/>
        </w:rPr>
        <w:t>Littorinidae</w:t>
      </w:r>
      <w:r>
        <w:rPr>
          <w:lang w:val="ru-RU"/>
        </w:rPr>
        <w:t xml:space="preserve"> и </w:t>
      </w:r>
      <w:r>
        <w:rPr>
          <w:i/>
          <w:iCs/>
        </w:rPr>
        <w:t>Hydrobiidae</w:t>
      </w:r>
      <w:r>
        <w:rPr>
          <w:lang w:val="ru-RU"/>
        </w:rPr>
        <w:t xml:space="preserve">). В работе Хайтов &amp; Артемьева (2004) было показано, что в мидиевых друзах количество мертвых улиток значительно превышает их обилие за пределами скопления мидий. Авторы предположили, что моллюски привлеченные обилием детрита, попав в друзу испытывают на себе негативное воздействие из-за чего умирают и их раковины накапливаются в друзах. Однако прямых доказатеьств в пользу этой гипотезы не было найденно. В работе Кириллова (2016) изучался выбор субстрата брюхоногими моллюсками </w:t>
      </w:r>
      <w:r>
        <w:rPr>
          <w:i/>
          <w:iCs/>
        </w:rPr>
        <w:t>Littorina</w:t>
      </w:r>
      <w:r>
        <w:rPr>
          <w:lang w:val="ru-RU"/>
        </w:rPr>
        <w:t xml:space="preserve"> и </w:t>
      </w:r>
      <w:r>
        <w:rPr>
          <w:i/>
          <w:iCs/>
        </w:rPr>
        <w:t>Hydrobia</w:t>
      </w:r>
      <w:r>
        <w:rPr>
          <w:lang w:val="ru-RU"/>
        </w:rPr>
        <w:t>. В этой работе было показано, что гидробии больше тяготеют к мидиям, как к биологически активному субстрату, в то время как литторин привлекала твердая поверхность, как таковая (раковины мертвых мидий), при этом улитки избегли скоплений живых мидий.</w:t>
      </w:r>
      <w:bookmarkEnd w:id="0"/>
    </w:p>
    <w:p w14:paraId="41A04F0B">
      <w:pPr>
        <w:pStyle w:val="3"/>
        <w:rPr>
          <w:lang w:val="ru-RU"/>
        </w:rPr>
      </w:pPr>
    </w:p>
    <w:tbl>
      <w:tblPr>
        <w:tblStyle w:val="29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0"/>
        <w:gridCol w:w="3221"/>
        <w:gridCol w:w="886"/>
        <w:gridCol w:w="886"/>
        <w:gridCol w:w="886"/>
        <w:gridCol w:w="886"/>
      </w:tblGrid>
      <w:tr w14:paraId="6D4623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48DE11B4">
            <w:pPr>
              <w:pStyle w:val="25"/>
              <w:jc w:val="left"/>
            </w:pPr>
            <w:r>
              <w:t>Источник варьирования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50988409">
            <w:pPr>
              <w:pStyle w:val="25"/>
              <w:jc w:val="right"/>
            </w:pPr>
            <w:r>
              <w:t>Число степеней свободы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1403A302">
            <w:pPr>
              <w:pStyle w:val="25"/>
              <w:jc w:val="right"/>
            </w:pPr>
            <w:r>
              <w:t>SS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03C7658F">
            <w:pPr>
              <w:pStyle w:val="25"/>
              <w:jc w:val="right"/>
            </w:pPr>
            <w:r>
              <w:t>MS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6C5A7C90">
            <w:pPr>
              <w:pStyle w:val="25"/>
              <w:jc w:val="right"/>
            </w:pPr>
            <w:r>
              <w:t>F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 w14:paraId="63242C1C">
            <w:pPr>
              <w:pStyle w:val="25"/>
              <w:jc w:val="right"/>
            </w:pPr>
            <w:r>
              <w:t>p</w:t>
            </w:r>
          </w:p>
        </w:tc>
      </w:tr>
      <w:tr w14:paraId="6A9D73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12C81FE">
            <w:pPr>
              <w:pStyle w:val="25"/>
              <w:jc w:val="left"/>
            </w:pPr>
            <w:r>
              <w:t>Размер устья</w:t>
            </w:r>
          </w:p>
        </w:tc>
        <w:tc>
          <w:tcPr>
            <w:tcW w:w="0" w:type="auto"/>
          </w:tcPr>
          <w:p w14:paraId="58B777D4">
            <w:pPr>
              <w:pStyle w:val="25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4E8E95A">
            <w:pPr>
              <w:pStyle w:val="25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44A9057F">
            <w:pPr>
              <w:pStyle w:val="25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0EF563C1">
            <w:pPr>
              <w:pStyle w:val="25"/>
              <w:jc w:val="right"/>
            </w:pPr>
            <w:r>
              <w:t>4.252</w:t>
            </w:r>
          </w:p>
        </w:tc>
        <w:tc>
          <w:tcPr>
            <w:tcW w:w="0" w:type="auto"/>
          </w:tcPr>
          <w:p w14:paraId="2E87CED4">
            <w:pPr>
              <w:pStyle w:val="25"/>
              <w:jc w:val="right"/>
            </w:pPr>
            <w:r>
              <w:t>0.042</w:t>
            </w:r>
          </w:p>
        </w:tc>
      </w:tr>
      <w:tr w14:paraId="36902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E3FC6A">
            <w:pPr>
              <w:pStyle w:val="25"/>
              <w:jc w:val="left"/>
            </w:pPr>
            <w:r>
              <w:t>Статус</w:t>
            </w:r>
          </w:p>
        </w:tc>
        <w:tc>
          <w:tcPr>
            <w:tcW w:w="0" w:type="auto"/>
          </w:tcPr>
          <w:p w14:paraId="2C991095">
            <w:pPr>
              <w:pStyle w:val="25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5FCA6C1">
            <w:pPr>
              <w:pStyle w:val="25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3264C1FF">
            <w:pPr>
              <w:pStyle w:val="25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41082807">
            <w:pPr>
              <w:pStyle w:val="25"/>
              <w:jc w:val="right"/>
            </w:pPr>
            <w:r>
              <w:t>1.203</w:t>
            </w:r>
          </w:p>
        </w:tc>
        <w:tc>
          <w:tcPr>
            <w:tcW w:w="0" w:type="auto"/>
          </w:tcPr>
          <w:p w14:paraId="0C6DDB8C">
            <w:pPr>
              <w:pStyle w:val="25"/>
              <w:jc w:val="right"/>
            </w:pPr>
            <w:r>
              <w:t>0.276</w:t>
            </w:r>
          </w:p>
        </w:tc>
      </w:tr>
      <w:tr w14:paraId="63E5AB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D6520D0">
            <w:pPr>
              <w:pStyle w:val="25"/>
              <w:jc w:val="left"/>
            </w:pPr>
            <w:r>
              <w:t>Размер устья : Статус</w:t>
            </w:r>
          </w:p>
        </w:tc>
        <w:tc>
          <w:tcPr>
            <w:tcW w:w="0" w:type="auto"/>
          </w:tcPr>
          <w:p w14:paraId="4A816171">
            <w:pPr>
              <w:pStyle w:val="25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7D8C6DF9">
            <w:pPr>
              <w:pStyle w:val="25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148FD64A">
            <w:pPr>
              <w:pStyle w:val="25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62A4951C">
            <w:pPr>
              <w:pStyle w:val="25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0911EB87">
            <w:pPr>
              <w:pStyle w:val="25"/>
              <w:jc w:val="right"/>
            </w:pPr>
            <w:r>
              <w:t>0.902</w:t>
            </w:r>
          </w:p>
        </w:tc>
      </w:tr>
      <w:tr w14:paraId="1F9745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1B1EF56">
            <w:pPr>
              <w:pStyle w:val="25"/>
              <w:jc w:val="left"/>
            </w:pPr>
            <w:r>
              <w:t>Остатки</w:t>
            </w:r>
          </w:p>
        </w:tc>
        <w:tc>
          <w:tcPr>
            <w:tcW w:w="0" w:type="auto"/>
          </w:tcPr>
          <w:p w14:paraId="3FCDFD4B">
            <w:pPr>
              <w:pStyle w:val="25"/>
              <w:jc w:val="right"/>
            </w:pPr>
            <w:r>
              <w:t>85</w:t>
            </w:r>
          </w:p>
        </w:tc>
        <w:tc>
          <w:tcPr>
            <w:tcW w:w="0" w:type="auto"/>
          </w:tcPr>
          <w:p w14:paraId="421B3C7C">
            <w:pPr>
              <w:pStyle w:val="25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791D0A94">
            <w:pPr>
              <w:pStyle w:val="25"/>
              <w:jc w:val="right"/>
            </w:pPr>
            <w:r>
              <w:t>0.001</w:t>
            </w:r>
          </w:p>
        </w:tc>
        <w:tc>
          <w:tcPr>
            <w:tcW w:w="0" w:type="auto"/>
          </w:tcPr>
          <w:p w14:paraId="0DD37C82">
            <w:pPr>
              <w:pStyle w:val="25"/>
            </w:pPr>
          </w:p>
        </w:tc>
        <w:tc>
          <w:tcPr>
            <w:tcW w:w="0" w:type="auto"/>
          </w:tcPr>
          <w:p w14:paraId="5E68DECB">
            <w:pPr>
              <w:pStyle w:val="25"/>
            </w:pPr>
          </w:p>
        </w:tc>
      </w:tr>
    </w:tbl>
    <w:p w14:paraId="54258229">
      <w:pPr>
        <w:pStyle w:val="4"/>
        <w:rPr>
          <w:lang w:val="ru-RU"/>
        </w:rPr>
      </w:pPr>
      <w:r>
        <w:rPr>
          <w:lang w:val="ru-RU"/>
        </w:rPr>
        <w:t>Сбор материалов</w:t>
      </w:r>
    </w:p>
    <w:p w14:paraId="4ABC7B34">
      <w:pPr>
        <w:pStyle w:val="8"/>
        <w:rPr>
          <w:lang w:val="ru-RU"/>
        </w:rPr>
      </w:pPr>
      <w:bookmarkStart w:id="1" w:name="X059c8319f159215d06717a29c7a1fa2ba292957"/>
      <w:r>
        <w:rPr>
          <w:lang w:val="ru-RU"/>
        </w:rPr>
        <w:t>В работе анализировались влияние мидий на двигательную активность литоральных брюхоногих моллюсков за счет прикрепления к ним биссусных нитей. Были поставлены следующие вопросы: 1. влияет ли прикрепление биссусных нитей на скорость передвижения у гидробий и литторин? 2. влияет ли прикрепление биссусных нитей на вариабельность продвижения у этих двух видов? 3. влияет ли прикрепление биссусных нитей на время подготовки к движению моллюсков? Было показано, что у литторин, подвергшиеся прикреплению биссусом уходило больше времени, чтобы начать движение, их скорость была значимо ниже, а движение более направленно, чем у свободных. У гидробий значимых связей статуса со скоростью передвижения, с вариабельностью продвижения и с временем подготовки к движению не было выявлено.</w:t>
      </w:r>
    </w:p>
    <w:bookmarkEnd w:id="1"/>
    <w:p w14:paraId="244B4DC9">
      <w:pPr>
        <w:pStyle w:val="3"/>
        <w:rPr>
          <w:lang w:val="ru-RU"/>
        </w:rPr>
      </w:pPr>
    </w:p>
    <w:p w14:paraId="6A720A66">
      <w:pPr>
        <w:pStyle w:val="3"/>
        <w:rPr>
          <w:lang w:val="ru-RU"/>
        </w:rPr>
      </w:pPr>
    </w:p>
    <w:p w14:paraId="167B6291">
      <w:pPr>
        <w:pStyle w:val="28"/>
        <w:jc w:val="both"/>
      </w:pPr>
      <w:bookmarkStart w:id="2" w:name="ref-WoRMS20250114"/>
      <w:r>
        <w:t xml:space="preserve">Ahyong, S., C. B. Boyko, J. Bernot, S. N. Brandão, M. Daly, S. De Grave, N. J. de Voogd, et al. 2025. “World Register of </w:t>
      </w:r>
      <w:bookmarkStart w:id="4" w:name="_GoBack"/>
      <w:bookmarkEnd w:id="4"/>
      <w:r>
        <w:t xml:space="preserve">Marine Species (WoRMS).” WoRMS Editorial Board. </w:t>
      </w:r>
      <w:r>
        <w:fldChar w:fldCharType="begin"/>
      </w:r>
      <w:r>
        <w:instrText xml:space="preserve"> HYPERLINK "https://www.marinespecies.org" \h </w:instrText>
      </w:r>
      <w:r>
        <w:fldChar w:fldCharType="separate"/>
      </w:r>
      <w:r>
        <w:rPr>
          <w:rStyle w:val="17"/>
        </w:rPr>
        <w:t>https://www.marinespecies.org</w:t>
      </w:r>
      <w:r>
        <w:rPr>
          <w:rStyle w:val="17"/>
        </w:rPr>
        <w:fldChar w:fldCharType="end"/>
      </w:r>
      <w:r>
        <w:t>.</w:t>
      </w:r>
    </w:p>
    <w:bookmarkEnd w:id="2"/>
    <w:p w14:paraId="62E7DB7D">
      <w:pPr>
        <w:pStyle w:val="28"/>
        <w:jc w:val="both"/>
        <w:rPr>
          <w:lang w:val="ru-RU"/>
        </w:rPr>
      </w:pPr>
      <w:bookmarkStart w:id="3" w:name="ref-cooper2024ecological"/>
      <w:r>
        <w:t xml:space="preserve">Cooper, Jacob C. 2024. “Ecological Niche Divergence or Ecological Niche Partitioning in a Widespread Neotropical Bird Lineage.” </w:t>
      </w:r>
      <w:r>
        <w:rPr>
          <w:i/>
          <w:iCs/>
        </w:rPr>
        <w:t>PeerJ</w:t>
      </w:r>
      <w:r>
        <w:t xml:space="preserve"> 12: e17345.</w:t>
      </w:r>
      <w:bookmarkEnd w:id="3"/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6B"/>
    <w:rsid w:val="001704AA"/>
    <w:rsid w:val="002349FE"/>
    <w:rsid w:val="00301E6B"/>
    <w:rsid w:val="003A2761"/>
    <w:rsid w:val="004C4EF7"/>
    <w:rsid w:val="00584126"/>
    <w:rsid w:val="007B1750"/>
    <w:rsid w:val="00813075"/>
    <w:rsid w:val="00984031"/>
    <w:rsid w:val="00B203B9"/>
    <w:rsid w:val="00B72B85"/>
    <w:rsid w:val="00D212B6"/>
    <w:rsid w:val="00D52295"/>
    <w:rsid w:val="00EB1193"/>
    <w:rsid w:val="00F126BA"/>
    <w:rsid w:val="00FF79E5"/>
    <w:rsid w:val="5D07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jc w:val="center"/>
      <w:outlineLvl w:val="0"/>
    </w:pPr>
    <w:rPr>
      <w:rFonts w:ascii="Times New Roman" w:hAnsi="Times New Roman" w:eastAsiaTheme="majorEastAsia" w:cstheme="majorBidi"/>
      <w:b/>
      <w:bCs/>
      <w:sz w:val="28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 w:line="360" w:lineRule="auto"/>
      <w:ind w:firstLine="851"/>
      <w:outlineLvl w:val="1"/>
    </w:pPr>
    <w:rPr>
      <w:rFonts w:ascii="Times New Roman" w:hAnsi="Times New Roman" w:eastAsiaTheme="majorEastAsia" w:cstheme="majorBidi"/>
      <w:bCs/>
      <w:i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="Times New Roman" w:hAnsi="Times New Roman" w:eastAsiaTheme="majorEastAsia" w:cstheme="majorBidi"/>
      <w:color w:val="000000" w:themeColor="text1"/>
      <w:sz w:val="20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0"/>
    <w:qFormat/>
    <w:uiPriority w:val="0"/>
    <w:pPr>
      <w:spacing w:before="180" w:after="180" w:line="360" w:lineRule="auto"/>
      <w:ind w:firstLine="851"/>
      <w:jc w:val="both"/>
    </w:pPr>
    <w:rPr>
      <w:rFonts w:ascii="Times New Roman" w:hAnsi="Times New Roman"/>
    </w:rPr>
  </w:style>
  <w:style w:type="character" w:styleId="14">
    <w:name w:val="footnote reference"/>
    <w:basedOn w:val="15"/>
    <w:uiPriority w:val="0"/>
    <w:rPr>
      <w:vertAlign w:val="superscript"/>
    </w:rPr>
  </w:style>
  <w:style w:type="character" w:customStyle="1" w:styleId="15">
    <w:name w:val="Название объекта Знак"/>
    <w:basedOn w:val="12"/>
    <w:link w:val="16"/>
    <w:uiPriority w:val="0"/>
  </w:style>
  <w:style w:type="paragraph" w:styleId="16">
    <w:name w:val="caption"/>
    <w:basedOn w:val="1"/>
    <w:link w:val="15"/>
    <w:uiPriority w:val="0"/>
    <w:pPr>
      <w:spacing w:after="120"/>
    </w:pPr>
    <w:rPr>
      <w:i/>
    </w:rPr>
  </w:style>
  <w:style w:type="character" w:styleId="17">
    <w:name w:val="Hyperlink"/>
    <w:basedOn w:val="15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Theme="majorEastAsia" w:cstheme="majorBidi"/>
      <w:b/>
      <w:bCs/>
      <w:sz w:val="28"/>
      <w:szCs w:val="36"/>
    </w:rPr>
  </w:style>
  <w:style w:type="paragraph" w:styleId="21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Image Caption"/>
    <w:basedOn w:val="16"/>
    <w:uiPriority w:val="0"/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  <w:ind w:firstLine="0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  <w:pPr>
      <w:spacing w:line="360" w:lineRule="auto"/>
      <w:ind w:firstLine="562" w:firstLineChars="200"/>
      <w:jc w:val="both"/>
    </w:pPr>
    <w:rPr>
      <w:rFonts w:asciiTheme="minorAscii" w:hAnsiTheme="minorAscii" w:eastAsiaTheme="minorEastAsia"/>
    </w:rPr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6"/>
    <w:uiPriority w:val="0"/>
    <w:pPr>
      <w:keepNext/>
    </w:pPr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5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color="auto" w:fill="F8F8F8"/>
      <w:wordWrap w:val="0"/>
    </w:pPr>
  </w:style>
  <w:style w:type="character" w:customStyle="1" w:styleId="37">
    <w:name w:val="Section Number"/>
    <w:basedOn w:val="15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40">
    <w:name w:val="DataTypeTok"/>
    <w:basedOn w:val="35"/>
    <w:uiPriority w:val="0"/>
    <w:rPr>
      <w:rFonts w:ascii="Consolas" w:hAnsi="Consolas"/>
      <w:color w:val="204A87"/>
      <w:sz w:val="22"/>
      <w:shd w:val="clear" w:color="auto" w:fill="F8F8F8"/>
    </w:rPr>
  </w:style>
  <w:style w:type="character" w:customStyle="1" w:styleId="41">
    <w:name w:val="DecValTok"/>
    <w:basedOn w:val="35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2">
    <w:name w:val="BaseNTok"/>
    <w:basedOn w:val="35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3">
    <w:name w:val="FloatTok"/>
    <w:basedOn w:val="35"/>
    <w:uiPriority w:val="0"/>
    <w:rPr>
      <w:rFonts w:ascii="Consolas" w:hAnsi="Consolas"/>
      <w:color w:val="0000CF"/>
      <w:sz w:val="22"/>
      <w:shd w:val="clear" w:color="auto" w:fill="F8F8F8"/>
    </w:rPr>
  </w:style>
  <w:style w:type="character" w:customStyle="1" w:styleId="44">
    <w:name w:val="ConstantTok"/>
    <w:basedOn w:val="35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5">
    <w:name w:val="CharTok"/>
    <w:basedOn w:val="35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6">
    <w:name w:val="SpecialCharTok"/>
    <w:basedOn w:val="35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47">
    <w:name w:val="StringTok"/>
    <w:basedOn w:val="35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8">
    <w:name w:val="VerbatimStringTok"/>
    <w:basedOn w:val="35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49">
    <w:name w:val="SpecialStringTok"/>
    <w:basedOn w:val="35"/>
    <w:uiPriority w:val="0"/>
    <w:rPr>
      <w:rFonts w:ascii="Consolas" w:hAnsi="Consolas"/>
      <w:color w:val="4E9A06"/>
      <w:sz w:val="22"/>
      <w:shd w:val="clear" w:color="auto" w:fill="F8F8F8"/>
    </w:rPr>
  </w:style>
  <w:style w:type="character" w:customStyle="1" w:styleId="50">
    <w:name w:val="ImportTok"/>
    <w:basedOn w:val="35"/>
    <w:uiPriority w:val="0"/>
    <w:rPr>
      <w:rFonts w:ascii="Consolas" w:hAnsi="Consolas"/>
      <w:sz w:val="22"/>
      <w:shd w:val="clear" w:color="auto" w:fill="F8F8F8"/>
    </w:rPr>
  </w:style>
  <w:style w:type="character" w:customStyle="1" w:styleId="51">
    <w:name w:val="CommentTok"/>
    <w:basedOn w:val="35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52">
    <w:name w:val="DocumentationTok"/>
    <w:basedOn w:val="35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3">
    <w:name w:val="AnnotationTok"/>
    <w:basedOn w:val="35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4">
    <w:name w:val="CommentVarTok"/>
    <w:basedOn w:val="35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55">
    <w:name w:val="OtherTok"/>
    <w:basedOn w:val="35"/>
    <w:uiPriority w:val="0"/>
    <w:rPr>
      <w:rFonts w:ascii="Consolas" w:hAnsi="Consolas"/>
      <w:color w:val="8F5902"/>
      <w:sz w:val="22"/>
      <w:shd w:val="clear" w:color="auto" w:fill="F8F8F8"/>
    </w:rPr>
  </w:style>
  <w:style w:type="character" w:customStyle="1" w:styleId="56">
    <w:name w:val="FunctionTok"/>
    <w:basedOn w:val="35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7">
    <w:name w:val="VariableTok"/>
    <w:basedOn w:val="35"/>
    <w:uiPriority w:val="0"/>
    <w:rPr>
      <w:rFonts w:ascii="Consolas" w:hAnsi="Consolas"/>
      <w:color w:val="000000"/>
      <w:sz w:val="22"/>
      <w:shd w:val="clear" w:color="auto" w:fill="F8F8F8"/>
    </w:rPr>
  </w:style>
  <w:style w:type="character" w:customStyle="1" w:styleId="58">
    <w:name w:val="ControlFlowTok"/>
    <w:basedOn w:val="35"/>
    <w:uiPriority w:val="0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59">
    <w:name w:val="OperatorTok"/>
    <w:basedOn w:val="35"/>
    <w:uiPriority w:val="0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60">
    <w:name w:val="BuiltInTok"/>
    <w:basedOn w:val="35"/>
    <w:uiPriority w:val="0"/>
    <w:rPr>
      <w:rFonts w:ascii="Consolas" w:hAnsi="Consolas"/>
      <w:sz w:val="22"/>
      <w:shd w:val="clear" w:color="auto" w:fill="F8F8F8"/>
    </w:rPr>
  </w:style>
  <w:style w:type="character" w:customStyle="1" w:styleId="61">
    <w:name w:val="ExtensionTok"/>
    <w:basedOn w:val="35"/>
    <w:uiPriority w:val="0"/>
    <w:rPr>
      <w:rFonts w:ascii="Consolas" w:hAnsi="Consolas"/>
      <w:sz w:val="22"/>
      <w:shd w:val="clear" w:color="auto" w:fill="F8F8F8"/>
    </w:rPr>
  </w:style>
  <w:style w:type="character" w:customStyle="1" w:styleId="62">
    <w:name w:val="PreprocessorTok"/>
    <w:basedOn w:val="35"/>
    <w:uiPriority w:val="0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63">
    <w:name w:val="AttributeTok"/>
    <w:basedOn w:val="35"/>
    <w:uiPriority w:val="0"/>
    <w:rPr>
      <w:rFonts w:ascii="Consolas" w:hAnsi="Consolas"/>
      <w:color w:val="C4A000"/>
      <w:sz w:val="22"/>
      <w:shd w:val="clear" w:color="auto" w:fill="F8F8F8"/>
    </w:rPr>
  </w:style>
  <w:style w:type="character" w:customStyle="1" w:styleId="64">
    <w:name w:val="RegionMarkerTok"/>
    <w:basedOn w:val="35"/>
    <w:uiPriority w:val="0"/>
    <w:rPr>
      <w:rFonts w:ascii="Consolas" w:hAnsi="Consolas"/>
      <w:sz w:val="22"/>
      <w:shd w:val="clear" w:color="auto" w:fill="F8F8F8"/>
    </w:rPr>
  </w:style>
  <w:style w:type="character" w:customStyle="1" w:styleId="65">
    <w:name w:val="InformationTok"/>
    <w:basedOn w:val="35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6">
    <w:name w:val="WarningTok"/>
    <w:basedOn w:val="35"/>
    <w:uiPriority w:val="0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67">
    <w:name w:val="AlertTok"/>
    <w:basedOn w:val="35"/>
    <w:uiPriority w:val="0"/>
    <w:rPr>
      <w:rFonts w:ascii="Consolas" w:hAnsi="Consolas"/>
      <w:color w:val="EF2929"/>
      <w:sz w:val="22"/>
      <w:shd w:val="clear" w:color="auto" w:fill="F8F8F8"/>
    </w:rPr>
  </w:style>
  <w:style w:type="character" w:customStyle="1" w:styleId="68">
    <w:name w:val="ErrorTok"/>
    <w:basedOn w:val="35"/>
    <w:uiPriority w:val="0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69">
    <w:name w:val="NormalTok"/>
    <w:basedOn w:val="35"/>
    <w:uiPriority w:val="0"/>
    <w:rPr>
      <w:rFonts w:ascii="Consolas" w:hAnsi="Consolas"/>
      <w:sz w:val="22"/>
      <w:shd w:val="clear" w:color="auto" w:fill="F8F8F8"/>
    </w:rPr>
  </w:style>
  <w:style w:type="character" w:customStyle="1" w:styleId="70">
    <w:name w:val="Основной текст Знак"/>
    <w:basedOn w:val="12"/>
    <w:link w:val="3"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432</Words>
  <Characters>2464</Characters>
  <Lines>20</Lines>
  <Paragraphs>5</Paragraphs>
  <TotalTime>1</TotalTime>
  <ScaleCrop>false</ScaleCrop>
  <LinksUpToDate>false</LinksUpToDate>
  <CharactersWithSpaces>2891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2023-12-15T12:30:00Z</dcterms:created>
  <dc:creator>User</dc:creator>
  <cp:lastModifiedBy>google1599737165</cp:lastModifiedBy>
  <dcterms:modified xsi:type="dcterms:W3CDTF">2025-01-18T17:50:24Z</dcterms:modified>
  <dc:title>Влияние мидий на двигательные способности литоральных брюхоногих моллюсков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marine-ecology-progress-series.csl</vt:lpwstr>
  </property>
  <property fmtid="{D5CDD505-2E9C-101B-9397-08002B2CF9AE}" pid="4" name="output">
    <vt:lpwstr/>
  </property>
  <property fmtid="{D5CDD505-2E9C-101B-9397-08002B2CF9AE}" pid="5" name="KSOProductBuildVer">
    <vt:lpwstr>1049-12.2.0.19805</vt:lpwstr>
  </property>
  <property fmtid="{D5CDD505-2E9C-101B-9397-08002B2CF9AE}" pid="6" name="ICV">
    <vt:lpwstr>78B6C2E9058F495B93A4B90BBF1D7D04_12</vt:lpwstr>
  </property>
</Properties>
</file>