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Pr="00766044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>
        <w:rPr>
          <w:sz w:val="24"/>
          <w:szCs w:val="24"/>
        </w:rPr>
        <w:t>Грунтовые пробы просматривались 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 xml:space="preserve">рова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</w:t>
      </w:r>
      <w:r w:rsidR="00102C30">
        <w:rPr>
          <w:sz w:val="24"/>
          <w:szCs w:val="24"/>
        </w:rPr>
        <w:t xml:space="preserve"> губы</w:t>
      </w:r>
      <w:r w:rsidR="004E473C">
        <w:rPr>
          <w:sz w:val="24"/>
          <w:szCs w:val="24"/>
        </w:rPr>
        <w:t>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Была построена диаграмма схожести сообществ в Южной и Северной губе. Была построена </w:t>
      </w:r>
      <w:r>
        <w:rPr>
          <w:sz w:val="24"/>
          <w:szCs w:val="24"/>
        </w:rPr>
        <w:lastRenderedPageBreak/>
        <w:t>диаграмма отношения разнообразия сообществ к разнообразию питания. Были построены карты с расположением проб. Были построены дендрограммы и танглограммы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  <w:r w:rsidR="00D35067" w:rsidRPr="00D350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46700" cy="3168258"/>
            <wp:effectExtent l="0" t="0" r="6350" b="0"/>
            <wp:docPr id="7" name="Рисунок 7" descr="C:\Users\fokke\OneDrive\Рабочий стол\Vitia\Paper_2024\Vitia_Ostrovsky\R_Calc_Crang_2024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72" cy="318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9C" w:rsidRPr="00766044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  <w:lang w:val="en-US"/>
        </w:rPr>
        <w:t>c</w:t>
      </w:r>
      <w:r w:rsidR="00766044" w:rsidRPr="00766044">
        <w:rPr>
          <w:sz w:val="24"/>
          <w:szCs w:val="24"/>
        </w:rPr>
        <w:t xml:space="preserve"> </w:t>
      </w:r>
      <w:r w:rsidR="00766044">
        <w:rPr>
          <w:sz w:val="24"/>
          <w:szCs w:val="24"/>
        </w:rPr>
        <w:t>грунтовыми пробами.</w:t>
      </w: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lastRenderedPageBreak/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766044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  <w:r>
        <w:rPr>
          <w:noProof/>
        </w:rPr>
        <w:lastRenderedPageBreak/>
        <w:drawing>
          <wp:inline distT="0" distB="0" distL="0" distR="0" wp14:anchorId="4A7D0F59" wp14:editId="3AC2B155">
            <wp:extent cx="4019550" cy="2481457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397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766044" w:rsidRDefault="00766044" w:rsidP="00766044">
      <w:pPr>
        <w:pStyle w:val="a3"/>
      </w:pPr>
      <w:r>
        <w:rPr>
          <w:noProof/>
        </w:rPr>
        <w:drawing>
          <wp:inline distT="0" distB="0" distL="0" distR="0" wp14:anchorId="0857858F" wp14:editId="05F76415">
            <wp:extent cx="4584700" cy="2716725"/>
            <wp:effectExtent l="0" t="0" r="6350" b="7620"/>
            <wp:docPr id="11" name="Рисунок 11" descr="C:\Users\fokke\OneDrive\Рабочий стол\Vitia\Paper_2024\Vitia_Ostrovsky\R_Calc_Crang_2024\Rplo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kke\OneDrive\Рабочий стол\Vitia\Paper_2024\Vitia_Ostrovsky\R_Calc_Crang_2024\Rplot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0" cy="27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766044">
      <w:pPr>
        <w:rPr>
          <w:sz w:val="24"/>
          <w:szCs w:val="24"/>
        </w:rPr>
      </w:pPr>
      <w:r>
        <w:rPr>
          <w:sz w:val="24"/>
          <w:szCs w:val="24"/>
        </w:rPr>
        <w:t xml:space="preserve">Карта северной губы </w:t>
      </w:r>
      <w:bookmarkStart w:id="0" w:name="_GoBack"/>
      <w:bookmarkEnd w:id="0"/>
    </w:p>
    <w:p w:rsidR="00CE52E6" w:rsidRDefault="00CE52E6" w:rsidP="00CE52E6">
      <w:pPr>
        <w:pStyle w:val="a3"/>
      </w:pP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5429250" cy="3194050"/>
            <wp:effectExtent l="0" t="0" r="0" b="6350"/>
            <wp:docPr id="8" name="Рисунок 8" descr="C:\Users\fokke\OneDrive\Рабочий стол\Vitia\Paper_2024\Vitia_Ostrovsky\R_Calc_Crang_2024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kke\OneDrive\Рабочий стол\Vitia\Paper_2024\Vitia_Ostrovsky\R_Calc_Crang_2024\Rplot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</w:p>
    <w:p w:rsidR="00246B26" w:rsidRPr="00E071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02C30"/>
    <w:rsid w:val="00130F79"/>
    <w:rsid w:val="00137007"/>
    <w:rsid w:val="0016716F"/>
    <w:rsid w:val="002251BB"/>
    <w:rsid w:val="00246B26"/>
    <w:rsid w:val="002829F0"/>
    <w:rsid w:val="002F346E"/>
    <w:rsid w:val="003262ED"/>
    <w:rsid w:val="0047522C"/>
    <w:rsid w:val="004E473C"/>
    <w:rsid w:val="005071F4"/>
    <w:rsid w:val="005B2B9A"/>
    <w:rsid w:val="00613DB3"/>
    <w:rsid w:val="00695381"/>
    <w:rsid w:val="00736A41"/>
    <w:rsid w:val="00766044"/>
    <w:rsid w:val="0078209C"/>
    <w:rsid w:val="007F4591"/>
    <w:rsid w:val="00814EEA"/>
    <w:rsid w:val="00906AF2"/>
    <w:rsid w:val="00910688"/>
    <w:rsid w:val="00974340"/>
    <w:rsid w:val="00B43FBE"/>
    <w:rsid w:val="00C13C5B"/>
    <w:rsid w:val="00CE52E6"/>
    <w:rsid w:val="00D35067"/>
    <w:rsid w:val="00D60F5D"/>
    <w:rsid w:val="00D66B81"/>
    <w:rsid w:val="00E07126"/>
    <w:rsid w:val="00ED0CFD"/>
    <w:rsid w:val="00F034D6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A0C2-EDE0-42B3-A10D-35DECFB8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6</cp:revision>
  <dcterms:created xsi:type="dcterms:W3CDTF">2024-12-24T13:28:00Z</dcterms:created>
  <dcterms:modified xsi:type="dcterms:W3CDTF">2025-01-01T17:37:00Z</dcterms:modified>
</cp:coreProperties>
</file>