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 (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).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47522C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Грунтовые пробы собирались при помощи рамки </w:t>
      </w:r>
      <w:r w:rsidR="00F71CA1">
        <w:rPr>
          <w:sz w:val="24"/>
          <w:szCs w:val="24"/>
        </w:rPr>
        <w:t>площадью 55 см2</w:t>
      </w:r>
      <w:r w:rsidRPr="0047522C">
        <w:rPr>
          <w:sz w:val="24"/>
          <w:szCs w:val="24"/>
        </w:rPr>
        <w:t>, который вдавливали в грунт на глубину</w:t>
      </w:r>
      <w:r>
        <w:rPr>
          <w:sz w:val="24"/>
          <w:szCs w:val="24"/>
        </w:rPr>
        <w:t xml:space="preserve"> </w:t>
      </w:r>
      <w:r w:rsidRPr="0047522C">
        <w:rPr>
          <w:sz w:val="24"/>
          <w:szCs w:val="24"/>
        </w:rPr>
        <w:t>около</w:t>
      </w:r>
      <w:r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Pr="0047522C">
        <w:rPr>
          <w:sz w:val="24"/>
          <w:szCs w:val="24"/>
        </w:rPr>
        <w:t xml:space="preserve"> пробы складывали в отдельный пакет с этикеткой</w:t>
      </w:r>
      <w:r>
        <w:rPr>
          <w:sz w:val="24"/>
          <w:szCs w:val="24"/>
        </w:rPr>
        <w:t>.</w:t>
      </w:r>
      <w:r w:rsidR="00F71CA1">
        <w:rPr>
          <w:sz w:val="24"/>
          <w:szCs w:val="24"/>
        </w:rPr>
        <w:t xml:space="preserve"> После этого 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  <w:r>
        <w:rPr>
          <w:sz w:val="24"/>
          <w:szCs w:val="24"/>
        </w:rPr>
        <w:t>Грунтовые пробы просматривались 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 xml:space="preserve">рова под бинокуляром на наличие животных, которые складывались в баночку 25 мл с 10% формалином. </w:t>
      </w:r>
      <w:r w:rsidR="004E473C">
        <w:rPr>
          <w:sz w:val="24"/>
          <w:szCs w:val="24"/>
        </w:rPr>
        <w:t>После этого производилось определение животных до минимально определимого таксона. В каждой пробе производился подсчет каждого встречаемого вида. Далее данные были занесены в сравнительные таблицы.</w:t>
      </w: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Всего в ходе работы было обработано 71 особь </w:t>
      </w: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crangon</w:t>
      </w:r>
      <w:r w:rsidR="004E473C">
        <w:rPr>
          <w:sz w:val="24"/>
          <w:szCs w:val="24"/>
        </w:rPr>
        <w:t xml:space="preserve"> из Северной губы и 135 особей из Южной</w:t>
      </w:r>
      <w:r w:rsidR="00102C30">
        <w:rPr>
          <w:sz w:val="24"/>
          <w:szCs w:val="24"/>
        </w:rPr>
        <w:t xml:space="preserve"> губы</w:t>
      </w:r>
      <w:r w:rsidR="004E473C">
        <w:rPr>
          <w:sz w:val="24"/>
          <w:szCs w:val="24"/>
        </w:rPr>
        <w:t>.</w:t>
      </w:r>
      <w:r>
        <w:rPr>
          <w:sz w:val="24"/>
          <w:szCs w:val="24"/>
        </w:rPr>
        <w:t xml:space="preserve"> Была сделана таблица, в которую мы занесли длину и вес креветок, а также какие пищевые объекты встречались в желудках каждой особи.</w:t>
      </w:r>
    </w:p>
    <w:p w:rsidR="00B43FBE" w:rsidRDefault="004E473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Грунтовых проб из Северной губы было обработано 15 штук из Южной 33. Данные по встречаемым животным были занесены в таблицы. 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основе этих данных были построены графики в программе </w:t>
      </w:r>
      <w:r>
        <w:rPr>
          <w:sz w:val="24"/>
          <w:szCs w:val="24"/>
          <w:lang w:val="en-US"/>
        </w:rPr>
        <w:t>R</w:t>
      </w:r>
      <w:r w:rsidRPr="007820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. Была построена диаграмма схожести сообществ в Южной и Северной губе. Была построена </w:t>
      </w:r>
      <w:r>
        <w:rPr>
          <w:sz w:val="24"/>
          <w:szCs w:val="24"/>
        </w:rPr>
        <w:lastRenderedPageBreak/>
        <w:t>диаграмма отношения разнообразия сообществ к разнообразию питания. Были построены карты с расположением проб. Были построены дендрограммы и танглограммы по сообществам и питанию.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  <w:r w:rsidRPr="00814EEA">
        <w:rPr>
          <w:b/>
          <w:sz w:val="24"/>
          <w:szCs w:val="24"/>
        </w:rPr>
        <w:t>Изложение и обсуждение результатов</w:t>
      </w: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Сравнение сообществ в южной и северной губе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47522C" w:rsidRDefault="0016716F" w:rsidP="00F71CA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На частотной диаграмме сообществ хорошо заметны два облака точек. Первое облако полностью состоит из сообщества Южной губы и находится в верхнем левом углу, второе облако состоит из сообщества Северной губы и одной точки из Южной губы. Что может свидетельствовать о </w:t>
      </w:r>
      <w:r w:rsidR="00137007">
        <w:rPr>
          <w:sz w:val="24"/>
          <w:szCs w:val="24"/>
        </w:rPr>
        <w:t>том,</w:t>
      </w:r>
      <w:r>
        <w:rPr>
          <w:sz w:val="24"/>
          <w:szCs w:val="24"/>
        </w:rPr>
        <w:t xml:space="preserve"> что сообщества в приделах одной акватории могут значительно отличатся и могут быть похожи на совершенно другие акватории. 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2251B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2251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69302E" wp14:editId="046A4602">
            <wp:extent cx="4781167" cy="2851150"/>
            <wp:effectExtent l="0" t="0" r="635" b="6350"/>
            <wp:docPr id="3" name="Рисунок 3" descr="C:\Users\fokke\OneDrive\Рабочий стол\Vitia\Paper_2024\Vitia_Ostrovsky\R_Calc_Crang_2024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01" cy="286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695381" w:rsidRPr="00C13C5B" w:rsidRDefault="00695381" w:rsidP="00C13C5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07126" w:rsidRPr="005B2B9A" w:rsidRDefault="002251BB" w:rsidP="005B2B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</w:t>
      </w:r>
      <w:r w:rsidR="00910688">
        <w:rPr>
          <w:rFonts w:eastAsia="Times New Roman" w:cstheme="minorHAnsi"/>
          <w:sz w:val="24"/>
          <w:szCs w:val="24"/>
          <w:lang w:eastAsia="ru-RU"/>
        </w:rPr>
        <w:t>(Рис) показано более точно какие существуют типы сообщества. Цифрами от 1 до 5 показана Северная губа остальные от 6 до 16 это Южная губа.</w:t>
      </w:r>
      <w:r w:rsidR="00910688" w:rsidRPr="0091068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10688">
        <w:rPr>
          <w:rFonts w:eastAsia="Times New Roman" w:cstheme="minorHAnsi"/>
          <w:sz w:val="24"/>
          <w:szCs w:val="24"/>
          <w:lang w:eastAsia="ru-RU"/>
        </w:rPr>
        <w:t>Всего можно выделить 4 основных сообщества. Первое сообщество (1,2,3,9), второе(5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 w:rsidR="00910688">
        <w:rPr>
          <w:rFonts w:eastAsia="Times New Roman" w:cstheme="minorHAnsi"/>
          <w:sz w:val="24"/>
          <w:szCs w:val="24"/>
          <w:lang w:eastAsia="ru-RU"/>
        </w:rPr>
        <w:t>)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 трет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ье </w:t>
      </w:r>
      <w:r w:rsidR="00910688">
        <w:rPr>
          <w:rFonts w:eastAsia="Times New Roman" w:cstheme="minorHAnsi"/>
          <w:sz w:val="24"/>
          <w:szCs w:val="24"/>
          <w:lang w:eastAsia="ru-RU"/>
        </w:rPr>
        <w:t>(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) и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четвертое (7, 8).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Так в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первом сообществе большая часть из Северной губы это 1-3 класс и только одна проба из Южной девятая. Во втором и третьем одна проба из Северной губы 5 и 4 </w:t>
      </w:r>
      <w:r w:rsidR="00137007">
        <w:rPr>
          <w:rFonts w:eastAsia="Times New Roman" w:cstheme="minorHAnsi"/>
          <w:sz w:val="24"/>
          <w:szCs w:val="24"/>
          <w:lang w:eastAsia="ru-RU"/>
        </w:rPr>
        <w:t>класс соответственно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 и остальные из Южной губы. Четвертое сообщество полностью состоит только из Южной губы.</w:t>
      </w:r>
      <w:r w:rsidR="00137007">
        <w:rPr>
          <w:rFonts w:eastAsia="Times New Roman" w:cstheme="minorHAnsi"/>
          <w:sz w:val="24"/>
          <w:szCs w:val="24"/>
          <w:lang w:eastAsia="ru-RU"/>
        </w:rPr>
        <w:t xml:space="preserve"> Видно, что в пределах одной акватории бывает варьирование сообществ. То есть в приделах одной </w:t>
      </w:r>
      <w:r w:rsidR="00137007">
        <w:rPr>
          <w:rFonts w:eastAsia="Times New Roman" w:cstheme="minorHAnsi"/>
          <w:sz w:val="24"/>
          <w:szCs w:val="24"/>
          <w:lang w:eastAsia="ru-RU"/>
        </w:rPr>
        <w:lastRenderedPageBreak/>
        <w:t>акватории существуют как схожие, так и отличн</w:t>
      </w:r>
      <w:r w:rsidR="005B2B9A">
        <w:rPr>
          <w:rFonts w:eastAsia="Times New Roman" w:cstheme="minorHAnsi"/>
          <w:sz w:val="24"/>
          <w:szCs w:val="24"/>
          <w:lang w:eastAsia="ru-RU"/>
        </w:rPr>
        <w:t>ые друг от друга типы сообщес</w:t>
      </w:r>
      <w:r w:rsidR="00102C30">
        <w:rPr>
          <w:rFonts w:eastAsia="Times New Roman" w:cstheme="minorHAnsi"/>
          <w:sz w:val="24"/>
          <w:szCs w:val="24"/>
          <w:lang w:eastAsia="ru-RU"/>
        </w:rPr>
        <w:t>тв.</w:t>
      </w:r>
      <w:r w:rsidR="00E07126">
        <w:rPr>
          <w:noProof/>
          <w:lang w:eastAsia="ru-RU"/>
        </w:rPr>
        <w:drawing>
          <wp:inline distT="0" distB="0" distL="0" distR="0">
            <wp:extent cx="3873500" cy="3035300"/>
            <wp:effectExtent l="0" t="0" r="0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93" cy="303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26" w:rsidRDefault="00E07126" w:rsidP="00E0712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 +++ сообщества в Южной и северной губе.</w:t>
      </w:r>
    </w:p>
    <w:p w:rsidR="005B2B9A" w:rsidRPr="005B2B9A" w:rsidRDefault="00137007" w:rsidP="00E07126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Описание сообществ </w:t>
      </w:r>
      <w:r w:rsidR="005B2B9A">
        <w:rPr>
          <w:rFonts w:asciiTheme="minorHAnsi" w:hAnsiTheme="minorHAnsi" w:cstheme="minorHAnsi"/>
        </w:rPr>
        <w:t xml:space="preserve">Северной губы </w:t>
      </w:r>
    </w:p>
    <w:tbl>
      <w:tblPr>
        <w:tblW w:w="3570" w:type="dxa"/>
        <w:tblLook w:val="04A0" w:firstRow="1" w:lastRow="0" w:firstColumn="1" w:lastColumn="0" w:noHBand="0" w:noVBand="1"/>
      </w:tblPr>
      <w:tblGrid>
        <w:gridCol w:w="4672"/>
      </w:tblGrid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62ED" w:rsidRPr="00795B7C" w:rsidRDefault="003262ED" w:rsidP="0032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tbl>
            <w:tblPr>
              <w:tblW w:w="3260" w:type="dxa"/>
              <w:tblLook w:val="04A0" w:firstRow="1" w:lastRow="0" w:firstColumn="1" w:lastColumn="0" w:noHBand="0" w:noVBand="1"/>
            </w:tblPr>
            <w:tblGrid>
              <w:gridCol w:w="1740"/>
              <w:gridCol w:w="2706"/>
            </w:tblGrid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Объекты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5B7C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Встречаемость</w:t>
                  </w:r>
                  <w:r w:rsidR="00102C3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(Суммарно)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Hydrobia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1752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  <w:t>Pygospio elegans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259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Macoma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baltica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77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Microspio theeli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46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Fabricia sabella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41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Nematoda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40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Tubificidae benefi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Mya arenaria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Euteone longa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Capitella capitata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Littorina saxatilis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Mytilus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Gamarus sp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="003262ED" w:rsidRDefault="003262ED" w:rsidP="003262ED"/>
        </w:tc>
      </w:tr>
    </w:tbl>
    <w:p w:rsidR="005B2B9A" w:rsidRDefault="005B2B9A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Таблица объектов в Северной губе.</w:t>
      </w:r>
    </w:p>
    <w:p w:rsidR="00CE52E6" w:rsidRPr="00CE52E6" w:rsidRDefault="005B2B9A" w:rsidP="002251B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таблицы можно 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заметить, что самыми </w:t>
      </w:r>
      <w:r>
        <w:rPr>
          <w:rFonts w:eastAsia="Times New Roman" w:cstheme="minorHAnsi"/>
          <w:sz w:val="24"/>
          <w:szCs w:val="24"/>
          <w:lang w:eastAsia="ru-RU"/>
        </w:rPr>
        <w:t>частым</w:t>
      </w:r>
      <w:r w:rsidR="003262ED">
        <w:rPr>
          <w:rFonts w:eastAsia="Times New Roman" w:cstheme="minorHAnsi"/>
          <w:sz w:val="24"/>
          <w:szCs w:val="24"/>
          <w:lang w:eastAsia="ru-RU"/>
        </w:rPr>
        <w:t>и вида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3262ED">
        <w:rPr>
          <w:rFonts w:eastAsia="Times New Roman" w:cstheme="minorHAnsi"/>
          <w:sz w:val="24"/>
          <w:szCs w:val="24"/>
          <w:lang w:eastAsia="ru-RU"/>
        </w:rPr>
        <w:t>и являю</w:t>
      </w:r>
      <w:r>
        <w:rPr>
          <w:rFonts w:eastAsia="Times New Roman" w:cstheme="minorHAnsi"/>
          <w:sz w:val="24"/>
          <w:szCs w:val="24"/>
          <w:lang w:eastAsia="ru-RU"/>
        </w:rPr>
        <w:t xml:space="preserve">тся </w:t>
      </w:r>
      <w:r w:rsidRPr="003262ED">
        <w:rPr>
          <w:rFonts w:eastAsia="Times New Roman" w:cstheme="minorHAnsi"/>
          <w:i/>
          <w:sz w:val="24"/>
          <w:szCs w:val="24"/>
          <w:lang w:val="en-US" w:eastAsia="ru-RU"/>
        </w:rPr>
        <w:t>Hydrobia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 общая встречаемость 1752, </w:t>
      </w:r>
      <w:r w:rsidR="003262ED" w:rsidRPr="00814EEA">
        <w:rPr>
          <w:rFonts w:ascii="Calibri" w:eastAsia="Times New Roman" w:hAnsi="Calibri" w:cs="Calibri"/>
          <w:i/>
          <w:color w:val="2E1500"/>
          <w:sz w:val="24"/>
          <w:szCs w:val="24"/>
          <w:lang w:eastAsia="ru-RU"/>
        </w:rPr>
        <w:t xml:space="preserve">Pygospio elegans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с общей встречаемостью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259, Macoma baltica 77, Microspio theeli 46, Fabricia sabella 41, Nematoda 40.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Реже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встречались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814EE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 benefi, Mya arenaria, Euteone longa, Capitella capitata, Littorina saxatilis, Mytilus, Gamarus sp.</w:t>
      </w:r>
    </w:p>
    <w:p w:rsidR="0016716F" w:rsidRPr="00CE52E6" w:rsidRDefault="0016716F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tbl>
      <w:tblPr>
        <w:tblW w:w="3764" w:type="dxa"/>
        <w:tblLook w:val="04A0" w:firstRow="1" w:lastRow="0" w:firstColumn="1" w:lastColumn="0" w:noHBand="0" w:noVBand="1"/>
      </w:tblPr>
      <w:tblGrid>
        <w:gridCol w:w="2160"/>
        <w:gridCol w:w="1604"/>
      </w:tblGrid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 xml:space="preserve">Объекты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Встречаемость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Hydrobia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2341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603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2E1500"/>
                <w:lang w:eastAsia="ru-RU"/>
              </w:rPr>
              <w:t>Pygospio elegans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290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r w:rsidR="00CE52E6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baltica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283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247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Tubificidae</w:t>
            </w:r>
            <w:r w:rsidR="005071F4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benedeni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370E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370E00"/>
                <w:lang w:eastAsia="ru-RU"/>
              </w:rPr>
              <w:t>Polydora quadrilobata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Chironomidae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C5B" w:rsidRDefault="00CE52E6">
      <w:pPr>
        <w:rPr>
          <w:sz w:val="24"/>
          <w:szCs w:val="24"/>
        </w:rPr>
      </w:pPr>
      <w:r>
        <w:rPr>
          <w:sz w:val="24"/>
          <w:szCs w:val="24"/>
        </w:rPr>
        <w:t>Таблица встречаемости объектов в Южной губе</w:t>
      </w:r>
    </w:p>
    <w:p w:rsidR="00CE52E6" w:rsidRDefault="00CE52E6" w:rsidP="00CE52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sz w:val="24"/>
          <w:szCs w:val="24"/>
        </w:rPr>
        <w:t xml:space="preserve">Из таблицы встречаемости видов в Южной губе самыми частыми были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Hydrobia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Nematoda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Pygospio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elegans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Macoma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baltica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Microspio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theeli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benedeni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armiger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Реже встречались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.,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Polydora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quadrilobata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, Littorina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saxatilis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Oligochaeta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Nemertea,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virens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longa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Chironomidae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Pontoporeia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femorata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Harpacticoidea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Из этих двух таблиц можно сказать что в Южной губе намного больше встреченных видов. И только в Южной губе встретились </w:t>
      </w:r>
      <w:r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Polydora </w:t>
      </w:r>
      <w:r w:rsidR="00814EEA"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quadrilobata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Scoloplos armiger, Monoculodes sp., Chironomidae, Jaera sp.,</w:t>
      </w:r>
      <w:r w:rsidRPr="00CE52E6">
        <w:rPr>
          <w:sz w:val="24"/>
          <w:szCs w:val="24"/>
        </w:rPr>
        <w:t xml:space="preserve"> 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Nemertea, 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virens, Pontoporeia femorata, Gamaroidea, Harpacticoidea.</w:t>
      </w:r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Значит сообщество Южной губы более разнообразное. Возможно такое произошло что площадь Южной губы намного больше площади Северной. И в Северной губе довольно большую площадь акватории занимает </w:t>
      </w:r>
      <w:r w:rsidR="00814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мидиевая банка в пределах которой многие животные не способны существовать.</w:t>
      </w:r>
    </w:p>
    <w:p w:rsid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Питание 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CE52E6" w:rsidRDefault="00CE52E6" w:rsidP="00CE52E6">
      <w:pPr>
        <w:pStyle w:val="a3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://127.0.0.1:44171/graphics/plot.png?width=562&amp;height=333&amp;randomizer=1111132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553F6" id="Прямоугольник 1" o:spid="_x0000_s1026" alt="http://127.0.0.1:44171/graphics/plot.png?width=562&amp;height=333&amp;randomizer=11111325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/QfbnIQMAACw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://127.0.0.1:44171/graphics/9fc6d687-ec10-47df-9663-4076b211f9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4379" id="Прямоугольник 2" o:spid="_x0000_s1026" alt="http://127.0.0.1:44171/graphics/9fc6d687-ec10-47df-9663-4076b211f9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XbDOUXAwAAG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w:drawing>
          <wp:inline distT="0" distB="0" distL="0" distR="0">
            <wp:extent cx="5187950" cy="3034983"/>
            <wp:effectExtent l="0" t="0" r="0" b="0"/>
            <wp:docPr id="4" name="Рисунок 4" descr="C:\Users\fokke\OneDrive\Рабочий стол\Vitia\Paper_2024\Vitia_Ostrovsky\R_Calc_Crang_2024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70" cy="306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lang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CE52E6" w:rsidRPr="00CE52E6" w:rsidRDefault="00CE52E6" w:rsidP="00CE52E6">
      <w:pPr>
        <w:spacing w:after="0" w:line="240" w:lineRule="auto"/>
        <w:rPr>
          <w:rFonts w:ascii="Calibri" w:eastAsia="Times New Roman" w:hAnsi="Calibri" w:cs="Calibri"/>
          <w:color w:val="2E1500"/>
          <w:lang w:eastAsia="ru-RU"/>
        </w:rPr>
      </w:pPr>
    </w:p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52E6" w:rsidRDefault="00CE52E6">
      <w:pPr>
        <w:rPr>
          <w:sz w:val="24"/>
          <w:szCs w:val="24"/>
        </w:rPr>
      </w:pPr>
    </w:p>
    <w:p w:rsidR="00CE52E6" w:rsidRDefault="00CE52E6">
      <w:pPr>
        <w:rPr>
          <w:sz w:val="24"/>
          <w:szCs w:val="24"/>
        </w:rPr>
      </w:pPr>
    </w:p>
    <w:p w:rsidR="00CE52E6" w:rsidRDefault="00CE52E6" w:rsidP="00CE52E6">
      <w:pPr>
        <w:pStyle w:val="a3"/>
      </w:pPr>
      <w:r>
        <w:rPr>
          <w:noProof/>
        </w:rPr>
        <w:drawing>
          <wp:inline distT="0" distB="0" distL="0" distR="0">
            <wp:extent cx="4978400" cy="3073400"/>
            <wp:effectExtent l="0" t="0" r="0" b="0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7F4591">
      <w:pPr>
        <w:rPr>
          <w:sz w:val="24"/>
          <w:szCs w:val="24"/>
        </w:rPr>
      </w:pPr>
    </w:p>
    <w:p w:rsidR="007F4591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</w:t>
      </w:r>
      <w:r>
        <w:rPr>
          <w:sz w:val="24"/>
          <w:szCs w:val="24"/>
        </w:rPr>
        <w:lastRenderedPageBreak/>
        <w:t>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906AF2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Как мы знаем из работы прошлого года (Островский 2024) в питании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существует варьирование рационов питания в зависимости от возраста креветок.</w:t>
      </w:r>
    </w:p>
    <w:p w:rsidR="00906AF2" w:rsidRPr="00102C30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Более крупные, то есть более старые особи едят более крупные пищевые объекты, и наоборот более мелкие пищевые объекты ест молод. Но как на рацион питания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Действует разнообразие сообществ</w:t>
      </w:r>
      <w:r w:rsidRP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? </w:t>
      </w:r>
    </w:p>
    <w:p w:rsidR="00CE52E6" w:rsidRPr="00906AF2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 xml:space="preserve">проявляет разные сценарии питания. Если сообщество бедное, то он начинает есть все без разбора. Здесь он явный генералист, то есть животное которое питается всем без </w:t>
      </w:r>
      <w:r w:rsidR="00736A41">
        <w:rPr>
          <w:sz w:val="24"/>
          <w:szCs w:val="24"/>
        </w:rPr>
        <w:t>исключении</w:t>
      </w:r>
      <w:r w:rsidR="00906AF2">
        <w:rPr>
          <w:sz w:val="24"/>
          <w:szCs w:val="24"/>
        </w:rPr>
        <w:t xml:space="preserve"> не зависимо от разнообразия сообществ.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приоритетными. Значит если в Южной губе более разнообразное сообщество, то он является специалистом в пределах этой акватории, а в северной губе генералистом. </w:t>
      </w:r>
    </w:p>
    <w:p w:rsidR="00CE52E6" w:rsidRDefault="00CE52E6" w:rsidP="00CE52E6">
      <w:pPr>
        <w:pStyle w:val="a3"/>
      </w:pPr>
      <w:r>
        <w:rPr>
          <w:noProof/>
        </w:rPr>
        <w:drawing>
          <wp:inline distT="0" distB="0" distL="0" distR="0">
            <wp:extent cx="5429250" cy="3194050"/>
            <wp:effectExtent l="0" t="0" r="0" b="6350"/>
            <wp:docPr id="8" name="Рисунок 8" descr="C:\Users\fokke\OneDrive\Рабочий стол\Vitia\Paper_2024\Vitia_Ostrovsky\R_Calc_Crang_2024\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okke\OneDrive\Рабочий стол\Vitia\Paper_2024\Vitia_Ostrovsky\R_Calc_Crang_2024\Rplot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CE52E6" w:rsidP="00CE52E6">
      <w:pPr>
        <w:pStyle w:val="a3"/>
      </w:pPr>
    </w:p>
    <w:p w:rsidR="00CE52E6" w:rsidRDefault="00CE52E6" w:rsidP="00CE52E6">
      <w:pPr>
        <w:pStyle w:val="a3"/>
      </w:pPr>
      <w:r>
        <w:rPr>
          <w:noProof/>
        </w:rPr>
        <w:lastRenderedPageBreak/>
        <w:drawing>
          <wp:inline distT="0" distB="0" distL="0" distR="0" wp14:anchorId="249998D7" wp14:editId="33893E1B">
            <wp:extent cx="5162550" cy="2476500"/>
            <wp:effectExtent l="0" t="0" r="0" b="0"/>
            <wp:docPr id="10" name="Рисунок 10" descr="C:\Users\fokke\OneDrive\Рабочий стол\Vitia\Paper_2024\Vitia_Ostrovsky\R_Calc_Crang_2024\Rplo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okke\OneDrive\Рабочий стол\Vitia\Paper_2024\Vitia_Ostrovsky\R_Calc_Crang_2024\Rplot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E07126" w:rsidRDefault="00906AF2">
      <w:pPr>
        <w:rPr>
          <w:sz w:val="24"/>
          <w:szCs w:val="24"/>
        </w:rPr>
      </w:pPr>
      <w:r>
        <w:rPr>
          <w:sz w:val="24"/>
          <w:szCs w:val="24"/>
        </w:rPr>
        <w:t>Но в зависимости от разнообразия сообществ и типа питания количество особей с пустыми желудками практически не изменяется. Это можно заметить из данного графика.</w:t>
      </w:r>
    </w:p>
    <w:p w:rsidR="007F4591" w:rsidRPr="00E07126" w:rsidRDefault="007F4591">
      <w:pPr>
        <w:rPr>
          <w:sz w:val="24"/>
          <w:szCs w:val="24"/>
        </w:rPr>
      </w:pPr>
    </w:p>
    <w:p w:rsidR="007F4591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r w:rsidR="00814EEA">
        <w:rPr>
          <w:sz w:val="24"/>
          <w:szCs w:val="24"/>
        </w:rPr>
        <w:t>сообщества,</w:t>
      </w:r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</w:t>
      </w:r>
      <w:r w:rsidR="00814EEA">
        <w:rPr>
          <w:sz w:val="24"/>
          <w:szCs w:val="24"/>
        </w:rPr>
        <w:t>тому сообществу,</w:t>
      </w:r>
      <w:r>
        <w:rPr>
          <w:sz w:val="24"/>
          <w:szCs w:val="24"/>
        </w:rPr>
        <w:t xml:space="preserve"> на котором она была поймана.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Но из графика можно </w:t>
      </w:r>
      <w:r w:rsidR="00814EEA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этого не происходит. Сообщество и питание идентично только в точках 15 12 11 16 и 9 которые только из южной губы. </w:t>
      </w:r>
    </w:p>
    <w:p w:rsidR="00246B26" w:rsidRPr="00E071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Возможно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 w:rsidR="00814EEA">
        <w:rPr>
          <w:sz w:val="24"/>
          <w:szCs w:val="24"/>
          <w:lang w:val="en-US"/>
        </w:rPr>
        <w:t>crangon</w:t>
      </w:r>
      <w:proofErr w:type="spellEnd"/>
      <w:r w:rsidR="00814EEA" w:rsidRPr="00246B26">
        <w:rPr>
          <w:sz w:val="24"/>
          <w:szCs w:val="24"/>
        </w:rPr>
        <w:t xml:space="preserve"> </w:t>
      </w:r>
      <w:r w:rsidR="00814EEA">
        <w:rPr>
          <w:sz w:val="24"/>
          <w:szCs w:val="24"/>
        </w:rPr>
        <w:t>спокойно</w:t>
      </w:r>
      <w:r>
        <w:rPr>
          <w:sz w:val="24"/>
          <w:szCs w:val="24"/>
        </w:rPr>
        <w:t xml:space="preserve"> могут перемещаться между </w:t>
      </w:r>
      <w:r w:rsidR="00814EEA">
        <w:rPr>
          <w:sz w:val="24"/>
          <w:szCs w:val="24"/>
        </w:rPr>
        <w:t>точек,</w:t>
      </w:r>
      <w:r>
        <w:rPr>
          <w:sz w:val="24"/>
          <w:szCs w:val="24"/>
        </w:rPr>
        <w:t xml:space="preserve"> а совпадение сообщества и питания может быть обусловлено что только в этот момент </w:t>
      </w:r>
      <w:bookmarkStart w:id="0" w:name="_GoBack"/>
      <w:bookmarkEnd w:id="0"/>
      <w:r w:rsidR="00814EEA">
        <w:rPr>
          <w:sz w:val="24"/>
          <w:szCs w:val="24"/>
        </w:rPr>
        <w:t>времени,</w:t>
      </w:r>
      <w:r>
        <w:rPr>
          <w:sz w:val="24"/>
          <w:szCs w:val="24"/>
        </w:rPr>
        <w:t xml:space="preserve"> когда производился сбор материала креветка только что поймала и съела добычу из этой точки. Также как было замечено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7F4591" w:rsidRPr="00E07126" w:rsidRDefault="00906AF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EBA165" wp14:editId="269B86A5">
            <wp:extent cx="5010150" cy="2679700"/>
            <wp:effectExtent l="0" t="0" r="0" b="635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591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512E8"/>
    <w:rsid w:val="00102C30"/>
    <w:rsid w:val="00130F79"/>
    <w:rsid w:val="00137007"/>
    <w:rsid w:val="0016716F"/>
    <w:rsid w:val="002251BB"/>
    <w:rsid w:val="00246B26"/>
    <w:rsid w:val="002829F0"/>
    <w:rsid w:val="002F346E"/>
    <w:rsid w:val="003262ED"/>
    <w:rsid w:val="0047522C"/>
    <w:rsid w:val="004E473C"/>
    <w:rsid w:val="005071F4"/>
    <w:rsid w:val="005B2B9A"/>
    <w:rsid w:val="00613DB3"/>
    <w:rsid w:val="00695381"/>
    <w:rsid w:val="00736A41"/>
    <w:rsid w:val="0078209C"/>
    <w:rsid w:val="007F4591"/>
    <w:rsid w:val="00814EEA"/>
    <w:rsid w:val="00906AF2"/>
    <w:rsid w:val="00910688"/>
    <w:rsid w:val="00974340"/>
    <w:rsid w:val="00B43FBE"/>
    <w:rsid w:val="00C13C5B"/>
    <w:rsid w:val="00CE52E6"/>
    <w:rsid w:val="00D60F5D"/>
    <w:rsid w:val="00D66B81"/>
    <w:rsid w:val="00E07126"/>
    <w:rsid w:val="00ED0CFD"/>
    <w:rsid w:val="00F034D6"/>
    <w:rsid w:val="00F7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07914-87C2-4CA7-AEBE-AFEFFC935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7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4</cp:revision>
  <dcterms:created xsi:type="dcterms:W3CDTF">2024-12-24T13:28:00Z</dcterms:created>
  <dcterms:modified xsi:type="dcterms:W3CDTF">2025-01-01T10:20:00Z</dcterms:modified>
</cp:coreProperties>
</file>