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A4F7" w14:textId="45399208" w:rsidR="00000000" w:rsidRDefault="005D77D9">
      <w:pPr>
        <w:pStyle w:val="Titolo"/>
      </w:pPr>
      <w:r>
        <w:t>Sintesi della risoluzione del Parlamento europeo sull’impatto dell’intelligenza artificiale nel settore finanziario</w:t>
      </w:r>
    </w:p>
    <w:p w14:paraId="02C3D2AC" w14:textId="77777777" w:rsidR="005D77D9" w:rsidRDefault="005D77D9">
      <w:pPr>
        <w:pStyle w:val="Sottotitolo"/>
      </w:pPr>
      <w:r>
        <w:t>Risoluzione del 25 novembre 2025 (2025/2056(INI))</w:t>
      </w:r>
    </w:p>
    <w:p w14:paraId="5811D09E" w14:textId="77777777" w:rsidR="005D77D9" w:rsidRDefault="005D77D9">
      <w:pPr>
        <w:pStyle w:val="Titolo1"/>
        <w:rPr>
          <w:rFonts w:asciiTheme="minorHAnsi" w:hAnsiTheme="minorHAnsi" w:cstheme="minorBidi"/>
        </w:rPr>
      </w:pPr>
      <w:r>
        <w:rPr>
          <w:rFonts w:asciiTheme="minorHAnsi" w:hAnsiTheme="minorHAnsi" w:cstheme="minorBidi"/>
        </w:rPr>
        <w:t>1. Argomento e obiettivi</w:t>
      </w:r>
    </w:p>
    <w:p w14:paraId="461B4665" w14:textId="77777777" w:rsidR="005D77D9" w:rsidRDefault="005D77D9">
      <w:r>
        <w:t>La risoluzione esamina la diffusione dell’intelligenza artificiale (IA) nei servizi finanziari dell’Unione europea e il rapporto tra innovazione, competitività, tutela dei consumatori e stabilità finanziaria. Il Parlamento europeo intende valutare opportunità e rischi dell’IA, chiarire l’interazione tra l’AI Act e la normativa finanziaria settoriale e formulare raccomandazioni per un impiego responsabile, proporzionato e trasparente. Il documento considera anche la dipendenza da fornitori tecnologici terzi, le capacità delle autorità di vigilanza, gli investimenti, le competenze professionali e gli strumenti di sperimentazione regolamentare.</w:t>
      </w:r>
    </w:p>
    <w:p w14:paraId="3DE2B2F8" w14:textId="77777777" w:rsidR="005D77D9" w:rsidRDefault="005D77D9">
      <w:pPr>
        <w:pStyle w:val="Titolo1"/>
        <w:rPr>
          <w:rFonts w:asciiTheme="minorHAnsi" w:hAnsiTheme="minorHAnsi" w:cstheme="minorBidi"/>
        </w:rPr>
      </w:pPr>
      <w:r>
        <w:rPr>
          <w:rFonts w:asciiTheme="minorHAnsi" w:hAnsiTheme="minorHAnsi" w:cstheme="minorBidi"/>
        </w:rPr>
        <w:t>2. Contenuti principali</w:t>
      </w:r>
    </w:p>
    <w:p w14:paraId="422BC263" w14:textId="77777777" w:rsidR="005D77D9" w:rsidRDefault="005D77D9">
      <w:pPr>
        <w:pStyle w:val="Titolo2"/>
        <w:rPr>
          <w:rFonts w:asciiTheme="minorHAnsi" w:hAnsiTheme="minorHAnsi" w:cstheme="minorBidi"/>
        </w:rPr>
      </w:pPr>
      <w:r>
        <w:rPr>
          <w:rFonts w:asciiTheme="minorHAnsi" w:hAnsiTheme="minorHAnsi" w:cstheme="minorBidi"/>
        </w:rPr>
        <w:t>Adozione e opportunità</w:t>
      </w:r>
    </w:p>
    <w:p w14:paraId="4760CE8F" w14:textId="77777777" w:rsidR="005D77D9" w:rsidRDefault="005D77D9">
      <w:r>
        <w:t>Le istituzioni finanziarie utilizzano da tempo tecniche classiche di apprendimento automatico e stanno sperimentando modelli generativi, grandi modelli linguistici e altri modelli di base. Gli impieghi attuali riguardano soprattutto l’efficienza dei processi interni; le applicazioni più complesse restano prevalentemente in fase di prova. Tra i benefici indicati figurano prevenzione delle frodi, controlli antiriciclaggio e sulle sanzioni, assistenza ai clienti, monitoraggio delle transazioni, consulenza personalizzata, analisi ESG, negoziazione, conformità e sorveglianza dei mercati. I vantaggi dovrebbero tradursi per i clienti in prezzi inferiori, coperture migliori, maggiore inclusione e alfabetizzazione finanziaria (sezione “State of AI adoption”, pp. 2–4).</w:t>
      </w:r>
    </w:p>
    <w:p w14:paraId="5C66C1BF" w14:textId="77777777" w:rsidR="005D77D9" w:rsidRDefault="005D77D9">
      <w:pPr>
        <w:pStyle w:val="Titolo2"/>
        <w:rPr>
          <w:rFonts w:asciiTheme="minorHAnsi" w:hAnsiTheme="minorHAnsi" w:cstheme="minorBidi"/>
        </w:rPr>
      </w:pPr>
      <w:r>
        <w:rPr>
          <w:rFonts w:asciiTheme="minorHAnsi" w:hAnsiTheme="minorHAnsi" w:cstheme="minorBidi"/>
        </w:rPr>
        <w:t>Rischi e dipendenze</w:t>
      </w:r>
    </w:p>
    <w:p w14:paraId="144164DB" w14:textId="77777777" w:rsidR="005D77D9" w:rsidRDefault="005D77D9">
      <w:r>
        <w:t xml:space="preserve">I principali rischi derivano dalla qualità, accuratezza e rappresentatività dei dati, che possono produrre discriminazioni, vendita inappropriata, violazioni della riservatezza ed esclusione dei consumatori vulnerabili. I modelli linguistici aggiungono rischi difficili da misurare, comprese le allucinazioni. Il Parlamento richiama inoltre vulnerabilità informatiche, limitata </w:t>
      </w:r>
      <w:proofErr w:type="spellStart"/>
      <w:r>
        <w:t>spiegabilità</w:t>
      </w:r>
      <w:proofErr w:type="spellEnd"/>
      <w:r>
        <w:t>, concentrazione dei fornitori e possibile comportamento gregario quando strumenti simili utilizzano dati limitati. La dipendenza da pochi fornitori tecnologici, spesso di paesi terzi, può creare rischi sistemici e difficoltà di migrazione; per questo si propone di valutare l’applicabilità delle strategie di uscita e transizione previste dal DORA ai modelli ospitati da terzi (pp. 3–4).</w:t>
      </w:r>
    </w:p>
    <w:p w14:paraId="1446085C" w14:textId="77777777" w:rsidR="005D77D9" w:rsidRDefault="005D77D9">
      <w:pPr>
        <w:pStyle w:val="Titolo2"/>
        <w:rPr>
          <w:rFonts w:asciiTheme="minorHAnsi" w:hAnsiTheme="minorHAnsi" w:cstheme="minorBidi"/>
        </w:rPr>
      </w:pPr>
      <w:r>
        <w:rPr>
          <w:rFonts w:asciiTheme="minorHAnsi" w:hAnsiTheme="minorHAnsi" w:cstheme="minorBidi"/>
        </w:rPr>
        <w:t>Quadro normativo e vigilanza</w:t>
      </w:r>
    </w:p>
    <w:p w14:paraId="2950BBAA" w14:textId="77777777" w:rsidR="005D77D9" w:rsidRDefault="005D77D9">
      <w:r>
        <w:t>Il settore è già soggetto a un insieme articolato di norme su protezione e governo dei dati, resilienza operativa, esternalizzazione, rischio di modello, discriminazione e rischi di mercato e credito. L’AI Act classifica come ad alto rischio, in ambito finanziario, la valutazione del merito creditizio delle persone fisiche e la valutazione e tariffazione dei rischi nelle assicurazioni vita e salute. Pur riconoscendo che l’AI Act cerca di evitare duplicazioni con la normativa finanziaria, il Parlamento rileva sovrapposizioni, interpretazioni divergenti tra autorità e incertezza giuridica. Chiede quindi coordinamento, scambio di informazioni e orientamenti pratici, evitando applicazioni sproporzionate e frammentazione del mercato unico (sezione “</w:t>
      </w:r>
      <w:proofErr w:type="spellStart"/>
      <w:r>
        <w:t>Regulatory</w:t>
      </w:r>
      <w:proofErr w:type="spellEnd"/>
      <w:r>
        <w:t xml:space="preserve"> </w:t>
      </w:r>
      <w:proofErr w:type="spellStart"/>
      <w:r>
        <w:t>landscape</w:t>
      </w:r>
      <w:proofErr w:type="spellEnd"/>
      <w:r>
        <w:t>”, pp. 4–5).</w:t>
      </w:r>
    </w:p>
    <w:p w14:paraId="239B9CD4" w14:textId="77777777" w:rsidR="005D77D9" w:rsidRDefault="005D77D9">
      <w:pPr>
        <w:pStyle w:val="Titolo2"/>
        <w:rPr>
          <w:rFonts w:asciiTheme="minorHAnsi" w:hAnsiTheme="minorHAnsi" w:cstheme="minorBidi"/>
        </w:rPr>
      </w:pPr>
      <w:r>
        <w:rPr>
          <w:rFonts w:asciiTheme="minorHAnsi" w:hAnsiTheme="minorHAnsi" w:cstheme="minorBidi"/>
        </w:rPr>
        <w:t>Raccomandazioni</w:t>
      </w:r>
    </w:p>
    <w:p w14:paraId="1C3833EF" w14:textId="77777777" w:rsidR="005D77D9" w:rsidRDefault="005D77D9">
      <w:r>
        <w:t xml:space="preserve">La risoluzione ritiene nel complesso sufficiente la legislazione settoriale esistente per l’attuale fase di diffusione dell’IA, purché siano assicurati monitoraggio continuo, applicazione efficace e responsabilità chiare, anche nei casi transfrontalieri o esternalizzati. Raccomanda di rimuovere le barriere all’ingresso, semplificare le licenze e favorire l’espansione transfrontaliera e l’accesso agli hub di innovazione. Invita inoltre a valutare sandbox regolamentari, ambienti di prova transfrontalieri e strumenti di </w:t>
      </w:r>
      <w:proofErr w:type="spellStart"/>
      <w:r>
        <w:t>SupTech</w:t>
      </w:r>
      <w:proofErr w:type="spellEnd"/>
      <w:r>
        <w:t xml:space="preserve"> basati sull’IA, destinati ad assistere e non sostituire i supervisori. Ulteriori priorità sono ricerca sull’impatto ambientale, alfabetizzazione sull’IA, riqualificazione professionale, supervisione umana significativa e accesso anche per le fasce meno digitalizzate (sezione “</w:t>
      </w:r>
      <w:proofErr w:type="spellStart"/>
      <w:r>
        <w:t>Recommendations</w:t>
      </w:r>
      <w:proofErr w:type="spellEnd"/>
      <w:r>
        <w:t>”, pp. 5–7).</w:t>
      </w:r>
    </w:p>
    <w:p w14:paraId="23C7C78A" w14:textId="77777777" w:rsidR="005D77D9" w:rsidRDefault="005D77D9">
      <w:pPr>
        <w:pStyle w:val="Titolo1"/>
        <w:rPr>
          <w:rFonts w:asciiTheme="minorHAnsi" w:hAnsiTheme="minorHAnsi" w:cstheme="minorBidi"/>
        </w:rPr>
      </w:pPr>
      <w:r>
        <w:rPr>
          <w:rFonts w:asciiTheme="minorHAnsi" w:hAnsiTheme="minorHAnsi" w:cstheme="minorBidi"/>
        </w:rPr>
        <w:t>3. Risultati ed evidenze</w:t>
      </w:r>
    </w:p>
    <w:p w14:paraId="4762FA78" w14:textId="77777777" w:rsidR="005D77D9" w:rsidRDefault="005D77D9">
      <w:r>
        <w:t xml:space="preserve">Il documento non presenta una ricerca empirica originale, ma consolida evidenze normative e istituzionali. Rileva che l’adozione è ampia ma prudente: prevalgono applicazioni a rischio relativamente basso e sperimentazioni, mentre </w:t>
      </w:r>
      <w:r>
        <w:lastRenderedPageBreak/>
        <w:t>l’impiego pienamente autonomo deve restare soggetto a controllo umano. L’evidenza quantitativa centrale riguarda il divario negli investimenti: tra il 2018 e il 2023 le imprese dell’UE che sviluppano modelli di base hanno ricevuto 33 miliardi di euro di finanziamenti di rischio, contro oltre 120 miliardi per le imprese statunitensi. Il settore finanziario, grande acquirente di prodotti e servizi ICT, potrebbe quindi catalizzare investimenti privati europei nell’IA (p. 5).</w:t>
      </w:r>
    </w:p>
    <w:p w14:paraId="6F7A8886" w14:textId="77777777" w:rsidR="00CB0A57" w:rsidRDefault="00CB0A57">
      <w:pPr>
        <w:pStyle w:val="Titolo1"/>
        <w:rPr>
          <w:rFonts w:asciiTheme="minorHAnsi" w:hAnsiTheme="minorHAnsi" w:cstheme="minorBidi"/>
        </w:rPr>
      </w:pPr>
      <w:r>
        <w:rPr>
          <w:rFonts w:asciiTheme="minorHAnsi" w:hAnsiTheme="minorHAnsi" w:cstheme="minorBidi"/>
        </w:rPr>
        <w:t>4. Conclusioni</w:t>
      </w:r>
    </w:p>
    <w:p w14:paraId="2664860B" w14:textId="77777777" w:rsidR="00CB0A57" w:rsidRDefault="00CB0A57">
      <w:r>
        <w:t>Il Parlamento conclude che l’IA offre un’importante opportunità per innovare prodotti, aumentare l’efficienza e rafforzare la competitività del sistema finanziario europeo, ma richiede solide garanzie su dati, trasparenza, responsabilità e controllo umano. L’indirizzo preferito non è introdurre nell’immediato nuova legislazione settoriale, bensì chiarire e applicare in modo coerente e proporzionato il quadro esistente, monitorandone lacune e duplicazioni. Sul piano pratico, Commissione, Stati membri e autorità di vigilanza dovrebbero coordinarsi, sviluppare competenze e strumenti tecnici, sostenere sperimentazione controllata e investimenti europei, limitare i rischi di concentrazione e assicurare che i benefici raggiungano utenti e lavoratori. La risoluzione viene infine trasmessa al Consiglio, alla Commissione e ai governi e parlamenti degli Stati membri (p. 7).</w:t>
      </w:r>
    </w:p>
    <w:p w14:paraId="245B17B9" w14:textId="77777777" w:rsidR="00CB0A57" w:rsidRDefault="00CB0A57">
      <w:pPr>
        <w:pStyle w:val="Titolo1"/>
        <w:rPr>
          <w:rFonts w:asciiTheme="minorHAnsi" w:hAnsiTheme="minorHAnsi" w:cstheme="minorBidi"/>
        </w:rPr>
      </w:pPr>
      <w:r>
        <w:rPr>
          <w:rFonts w:asciiTheme="minorHAnsi" w:hAnsiTheme="minorHAnsi" w:cstheme="minorBidi"/>
        </w:rPr>
        <w:t>5. Punti chiave</w:t>
      </w:r>
    </w:p>
    <w:p w14:paraId="378C7B79" w14:textId="77777777" w:rsidR="00CB0A57" w:rsidRPr="00CB0A57" w:rsidRDefault="00CB0A57" w:rsidP="00CB0A57">
      <w:pPr>
        <w:pStyle w:val="Paragrafoelenco"/>
        <w:numPr>
          <w:ilvl w:val="0"/>
          <w:numId w:val="8"/>
        </w:numPr>
        <w:rPr>
          <w:rFonts w:asciiTheme="minorHAnsi" w:hAnsiTheme="minorHAnsi" w:cstheme="minorBidi"/>
        </w:rPr>
      </w:pPr>
      <w:r w:rsidRPr="00CB0A57">
        <w:rPr>
          <w:rFonts w:asciiTheme="minorHAnsi" w:hAnsiTheme="minorHAnsi" w:cstheme="minorBidi"/>
          <w:b/>
          <w:bCs/>
        </w:rPr>
        <w:t>L’adozione è già diffusa, ma graduale:</w:t>
      </w:r>
      <w:r w:rsidRPr="00CB0A57">
        <w:rPr>
          <w:rFonts w:asciiTheme="minorHAnsi" w:hAnsiTheme="minorHAnsi" w:cstheme="minorBidi"/>
        </w:rPr>
        <w:t xml:space="preserve"> prevalgono automazione interna e sperimentazioni; i sistemi autonomi richiedono supervisione umana.</w:t>
      </w:r>
    </w:p>
    <w:p w14:paraId="2369A301" w14:textId="77777777" w:rsidR="00CB0A57" w:rsidRDefault="00CB0A57" w:rsidP="00CB0A57">
      <w:pPr>
        <w:pStyle w:val="Paragrafoelenco"/>
        <w:numPr>
          <w:ilvl w:val="0"/>
          <w:numId w:val="8"/>
        </w:numPr>
        <w:rPr>
          <w:rFonts w:asciiTheme="minorHAnsi" w:hAnsiTheme="minorHAnsi" w:cstheme="minorBidi"/>
        </w:rPr>
      </w:pPr>
      <w:r>
        <w:rPr>
          <w:rFonts w:asciiTheme="minorHAnsi" w:hAnsiTheme="minorHAnsi" w:cstheme="minorBidi"/>
          <w:b/>
          <w:bCs/>
        </w:rPr>
        <w:t>I benefici potenziali sono ampi:</w:t>
      </w:r>
      <w:r>
        <w:rPr>
          <w:rFonts w:asciiTheme="minorHAnsi" w:hAnsiTheme="minorHAnsi" w:cstheme="minorBidi"/>
        </w:rPr>
        <w:t xml:space="preserve"> maggiore efficienza, contrasto alle frodi, servizi personalizzati, inclusione finanziaria e migliore vigilanza.</w:t>
      </w:r>
    </w:p>
    <w:p w14:paraId="269F333C" w14:textId="77777777" w:rsidR="00CB0A57" w:rsidRDefault="00CB0A57" w:rsidP="00CB0A57">
      <w:pPr>
        <w:pStyle w:val="Paragrafoelenco"/>
        <w:numPr>
          <w:ilvl w:val="0"/>
          <w:numId w:val="8"/>
        </w:numPr>
        <w:rPr>
          <w:rFonts w:asciiTheme="minorHAnsi" w:hAnsiTheme="minorHAnsi" w:cstheme="minorBidi"/>
        </w:rPr>
      </w:pPr>
      <w:r>
        <w:rPr>
          <w:rFonts w:asciiTheme="minorHAnsi" w:hAnsiTheme="minorHAnsi" w:cstheme="minorBidi"/>
          <w:b/>
          <w:bCs/>
        </w:rPr>
        <w:t>I rischi sono concreti:</w:t>
      </w:r>
      <w:r>
        <w:rPr>
          <w:rFonts w:asciiTheme="minorHAnsi" w:hAnsiTheme="minorHAnsi" w:cstheme="minorBidi"/>
        </w:rPr>
        <w:t xml:space="preserve"> dati inadeguati, discriminazioni, allucinazioni, scarsa </w:t>
      </w:r>
      <w:proofErr w:type="spellStart"/>
      <w:r>
        <w:rPr>
          <w:rFonts w:asciiTheme="minorHAnsi" w:hAnsiTheme="minorHAnsi" w:cstheme="minorBidi"/>
        </w:rPr>
        <w:t>spiegabilità</w:t>
      </w:r>
      <w:proofErr w:type="spellEnd"/>
      <w:r>
        <w:rPr>
          <w:rFonts w:asciiTheme="minorHAnsi" w:hAnsiTheme="minorHAnsi" w:cstheme="minorBidi"/>
        </w:rPr>
        <w:t>, vulnerabilità informatiche e concentrazione dei fornitori.</w:t>
      </w:r>
    </w:p>
    <w:p w14:paraId="447D3E6B" w14:textId="77777777" w:rsidR="00CB0A57" w:rsidRDefault="00CB0A57" w:rsidP="00CB0A57">
      <w:pPr>
        <w:pStyle w:val="Paragrafoelenco"/>
        <w:numPr>
          <w:ilvl w:val="0"/>
          <w:numId w:val="8"/>
        </w:numPr>
        <w:rPr>
          <w:rFonts w:asciiTheme="minorHAnsi" w:hAnsiTheme="minorHAnsi" w:cstheme="minorBidi"/>
        </w:rPr>
      </w:pPr>
      <w:r>
        <w:rPr>
          <w:rFonts w:asciiTheme="minorHAnsi" w:hAnsiTheme="minorHAnsi" w:cstheme="minorBidi"/>
          <w:b/>
          <w:bCs/>
        </w:rPr>
        <w:t>La priorità normativa è la coerenza:</w:t>
      </w:r>
      <w:r>
        <w:rPr>
          <w:rFonts w:asciiTheme="minorHAnsi" w:hAnsiTheme="minorHAnsi" w:cstheme="minorBidi"/>
        </w:rPr>
        <w:t xml:space="preserve"> servono linee guida chiare, interpretazioni coordinate e applicazione proporzionata dell’AI Act e delle norme finanziarie.</w:t>
      </w:r>
    </w:p>
    <w:p w14:paraId="13D05C80" w14:textId="77777777" w:rsidR="00CB0A57" w:rsidRDefault="00CB0A57" w:rsidP="00CB0A57">
      <w:pPr>
        <w:pStyle w:val="Paragrafoelenco"/>
        <w:numPr>
          <w:ilvl w:val="0"/>
          <w:numId w:val="8"/>
        </w:numPr>
        <w:rPr>
          <w:rFonts w:asciiTheme="minorHAnsi" w:hAnsiTheme="minorHAnsi" w:cstheme="minorBidi"/>
        </w:rPr>
      </w:pPr>
      <w:r>
        <w:rPr>
          <w:rFonts w:asciiTheme="minorHAnsi" w:hAnsiTheme="minorHAnsi" w:cstheme="minorBidi"/>
          <w:b/>
          <w:bCs/>
        </w:rPr>
        <w:t>La competitività europea richiede investimenti e competenze:</w:t>
      </w:r>
      <w:r>
        <w:rPr>
          <w:rFonts w:asciiTheme="minorHAnsi" w:hAnsiTheme="minorHAnsi" w:cstheme="minorBidi"/>
        </w:rPr>
        <w:t xml:space="preserve"> capitale di rischio, sandbox, </w:t>
      </w:r>
      <w:proofErr w:type="spellStart"/>
      <w:r>
        <w:rPr>
          <w:rFonts w:asciiTheme="minorHAnsi" w:hAnsiTheme="minorHAnsi" w:cstheme="minorBidi"/>
        </w:rPr>
        <w:t>SupTech</w:t>
      </w:r>
      <w:proofErr w:type="spellEnd"/>
      <w:r>
        <w:rPr>
          <w:rFonts w:asciiTheme="minorHAnsi" w:hAnsiTheme="minorHAnsi" w:cstheme="minorBidi"/>
        </w:rPr>
        <w:t>, riqualificazione e alfabetizzazione sull’IA sono elementi centrali.</w:t>
      </w:r>
    </w:p>
    <w:p w14:paraId="3CF5B79A" w14:textId="77777777" w:rsidR="00CB0A57" w:rsidRDefault="00CB0A57">
      <w:pPr>
        <w:pStyle w:val="Titolo1"/>
      </w:pPr>
      <w:r>
        <w:t>6. Quadro sinottico dei principali concetti</w:t>
      </w:r>
    </w:p>
    <w:tbl>
      <w:tblPr>
        <w:tblStyle w:val="Grigliatabella"/>
        <w:tblW w:w="5000" w:type="pct"/>
        <w:tblLook w:val="04A0" w:firstRow="1" w:lastRow="0" w:firstColumn="1" w:lastColumn="0" w:noHBand="0" w:noVBand="1"/>
      </w:tblPr>
      <w:tblGrid>
        <w:gridCol w:w="2341"/>
        <w:gridCol w:w="2588"/>
        <w:gridCol w:w="2331"/>
        <w:gridCol w:w="2425"/>
      </w:tblGrid>
      <w:tr w:rsidR="00CB0A57" w14:paraId="388DE006" w14:textId="77777777">
        <w:tc>
          <w:tcPr>
            <w:tcW w:w="0" w:type="auto"/>
            <w:hideMark/>
          </w:tcPr>
          <w:p w14:paraId="15F5AD58" w14:textId="77777777" w:rsidR="00CB0A57" w:rsidRDefault="00CB0A57">
            <w:r>
              <w:rPr>
                <w:b/>
                <w:bCs/>
              </w:rPr>
              <w:t>Argomento</w:t>
            </w:r>
          </w:p>
        </w:tc>
        <w:tc>
          <w:tcPr>
            <w:tcW w:w="0" w:type="auto"/>
            <w:hideMark/>
          </w:tcPr>
          <w:p w14:paraId="0D07CA89" w14:textId="77777777" w:rsidR="00CB0A57" w:rsidRDefault="00CB0A57">
            <w:r>
              <w:rPr>
                <w:b/>
                <w:bCs/>
              </w:rPr>
              <w:t>Descrizione</w:t>
            </w:r>
          </w:p>
        </w:tc>
        <w:tc>
          <w:tcPr>
            <w:tcW w:w="0" w:type="auto"/>
            <w:hideMark/>
          </w:tcPr>
          <w:p w14:paraId="7EF19AC5" w14:textId="77777777" w:rsidR="00CB0A57" w:rsidRDefault="00CB0A57">
            <w:r>
              <w:rPr>
                <w:b/>
                <w:bCs/>
              </w:rPr>
              <w:t>Evidenze</w:t>
            </w:r>
          </w:p>
        </w:tc>
        <w:tc>
          <w:tcPr>
            <w:tcW w:w="0" w:type="auto"/>
            <w:hideMark/>
          </w:tcPr>
          <w:p w14:paraId="15CB6FD4" w14:textId="77777777" w:rsidR="00CB0A57" w:rsidRDefault="00CB0A57">
            <w:r>
              <w:rPr>
                <w:b/>
                <w:bCs/>
              </w:rPr>
              <w:t>Implicazioni pratiche</w:t>
            </w:r>
          </w:p>
        </w:tc>
      </w:tr>
      <w:tr w:rsidR="00CB0A57" w14:paraId="25297D05" w14:textId="77777777">
        <w:tc>
          <w:tcPr>
            <w:tcW w:w="0" w:type="auto"/>
            <w:hideMark/>
          </w:tcPr>
          <w:p w14:paraId="35D80F03" w14:textId="77777777" w:rsidR="00CB0A57" w:rsidRDefault="00CB0A57">
            <w:r>
              <w:rPr>
                <w:b/>
                <w:bCs/>
              </w:rPr>
              <w:t>Adozione dell’IA</w:t>
            </w:r>
          </w:p>
        </w:tc>
        <w:tc>
          <w:tcPr>
            <w:tcW w:w="0" w:type="auto"/>
            <w:hideMark/>
          </w:tcPr>
          <w:p w14:paraId="3CC4AED9" w14:textId="77777777" w:rsidR="00CB0A57" w:rsidRDefault="00CB0A57">
            <w:r>
              <w:t>Uso consolidato dell’apprendimento automatico e sperimentazione graduale di IA generativa, LLM e modelli di base.</w:t>
            </w:r>
          </w:p>
        </w:tc>
        <w:tc>
          <w:tcPr>
            <w:tcW w:w="0" w:type="auto"/>
            <w:hideMark/>
          </w:tcPr>
          <w:p w14:paraId="60747C9E" w14:textId="77777777" w:rsidR="00CB0A57" w:rsidRDefault="00CB0A57">
            <w:r>
              <w:t>Prevalgono applicazioni interne e a rischio relativamente basso; gli impieghi più complessi sono soprattutto in fase di prova (pp. 2–4).</w:t>
            </w:r>
          </w:p>
        </w:tc>
        <w:tc>
          <w:tcPr>
            <w:tcW w:w="0" w:type="auto"/>
            <w:hideMark/>
          </w:tcPr>
          <w:p w14:paraId="6FDDA5AB" w14:textId="77777777" w:rsidR="00CB0A57" w:rsidRDefault="00CB0A57">
            <w:r>
              <w:t>Procedere per fasi, con verifiche rigorose e supervisione umana dei sistemi autonomi.</w:t>
            </w:r>
          </w:p>
        </w:tc>
      </w:tr>
      <w:tr w:rsidR="00CB0A57" w14:paraId="00B9B635" w14:textId="77777777">
        <w:tc>
          <w:tcPr>
            <w:tcW w:w="0" w:type="auto"/>
            <w:hideMark/>
          </w:tcPr>
          <w:p w14:paraId="43ADF1DF" w14:textId="77777777" w:rsidR="00CB0A57" w:rsidRDefault="00CB0A57">
            <w:r>
              <w:rPr>
                <w:b/>
                <w:bCs/>
              </w:rPr>
              <w:t>Benefici per servizi e clienti</w:t>
            </w:r>
          </w:p>
        </w:tc>
        <w:tc>
          <w:tcPr>
            <w:tcW w:w="0" w:type="auto"/>
            <w:hideMark/>
          </w:tcPr>
          <w:p w14:paraId="0324D5AD" w14:textId="77777777" w:rsidR="00CB0A57" w:rsidRDefault="00CB0A57">
            <w:r>
              <w:t>L’IA può migliorare efficienza, innovazione, competitività e qualità dei servizi finanziari.</w:t>
            </w:r>
          </w:p>
        </w:tc>
        <w:tc>
          <w:tcPr>
            <w:tcW w:w="0" w:type="auto"/>
            <w:hideMark/>
          </w:tcPr>
          <w:p w14:paraId="37260346" w14:textId="77777777" w:rsidR="00CB0A57" w:rsidRDefault="00CB0A57">
            <w:r>
              <w:t>Impieghi in antifrode, antiriciclaggio, assistenza, monitoraggio, consulenza, analisi ESG, conformità e vigilanza dei mercati.</w:t>
            </w:r>
          </w:p>
        </w:tc>
        <w:tc>
          <w:tcPr>
            <w:tcW w:w="0" w:type="auto"/>
            <w:hideMark/>
          </w:tcPr>
          <w:p w14:paraId="48585B77" w14:textId="77777777" w:rsidR="00CB0A57" w:rsidRDefault="00CB0A57">
            <w:r>
              <w:t>Trasferire i benefici ai clienti mediante prezzi inferiori, coperture migliori, inclusione e alfabetizzazione finanziaria.</w:t>
            </w:r>
          </w:p>
        </w:tc>
      </w:tr>
      <w:tr w:rsidR="00CB0A57" w14:paraId="578F4586" w14:textId="77777777">
        <w:tc>
          <w:tcPr>
            <w:tcW w:w="0" w:type="auto"/>
            <w:hideMark/>
          </w:tcPr>
          <w:p w14:paraId="6F8FB7CA" w14:textId="77777777" w:rsidR="00CB0A57" w:rsidRDefault="00CB0A57">
            <w:r>
              <w:rPr>
                <w:b/>
                <w:bCs/>
              </w:rPr>
              <w:t>Rischi di dati e modelli</w:t>
            </w:r>
          </w:p>
        </w:tc>
        <w:tc>
          <w:tcPr>
            <w:tcW w:w="0" w:type="auto"/>
            <w:hideMark/>
          </w:tcPr>
          <w:p w14:paraId="778AA47C" w14:textId="77777777" w:rsidR="00CB0A57" w:rsidRDefault="00CB0A57">
            <w:r>
              <w:t>Dati inadeguati e modelli opachi possono generare errori, discriminazioni, violazioni della riservatezza ed esclusione.</w:t>
            </w:r>
          </w:p>
        </w:tc>
        <w:tc>
          <w:tcPr>
            <w:tcW w:w="0" w:type="auto"/>
            <w:hideMark/>
          </w:tcPr>
          <w:p w14:paraId="1CD52834" w14:textId="77777777" w:rsidR="00CB0A57" w:rsidRDefault="00CB0A57">
            <w:r>
              <w:t xml:space="preserve">I LLM introducono ulteriori rischi, comprese allucinazioni; emergono anche problemi di cybersicurezza e </w:t>
            </w:r>
            <w:proofErr w:type="spellStart"/>
            <w:r>
              <w:t>spiegabilità</w:t>
            </w:r>
            <w:proofErr w:type="spellEnd"/>
            <w:r>
              <w:t xml:space="preserve"> (pp. 3–4).</w:t>
            </w:r>
          </w:p>
        </w:tc>
        <w:tc>
          <w:tcPr>
            <w:tcW w:w="0" w:type="auto"/>
            <w:hideMark/>
          </w:tcPr>
          <w:p w14:paraId="38740FCF" w14:textId="77777777" w:rsidR="00CB0A57" w:rsidRDefault="00CB0A57">
            <w:r>
              <w:t>Rafforzare governo dei dati, test, documentazione, trasparenza e controllo umano, soprattutto nei servizi rivolti ai consumatori.</w:t>
            </w:r>
          </w:p>
        </w:tc>
      </w:tr>
      <w:tr w:rsidR="00CB0A57" w14:paraId="3F609AE3" w14:textId="77777777">
        <w:tc>
          <w:tcPr>
            <w:tcW w:w="0" w:type="auto"/>
            <w:hideMark/>
          </w:tcPr>
          <w:p w14:paraId="2E6B10E7" w14:textId="77777777" w:rsidR="00CB0A57" w:rsidRDefault="00CB0A57">
            <w:r>
              <w:rPr>
                <w:b/>
                <w:bCs/>
              </w:rPr>
              <w:t>Fornitori tecnologici terzi</w:t>
            </w:r>
          </w:p>
        </w:tc>
        <w:tc>
          <w:tcPr>
            <w:tcW w:w="0" w:type="auto"/>
            <w:hideMark/>
          </w:tcPr>
          <w:p w14:paraId="5C7444FC" w14:textId="77777777" w:rsidR="00CB0A57" w:rsidRDefault="00CB0A57">
            <w:r>
              <w:t xml:space="preserve">La dipendenza da pochi fornitori di cloud e IA può creare </w:t>
            </w:r>
            <w:r>
              <w:lastRenderedPageBreak/>
              <w:t>concentrazione e rischio sistemico.</w:t>
            </w:r>
          </w:p>
        </w:tc>
        <w:tc>
          <w:tcPr>
            <w:tcW w:w="0" w:type="auto"/>
            <w:hideMark/>
          </w:tcPr>
          <w:p w14:paraId="738753EE" w14:textId="77777777" w:rsidR="00CB0A57" w:rsidRDefault="00CB0A57">
            <w:r>
              <w:lastRenderedPageBreak/>
              <w:t xml:space="preserve">Molti operatori dipendono da un numero ristretto </w:t>
            </w:r>
            <w:r>
              <w:lastRenderedPageBreak/>
              <w:t>di fornitori, spesso di paesi terzi; la migrazione può risultare difficile.</w:t>
            </w:r>
          </w:p>
        </w:tc>
        <w:tc>
          <w:tcPr>
            <w:tcW w:w="0" w:type="auto"/>
            <w:hideMark/>
          </w:tcPr>
          <w:p w14:paraId="29ABD03E" w14:textId="77777777" w:rsidR="00CB0A57" w:rsidRDefault="00CB0A57">
            <w:r>
              <w:lastRenderedPageBreak/>
              <w:t xml:space="preserve">Predisporre continuità operativa, strategie di uscita </w:t>
            </w:r>
            <w:r>
              <w:lastRenderedPageBreak/>
              <w:t>e transizione e valutare l’applicazione delle misure DORA ai modelli ospitati da terzi.</w:t>
            </w:r>
          </w:p>
        </w:tc>
      </w:tr>
      <w:tr w:rsidR="00CB0A57" w14:paraId="0905A8AD" w14:textId="77777777">
        <w:tc>
          <w:tcPr>
            <w:tcW w:w="0" w:type="auto"/>
            <w:hideMark/>
          </w:tcPr>
          <w:p w14:paraId="7822D16D" w14:textId="77777777" w:rsidR="00CB0A57" w:rsidRDefault="00CB0A57">
            <w:r>
              <w:rPr>
                <w:b/>
                <w:bCs/>
              </w:rPr>
              <w:lastRenderedPageBreak/>
              <w:t>Quadro normativo</w:t>
            </w:r>
          </w:p>
        </w:tc>
        <w:tc>
          <w:tcPr>
            <w:tcW w:w="0" w:type="auto"/>
            <w:hideMark/>
          </w:tcPr>
          <w:p w14:paraId="6AC93011" w14:textId="77777777" w:rsidR="00CB0A57" w:rsidRDefault="00CB0A57">
            <w:r>
              <w:t>L’AI Act si sovrappone a un sistema finanziario già ampiamente regolamentato.</w:t>
            </w:r>
          </w:p>
        </w:tc>
        <w:tc>
          <w:tcPr>
            <w:tcW w:w="0" w:type="auto"/>
            <w:hideMark/>
          </w:tcPr>
          <w:p w14:paraId="4345E48D" w14:textId="77777777" w:rsidR="00CB0A57" w:rsidRDefault="00CB0A57">
            <w:r>
              <w:t>Merito creditizio e tariffazione dei rischi nelle assicurazioni vita e salute sono casi ad alto rischio; persistono sovrapposizioni e interpretazioni divergenti (pp. 4–5).</w:t>
            </w:r>
          </w:p>
        </w:tc>
        <w:tc>
          <w:tcPr>
            <w:tcW w:w="0" w:type="auto"/>
            <w:hideMark/>
          </w:tcPr>
          <w:p w14:paraId="6B5DD01C" w14:textId="77777777" w:rsidR="00CB0A57" w:rsidRDefault="00CB0A57">
            <w:r>
              <w:t>Fornire orientamenti chiari, evitare duplicazioni e applicare le norme in modo coerente e proporzionato.</w:t>
            </w:r>
          </w:p>
        </w:tc>
      </w:tr>
      <w:tr w:rsidR="00CB0A57" w14:paraId="6EABC2F8" w14:textId="77777777">
        <w:tc>
          <w:tcPr>
            <w:tcW w:w="0" w:type="auto"/>
            <w:hideMark/>
          </w:tcPr>
          <w:p w14:paraId="3924BAE8" w14:textId="77777777" w:rsidR="00CB0A57" w:rsidRDefault="00CB0A57">
            <w:r>
              <w:rPr>
                <w:b/>
                <w:bCs/>
              </w:rPr>
              <w:t>Vigilanza e sperimentazione</w:t>
            </w:r>
          </w:p>
        </w:tc>
        <w:tc>
          <w:tcPr>
            <w:tcW w:w="0" w:type="auto"/>
            <w:hideMark/>
          </w:tcPr>
          <w:p w14:paraId="512329C0" w14:textId="77777777" w:rsidR="00CB0A57" w:rsidRDefault="00CB0A57">
            <w:r>
              <w:t>Le autorità devono sviluppare competenze e strumenti adeguati senza scoraggiare l’innovazione.</w:t>
            </w:r>
          </w:p>
        </w:tc>
        <w:tc>
          <w:tcPr>
            <w:tcW w:w="0" w:type="auto"/>
            <w:hideMark/>
          </w:tcPr>
          <w:p w14:paraId="4D0591ED" w14:textId="77777777" w:rsidR="00CB0A57" w:rsidRDefault="00CB0A57">
            <w:r>
              <w:t xml:space="preserve">La risoluzione propone coordinamento, sandbox, ambienti di prova transfrontalieri, hub di innovazione e </w:t>
            </w:r>
            <w:proofErr w:type="spellStart"/>
            <w:r>
              <w:t>SupTech</w:t>
            </w:r>
            <w:proofErr w:type="spellEnd"/>
            <w:r>
              <w:t xml:space="preserve"> (pp. 5–7).</w:t>
            </w:r>
          </w:p>
        </w:tc>
        <w:tc>
          <w:tcPr>
            <w:tcW w:w="0" w:type="auto"/>
            <w:hideMark/>
          </w:tcPr>
          <w:p w14:paraId="69BC0F81" w14:textId="77777777" w:rsidR="00CB0A57" w:rsidRDefault="00CB0A57">
            <w:r>
              <w:t>Potenziare cooperazione e capacità tecniche; utilizzare l’IA per assistere, non sostituire, i supervisori umani.</w:t>
            </w:r>
          </w:p>
        </w:tc>
      </w:tr>
      <w:tr w:rsidR="00CB0A57" w14:paraId="114D8383" w14:textId="77777777">
        <w:tc>
          <w:tcPr>
            <w:tcW w:w="0" w:type="auto"/>
            <w:hideMark/>
          </w:tcPr>
          <w:p w14:paraId="4E638EA4" w14:textId="77777777" w:rsidR="00CB0A57" w:rsidRDefault="00CB0A57">
            <w:r>
              <w:rPr>
                <w:b/>
                <w:bCs/>
              </w:rPr>
              <w:t>Investimenti e competitività</w:t>
            </w:r>
          </w:p>
        </w:tc>
        <w:tc>
          <w:tcPr>
            <w:tcW w:w="0" w:type="auto"/>
            <w:hideMark/>
          </w:tcPr>
          <w:p w14:paraId="5C640ECE" w14:textId="77777777" w:rsidR="00CB0A57" w:rsidRDefault="00CB0A57">
            <w:r>
              <w:t>L’UE registra un forte ritardo nei finanziamenti destinati ai modelli di base.</w:t>
            </w:r>
          </w:p>
        </w:tc>
        <w:tc>
          <w:tcPr>
            <w:tcW w:w="0" w:type="auto"/>
            <w:hideMark/>
          </w:tcPr>
          <w:p w14:paraId="0598DDE4" w14:textId="77777777" w:rsidR="00CB0A57" w:rsidRDefault="00CB0A57">
            <w:r>
              <w:t>Nel 2018–2023: 33 miliardi di euro alle imprese UE contro oltre 120 miliardi alle imprese statunitensi (p. 5).</w:t>
            </w:r>
          </w:p>
        </w:tc>
        <w:tc>
          <w:tcPr>
            <w:tcW w:w="0" w:type="auto"/>
            <w:hideMark/>
          </w:tcPr>
          <w:p w14:paraId="54851A44" w14:textId="77777777" w:rsidR="00CB0A57" w:rsidRDefault="00CB0A57">
            <w:r>
              <w:t>Mobilitare capitale privato, sostenere il venture capital europeo e valorizzare il settore finanziario come catalizzatore.</w:t>
            </w:r>
          </w:p>
        </w:tc>
      </w:tr>
      <w:tr w:rsidR="00CB0A57" w14:paraId="082EA3FE" w14:textId="77777777">
        <w:tc>
          <w:tcPr>
            <w:tcW w:w="0" w:type="auto"/>
            <w:hideMark/>
          </w:tcPr>
          <w:p w14:paraId="65BB0623" w14:textId="77777777" w:rsidR="00CB0A57" w:rsidRDefault="00CB0A57">
            <w:r>
              <w:rPr>
                <w:b/>
                <w:bCs/>
              </w:rPr>
              <w:t>Competenze, lavoro e accesso</w:t>
            </w:r>
          </w:p>
        </w:tc>
        <w:tc>
          <w:tcPr>
            <w:tcW w:w="0" w:type="auto"/>
            <w:hideMark/>
          </w:tcPr>
          <w:p w14:paraId="52E76CD7" w14:textId="77777777" w:rsidR="00CB0A57" w:rsidRDefault="00CB0A57">
            <w:r>
              <w:t>L’adozione dell’IA richiede alfabetizzazione, competenze digitali ed etiche e adattamento professionale.</w:t>
            </w:r>
          </w:p>
        </w:tc>
        <w:tc>
          <w:tcPr>
            <w:tcW w:w="0" w:type="auto"/>
            <w:hideMark/>
          </w:tcPr>
          <w:p w14:paraId="1347652D" w14:textId="77777777" w:rsidR="00CB0A57" w:rsidRDefault="00CB0A57">
            <w:r>
              <w:t>Il Parlamento sostiene riqualificazione, partenariati pubblico-privati e accesso per le persone meno digitalizzate (pp. 6–7).</w:t>
            </w:r>
          </w:p>
        </w:tc>
        <w:tc>
          <w:tcPr>
            <w:tcW w:w="0" w:type="auto"/>
            <w:hideMark/>
          </w:tcPr>
          <w:p w14:paraId="3501267F" w14:textId="77777777" w:rsidR="00CB0A57" w:rsidRDefault="00CB0A57">
            <w:r>
              <w:t>Investire nella formazione, mantenere un controllo umano significativo e prevenire nuove forme di esclusione digitale.</w:t>
            </w:r>
          </w:p>
        </w:tc>
      </w:tr>
    </w:tbl>
    <w:p w14:paraId="5FB9FF2E" w14:textId="77777777" w:rsidR="005D77D9" w:rsidRDefault="005D77D9"/>
    <w:sectPr w:rsidR="005D77D9">
      <w:headerReference w:type="even" r:id="rId7"/>
      <w:headerReference w:type="default" r:id="rId8"/>
      <w:footerReference w:type="even" r:id="rId9"/>
      <w:footerReference w:type="default" r:id="rId10"/>
      <w:headerReference w:type="first" r:id="rId11"/>
      <w:footerReference w:type="first" r:id="rId12"/>
      <w:pgSz w:w="11906" w:h="16838"/>
      <w:pgMar w:top="790" w:right="850" w:bottom="399" w:left="1361" w:header="927" w:footer="39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810C" w14:textId="77777777" w:rsidR="00A90836" w:rsidRDefault="00A90836">
      <w:pPr>
        <w:spacing w:after="0" w:line="240" w:lineRule="auto"/>
      </w:pPr>
      <w:r>
        <w:separator/>
      </w:r>
    </w:p>
  </w:endnote>
  <w:endnote w:type="continuationSeparator" w:id="0">
    <w:p w14:paraId="3EF62404" w14:textId="77777777" w:rsidR="00A90836" w:rsidRDefault="00A9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0DD4" w14:textId="77777777" w:rsidR="00394631" w:rsidRDefault="00000000">
    <w:pPr>
      <w:spacing w:after="0" w:line="259" w:lineRule="auto"/>
      <w:ind w:left="0" w:firstLine="0"/>
      <w:jc w:val="right"/>
    </w:pPr>
    <w:r>
      <w:rPr>
        <w:noProof/>
        <w:sz w:val="22"/>
      </w:rPr>
      <mc:AlternateContent>
        <mc:Choice Requires="wpg">
          <w:drawing>
            <wp:anchor distT="0" distB="0" distL="114300" distR="114300" simplePos="0" relativeHeight="251661312" behindDoc="0" locked="0" layoutInCell="1" allowOverlap="1" wp14:anchorId="065C4C18" wp14:editId="1DDFDFF4">
              <wp:simplePos x="0" y="0"/>
              <wp:positionH relativeFrom="page">
                <wp:posOffset>540000</wp:posOffset>
              </wp:positionH>
              <wp:positionV relativeFrom="page">
                <wp:posOffset>10242648</wp:posOffset>
              </wp:positionV>
              <wp:extent cx="6480001" cy="6325"/>
              <wp:effectExtent l="0" t="0" r="0" b="0"/>
              <wp:wrapSquare wrapText="bothSides"/>
              <wp:docPr id="25372" name="Group 25372"/>
              <wp:cNvGraphicFramePr/>
              <a:graphic xmlns:a="http://schemas.openxmlformats.org/drawingml/2006/main">
                <a:graphicData uri="http://schemas.microsoft.com/office/word/2010/wordprocessingGroup">
                  <wpg:wgp>
                    <wpg:cNvGrpSpPr/>
                    <wpg:grpSpPr>
                      <a:xfrm>
                        <a:off x="0" y="0"/>
                        <a:ext cx="6480001" cy="6325"/>
                        <a:chOff x="0" y="0"/>
                        <a:chExt cx="6480001" cy="6325"/>
                      </a:xfrm>
                    </wpg:grpSpPr>
                    <wps:wsp>
                      <wps:cNvPr id="25545" name="Shape 25545"/>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72" style="width:510.236pt;height:0.498047pt;position:absolute;mso-position-horizontal-relative:page;mso-position-horizontal:absolute;margin-left:42.5197pt;mso-position-vertical-relative:page;margin-top:806.508pt;" coordsize="64800,63">
              <v:shape id="Shape 25546"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r>
      <w:t>ELI: http://data.europa.eu/eli/C/2026/1701/oj</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D371" w14:textId="77777777" w:rsidR="00394631" w:rsidRDefault="00000000">
    <w:pPr>
      <w:tabs>
        <w:tab w:val="right" w:pos="9694"/>
      </w:tabs>
      <w:spacing w:after="0" w:line="259" w:lineRule="auto"/>
      <w:ind w:left="-510" w:firstLine="0"/>
      <w:jc w:val="left"/>
    </w:pPr>
    <w:r>
      <w:rPr>
        <w:noProof/>
        <w:sz w:val="22"/>
      </w:rPr>
      <mc:AlternateContent>
        <mc:Choice Requires="wpg">
          <w:drawing>
            <wp:anchor distT="0" distB="0" distL="114300" distR="114300" simplePos="0" relativeHeight="251662336" behindDoc="0" locked="0" layoutInCell="1" allowOverlap="1" wp14:anchorId="309F6610" wp14:editId="6E1B4628">
              <wp:simplePos x="0" y="0"/>
              <wp:positionH relativeFrom="page">
                <wp:posOffset>540000</wp:posOffset>
              </wp:positionH>
              <wp:positionV relativeFrom="page">
                <wp:posOffset>10242648</wp:posOffset>
              </wp:positionV>
              <wp:extent cx="6480001" cy="6325"/>
              <wp:effectExtent l="0" t="0" r="0" b="0"/>
              <wp:wrapSquare wrapText="bothSides"/>
              <wp:docPr id="25350" name="Group 25350"/>
              <wp:cNvGraphicFramePr/>
              <a:graphic xmlns:a="http://schemas.openxmlformats.org/drawingml/2006/main">
                <a:graphicData uri="http://schemas.microsoft.com/office/word/2010/wordprocessingGroup">
                  <wpg:wgp>
                    <wpg:cNvGrpSpPr/>
                    <wpg:grpSpPr>
                      <a:xfrm>
                        <a:off x="0" y="0"/>
                        <a:ext cx="6480001" cy="6325"/>
                        <a:chOff x="0" y="0"/>
                        <a:chExt cx="6480001" cy="6325"/>
                      </a:xfrm>
                    </wpg:grpSpPr>
                    <wps:wsp>
                      <wps:cNvPr id="25543" name="Shape 25543"/>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50" style="width:510.236pt;height:0.498047pt;position:absolute;mso-position-horizontal-relative:page;mso-position-horizontal:absolute;margin-left:42.5197pt;mso-position-vertical-relative:page;margin-top:806.508pt;" coordsize="64800,63">
              <v:shape id="Shape 25544"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r>
      <w:t xml:space="preserve">ELI: http://data.europa.eu/eli/C/2026/1701/oj </w:t>
    </w:r>
    <w:r>
      <w:tab/>
    </w:r>
    <w:r>
      <w:fldChar w:fldCharType="begin"/>
    </w:r>
    <w:r>
      <w:instrText xml:space="preserve"> PAGE   \* MERGEFORMAT </w:instrText>
    </w:r>
    <w:r>
      <w:fldChar w:fldCharType="separate"/>
    </w:r>
    <w:r>
      <w:t>1</w:t>
    </w:r>
    <w:r>
      <w:fldChar w:fldCharType="end"/>
    </w:r>
    <w:r>
      <w:t>/</w:t>
    </w:r>
    <w:fldSimple w:instr=" NUMPAGES   \* MERGEFORMAT ">
      <w: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8B5E" w14:textId="77777777" w:rsidR="00394631" w:rsidRDefault="00000000">
    <w:pPr>
      <w:tabs>
        <w:tab w:val="right" w:pos="9694"/>
      </w:tabs>
      <w:spacing w:after="0" w:line="259" w:lineRule="auto"/>
      <w:ind w:left="-510" w:firstLine="0"/>
      <w:jc w:val="left"/>
    </w:pPr>
    <w:r>
      <w:rPr>
        <w:noProof/>
        <w:sz w:val="22"/>
      </w:rPr>
      <mc:AlternateContent>
        <mc:Choice Requires="wpg">
          <w:drawing>
            <wp:anchor distT="0" distB="0" distL="114300" distR="114300" simplePos="0" relativeHeight="251663360" behindDoc="0" locked="0" layoutInCell="1" allowOverlap="1" wp14:anchorId="5C3BA353" wp14:editId="76F597EB">
              <wp:simplePos x="0" y="0"/>
              <wp:positionH relativeFrom="page">
                <wp:posOffset>540000</wp:posOffset>
              </wp:positionH>
              <wp:positionV relativeFrom="page">
                <wp:posOffset>10242648</wp:posOffset>
              </wp:positionV>
              <wp:extent cx="6480001" cy="6325"/>
              <wp:effectExtent l="0" t="0" r="0" b="0"/>
              <wp:wrapSquare wrapText="bothSides"/>
              <wp:docPr id="25324" name="Group 25324"/>
              <wp:cNvGraphicFramePr/>
              <a:graphic xmlns:a="http://schemas.openxmlformats.org/drawingml/2006/main">
                <a:graphicData uri="http://schemas.microsoft.com/office/word/2010/wordprocessingGroup">
                  <wpg:wgp>
                    <wpg:cNvGrpSpPr/>
                    <wpg:grpSpPr>
                      <a:xfrm>
                        <a:off x="0" y="0"/>
                        <a:ext cx="6480001" cy="6325"/>
                        <a:chOff x="0" y="0"/>
                        <a:chExt cx="6480001" cy="6325"/>
                      </a:xfrm>
                    </wpg:grpSpPr>
                    <wps:wsp>
                      <wps:cNvPr id="25541" name="Shape 25541"/>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24" style="width:510.236pt;height:0.498047pt;position:absolute;mso-position-horizontal-relative:page;mso-position-horizontal:absolute;margin-left:42.5197pt;mso-position-vertical-relative:page;margin-top:806.508pt;" coordsize="64800,63">
              <v:shape id="Shape 25542"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r>
      <w:t xml:space="preserve">ELI: http://data.europa.eu/eli/C/2026/1701/oj </w:t>
    </w:r>
    <w:r>
      <w:tab/>
    </w:r>
    <w:r>
      <w:fldChar w:fldCharType="begin"/>
    </w:r>
    <w:r>
      <w:instrText xml:space="preserve"> PAGE   \* MERGEFORMAT </w:instrText>
    </w:r>
    <w:r>
      <w:fldChar w:fldCharType="separate"/>
    </w:r>
    <w:r>
      <w:t>1</w:t>
    </w:r>
    <w:r>
      <w:fldChar w:fldCharType="end"/>
    </w:r>
    <w:r>
      <w:t>/</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32DD" w14:textId="77777777" w:rsidR="00A90836" w:rsidRDefault="00A90836">
      <w:pPr>
        <w:spacing w:after="0" w:line="240" w:lineRule="auto"/>
      </w:pPr>
      <w:r>
        <w:separator/>
      </w:r>
    </w:p>
  </w:footnote>
  <w:footnote w:type="continuationSeparator" w:id="0">
    <w:p w14:paraId="6DD2F94F" w14:textId="77777777" w:rsidR="00A90836" w:rsidRDefault="00A9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368D" w14:textId="77777777" w:rsidR="00394631" w:rsidRDefault="00000000">
    <w:pPr>
      <w:tabs>
        <w:tab w:val="right" w:pos="9694"/>
      </w:tabs>
      <w:spacing w:after="0" w:line="259" w:lineRule="auto"/>
      <w:ind w:left="-510" w:firstLine="0"/>
      <w:jc w:val="left"/>
    </w:pPr>
    <w:r>
      <w:rPr>
        <w:noProof/>
        <w:sz w:val="22"/>
      </w:rPr>
      <mc:AlternateContent>
        <mc:Choice Requires="wpg">
          <w:drawing>
            <wp:anchor distT="0" distB="0" distL="114300" distR="114300" simplePos="0" relativeHeight="251658240" behindDoc="0" locked="0" layoutInCell="1" allowOverlap="1" wp14:anchorId="1C229313" wp14:editId="7570FC24">
              <wp:simplePos x="0" y="0"/>
              <wp:positionH relativeFrom="page">
                <wp:posOffset>540000</wp:posOffset>
              </wp:positionH>
              <wp:positionV relativeFrom="page">
                <wp:posOffset>803682</wp:posOffset>
              </wp:positionV>
              <wp:extent cx="6480001" cy="6324"/>
              <wp:effectExtent l="0" t="0" r="0" b="0"/>
              <wp:wrapSquare wrapText="bothSides"/>
              <wp:docPr id="25363" name="Group 25363"/>
              <wp:cNvGraphicFramePr/>
              <a:graphic xmlns:a="http://schemas.openxmlformats.org/drawingml/2006/main">
                <a:graphicData uri="http://schemas.microsoft.com/office/word/2010/wordprocessingGroup">
                  <wpg:wgp>
                    <wpg:cNvGrpSpPr/>
                    <wpg:grpSpPr>
                      <a:xfrm>
                        <a:off x="0" y="0"/>
                        <a:ext cx="6480001" cy="6324"/>
                        <a:chOff x="0" y="0"/>
                        <a:chExt cx="6480001" cy="6324"/>
                      </a:xfrm>
                    </wpg:grpSpPr>
                    <wps:wsp>
                      <wps:cNvPr id="25539" name="Shape 25539"/>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63" style="width:510.236pt;height:0.497986pt;position:absolute;mso-position-horizontal-relative:page;mso-position-horizontal:absolute;margin-left:42.5197pt;mso-position-vertical-relative:page;margin-top:63.282pt;" coordsize="64800,63">
              <v:shape id="Shape 25540"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r>
      <w:rPr>
        <w:sz w:val="32"/>
      </w:rPr>
      <w:t xml:space="preserve">EN </w:t>
    </w:r>
    <w:r>
      <w:rPr>
        <w:sz w:val="32"/>
      </w:rPr>
      <w:tab/>
    </w:r>
    <w:r>
      <w:t xml:space="preserve">OJ C, 24.4.2026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CB5" w14:textId="77777777" w:rsidR="00394631" w:rsidRDefault="00000000">
    <w:pPr>
      <w:tabs>
        <w:tab w:val="right" w:pos="9694"/>
      </w:tabs>
      <w:spacing w:after="0" w:line="259" w:lineRule="auto"/>
      <w:ind w:left="-510" w:firstLine="0"/>
      <w:jc w:val="left"/>
    </w:pPr>
    <w:r>
      <w:rPr>
        <w:noProof/>
        <w:sz w:val="22"/>
      </w:rPr>
      <mc:AlternateContent>
        <mc:Choice Requires="wpg">
          <w:drawing>
            <wp:anchor distT="0" distB="0" distL="114300" distR="114300" simplePos="0" relativeHeight="251659264" behindDoc="0" locked="0" layoutInCell="1" allowOverlap="1" wp14:anchorId="0A85F2C8" wp14:editId="4FBFA651">
              <wp:simplePos x="0" y="0"/>
              <wp:positionH relativeFrom="page">
                <wp:posOffset>540000</wp:posOffset>
              </wp:positionH>
              <wp:positionV relativeFrom="page">
                <wp:posOffset>803682</wp:posOffset>
              </wp:positionV>
              <wp:extent cx="6480001" cy="6324"/>
              <wp:effectExtent l="0" t="0" r="0" b="0"/>
              <wp:wrapSquare wrapText="bothSides"/>
              <wp:docPr id="25337" name="Group 25337"/>
              <wp:cNvGraphicFramePr/>
              <a:graphic xmlns:a="http://schemas.openxmlformats.org/drawingml/2006/main">
                <a:graphicData uri="http://schemas.microsoft.com/office/word/2010/wordprocessingGroup">
                  <wpg:wgp>
                    <wpg:cNvGrpSpPr/>
                    <wpg:grpSpPr>
                      <a:xfrm>
                        <a:off x="0" y="0"/>
                        <a:ext cx="6480001" cy="6324"/>
                        <a:chOff x="0" y="0"/>
                        <a:chExt cx="6480001" cy="6324"/>
                      </a:xfrm>
                    </wpg:grpSpPr>
                    <wps:wsp>
                      <wps:cNvPr id="25537" name="Shape 25537"/>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37" style="width:510.236pt;height:0.497986pt;position:absolute;mso-position-horizontal-relative:page;mso-position-horizontal:absolute;margin-left:42.5197pt;mso-position-vertical-relative:page;margin-top:63.282pt;" coordsize="64800,63">
              <v:shape id="Shape 25538"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r>
      <w:t xml:space="preserve">OJ C, 24.4.2026 </w:t>
    </w:r>
    <w:r>
      <w:tab/>
    </w:r>
    <w:r>
      <w:rPr>
        <w:sz w:val="32"/>
      </w:rPr>
      <w:t xml:space="preserve">EN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B517" w14:textId="77777777" w:rsidR="00394631" w:rsidRDefault="00000000">
    <w:pPr>
      <w:spacing w:after="0" w:line="259" w:lineRule="auto"/>
      <w:ind w:left="-1361" w:right="11055" w:firstLine="0"/>
      <w:jc w:val="left"/>
    </w:pPr>
    <w:r>
      <w:rPr>
        <w:noProof/>
        <w:sz w:val="22"/>
      </w:rPr>
      <mc:AlternateContent>
        <mc:Choice Requires="wpg">
          <w:drawing>
            <wp:anchor distT="0" distB="0" distL="114300" distR="114300" simplePos="0" relativeHeight="251660288" behindDoc="0" locked="0" layoutInCell="1" allowOverlap="1" wp14:anchorId="275F5E46" wp14:editId="10B07315">
              <wp:simplePos x="0" y="0"/>
              <wp:positionH relativeFrom="page">
                <wp:posOffset>540000</wp:posOffset>
              </wp:positionH>
              <wp:positionV relativeFrom="page">
                <wp:posOffset>803682</wp:posOffset>
              </wp:positionV>
              <wp:extent cx="6480001" cy="6324"/>
              <wp:effectExtent l="0" t="0" r="0" b="0"/>
              <wp:wrapSquare wrapText="bothSides"/>
              <wp:docPr id="25311" name="Group 25311"/>
              <wp:cNvGraphicFramePr/>
              <a:graphic xmlns:a="http://schemas.openxmlformats.org/drawingml/2006/main">
                <a:graphicData uri="http://schemas.microsoft.com/office/word/2010/wordprocessingGroup">
                  <wpg:wgp>
                    <wpg:cNvGrpSpPr/>
                    <wpg:grpSpPr>
                      <a:xfrm>
                        <a:off x="0" y="0"/>
                        <a:ext cx="6480001" cy="6324"/>
                        <a:chOff x="0" y="0"/>
                        <a:chExt cx="6480001" cy="6324"/>
                      </a:xfrm>
                    </wpg:grpSpPr>
                    <wps:wsp>
                      <wps:cNvPr id="25535" name="Shape 25535"/>
                      <wps:cNvSpPr/>
                      <wps:spPr>
                        <a:xfrm>
                          <a:off x="0" y="0"/>
                          <a:ext cx="6480001" cy="9144"/>
                        </a:xfrm>
                        <a:custGeom>
                          <a:avLst/>
                          <a:gdLst/>
                          <a:ahLst/>
                          <a:cxnLst/>
                          <a:rect l="0" t="0" r="0" b="0"/>
                          <a:pathLst>
                            <a:path w="6480001" h="9144">
                              <a:moveTo>
                                <a:pt x="0" y="0"/>
                              </a:moveTo>
                              <a:lnTo>
                                <a:pt x="6480001" y="0"/>
                              </a:lnTo>
                              <a:lnTo>
                                <a:pt x="648000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11" style="width:510.236pt;height:0.497986pt;position:absolute;mso-position-horizontal-relative:page;mso-position-horizontal:absolute;margin-left:42.5197pt;mso-position-vertical-relative:page;margin-top:63.282pt;" coordsize="64800,63">
              <v:shape id="Shape 25536" style="position:absolute;width:64800;height:91;left:0;top:0;" coordsize="6480001,9144" path="m0,0l6480001,0l6480001,9144l0,9144l0,0">
                <v:stroke weight="0pt" endcap="round" joinstyle="round"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BF2"/>
    <w:multiLevelType w:val="hybridMultilevel"/>
    <w:tmpl w:val="51C8C918"/>
    <w:lvl w:ilvl="0" w:tplc="389E934C">
      <w:start w:val="3"/>
      <w:numFmt w:val="decimal"/>
      <w:lvlText w:val="(%1)"/>
      <w:lvlJc w:val="left"/>
      <w:pPr>
        <w:ind w:left="7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E64B9DC">
      <w:start w:val="1"/>
      <w:numFmt w:val="lowerLetter"/>
      <w:lvlText w:val="%2"/>
      <w:lvlJc w:val="left"/>
      <w:pPr>
        <w:ind w:left="15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BA30475C">
      <w:start w:val="1"/>
      <w:numFmt w:val="lowerRoman"/>
      <w:lvlText w:val="%3"/>
      <w:lvlJc w:val="left"/>
      <w:pPr>
        <w:ind w:left="23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8784630">
      <w:start w:val="1"/>
      <w:numFmt w:val="decimal"/>
      <w:lvlText w:val="%4"/>
      <w:lvlJc w:val="left"/>
      <w:pPr>
        <w:ind w:left="30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474FB3E">
      <w:start w:val="1"/>
      <w:numFmt w:val="lowerLetter"/>
      <w:lvlText w:val="%5"/>
      <w:lvlJc w:val="left"/>
      <w:pPr>
        <w:ind w:left="37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D8E007E">
      <w:start w:val="1"/>
      <w:numFmt w:val="lowerRoman"/>
      <w:lvlText w:val="%6"/>
      <w:lvlJc w:val="left"/>
      <w:pPr>
        <w:ind w:left="44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2F04072">
      <w:start w:val="1"/>
      <w:numFmt w:val="decimal"/>
      <w:lvlText w:val="%7"/>
      <w:lvlJc w:val="left"/>
      <w:pPr>
        <w:ind w:left="51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722B72A">
      <w:start w:val="1"/>
      <w:numFmt w:val="lowerLetter"/>
      <w:lvlText w:val="%8"/>
      <w:lvlJc w:val="left"/>
      <w:pPr>
        <w:ind w:left="59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6276E5D4">
      <w:start w:val="1"/>
      <w:numFmt w:val="lowerRoman"/>
      <w:lvlText w:val="%9"/>
      <w:lvlJc w:val="left"/>
      <w:pPr>
        <w:ind w:left="66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17C2691"/>
    <w:multiLevelType w:val="multilevel"/>
    <w:tmpl w:val="6AD8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E0EFF"/>
    <w:multiLevelType w:val="hybridMultilevel"/>
    <w:tmpl w:val="01045544"/>
    <w:lvl w:ilvl="0" w:tplc="75A8510C">
      <w:start w:val="1"/>
      <w:numFmt w:val="upperLetter"/>
      <w:lvlText w:val="%1."/>
      <w:lvlJc w:val="left"/>
      <w:pPr>
        <w:ind w:left="4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994DE7A">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028B070">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A709658">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46E15DE">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41AB7E4">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5846F74">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11C81FE">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1864D02">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81335D1"/>
    <w:multiLevelType w:val="hybridMultilevel"/>
    <w:tmpl w:val="9BC41742"/>
    <w:lvl w:ilvl="0" w:tplc="8B162B62">
      <w:start w:val="11"/>
      <w:numFmt w:val="decimal"/>
      <w:lvlText w:val="%1."/>
      <w:lvlJc w:val="left"/>
      <w:pPr>
        <w:ind w:left="4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3EC9286">
      <w:start w:val="1"/>
      <w:numFmt w:val="lowerLetter"/>
      <w:lvlText w:val="%2"/>
      <w:lvlJc w:val="left"/>
      <w:pPr>
        <w:ind w:left="11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8542544">
      <w:start w:val="1"/>
      <w:numFmt w:val="lowerRoman"/>
      <w:lvlText w:val="%3"/>
      <w:lvlJc w:val="left"/>
      <w:pPr>
        <w:ind w:left="188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B28F228">
      <w:start w:val="1"/>
      <w:numFmt w:val="decimal"/>
      <w:lvlText w:val="%4"/>
      <w:lvlJc w:val="left"/>
      <w:pPr>
        <w:ind w:left="260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DD033A8">
      <w:start w:val="1"/>
      <w:numFmt w:val="lowerLetter"/>
      <w:lvlText w:val="%5"/>
      <w:lvlJc w:val="left"/>
      <w:pPr>
        <w:ind w:left="332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CC28F9E">
      <w:start w:val="1"/>
      <w:numFmt w:val="lowerRoman"/>
      <w:lvlText w:val="%6"/>
      <w:lvlJc w:val="left"/>
      <w:pPr>
        <w:ind w:left="404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74A94BC">
      <w:start w:val="1"/>
      <w:numFmt w:val="decimal"/>
      <w:lvlText w:val="%7"/>
      <w:lvlJc w:val="left"/>
      <w:pPr>
        <w:ind w:left="47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BD8DCDE">
      <w:start w:val="1"/>
      <w:numFmt w:val="lowerLetter"/>
      <w:lvlText w:val="%8"/>
      <w:lvlJc w:val="left"/>
      <w:pPr>
        <w:ind w:left="548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336AF14">
      <w:start w:val="1"/>
      <w:numFmt w:val="lowerRoman"/>
      <w:lvlText w:val="%9"/>
      <w:lvlJc w:val="left"/>
      <w:pPr>
        <w:ind w:left="620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3720274"/>
    <w:multiLevelType w:val="hybridMultilevel"/>
    <w:tmpl w:val="A3FA3110"/>
    <w:lvl w:ilvl="0" w:tplc="9CAAC06A">
      <w:start w:val="1"/>
      <w:numFmt w:val="decimal"/>
      <w:lvlText w:val="%1."/>
      <w:lvlJc w:val="left"/>
      <w:pPr>
        <w:ind w:left="4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A6AD528">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C1C784A">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9344C78">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75C743C">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AAAE452">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B0A9D5E">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ED4534C">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06C3AB0">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69275A7"/>
    <w:multiLevelType w:val="hybridMultilevel"/>
    <w:tmpl w:val="B51433DE"/>
    <w:lvl w:ilvl="0" w:tplc="1F0C6594">
      <w:start w:val="13"/>
      <w:numFmt w:val="decimal"/>
      <w:lvlText w:val="(%1)"/>
      <w:lvlJc w:val="left"/>
      <w:pPr>
        <w:ind w:left="7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DC041BA">
      <w:start w:val="1"/>
      <w:numFmt w:val="lowerLetter"/>
      <w:lvlText w:val="%2"/>
      <w:lvlJc w:val="left"/>
      <w:pPr>
        <w:ind w:left="15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E8BC002A">
      <w:start w:val="1"/>
      <w:numFmt w:val="lowerRoman"/>
      <w:lvlText w:val="%3"/>
      <w:lvlJc w:val="left"/>
      <w:pPr>
        <w:ind w:left="23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1A6C60C">
      <w:start w:val="1"/>
      <w:numFmt w:val="decimal"/>
      <w:lvlText w:val="%4"/>
      <w:lvlJc w:val="left"/>
      <w:pPr>
        <w:ind w:left="30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B5EB8DA">
      <w:start w:val="1"/>
      <w:numFmt w:val="lowerLetter"/>
      <w:lvlText w:val="%5"/>
      <w:lvlJc w:val="left"/>
      <w:pPr>
        <w:ind w:left="37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11F09C32">
      <w:start w:val="1"/>
      <w:numFmt w:val="lowerRoman"/>
      <w:lvlText w:val="%6"/>
      <w:lvlJc w:val="left"/>
      <w:pPr>
        <w:ind w:left="44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C024E6A">
      <w:start w:val="1"/>
      <w:numFmt w:val="decimal"/>
      <w:lvlText w:val="%7"/>
      <w:lvlJc w:val="left"/>
      <w:pPr>
        <w:ind w:left="51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EFEBCC8">
      <w:start w:val="1"/>
      <w:numFmt w:val="lowerLetter"/>
      <w:lvlText w:val="%8"/>
      <w:lvlJc w:val="left"/>
      <w:pPr>
        <w:ind w:left="59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9884F50">
      <w:start w:val="1"/>
      <w:numFmt w:val="lowerRoman"/>
      <w:lvlText w:val="%9"/>
      <w:lvlJc w:val="left"/>
      <w:pPr>
        <w:ind w:left="66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34596BBE"/>
    <w:multiLevelType w:val="hybridMultilevel"/>
    <w:tmpl w:val="3D36D166"/>
    <w:lvl w:ilvl="0" w:tplc="D24A0546">
      <w:start w:val="4"/>
      <w:numFmt w:val="decimal"/>
      <w:lvlText w:val="%1."/>
      <w:lvlJc w:val="left"/>
      <w:pPr>
        <w:ind w:left="96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0426A38">
      <w:start w:val="1"/>
      <w:numFmt w:val="lowerLetter"/>
      <w:lvlText w:val="%2"/>
      <w:lvlJc w:val="left"/>
      <w:pPr>
        <w:ind w:left="15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6EA63F4">
      <w:start w:val="1"/>
      <w:numFmt w:val="lowerRoman"/>
      <w:lvlText w:val="%3"/>
      <w:lvlJc w:val="left"/>
      <w:pPr>
        <w:ind w:left="23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1643F84">
      <w:start w:val="1"/>
      <w:numFmt w:val="decimal"/>
      <w:lvlText w:val="%4"/>
      <w:lvlJc w:val="left"/>
      <w:pPr>
        <w:ind w:left="30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1C64386">
      <w:start w:val="1"/>
      <w:numFmt w:val="lowerLetter"/>
      <w:lvlText w:val="%5"/>
      <w:lvlJc w:val="left"/>
      <w:pPr>
        <w:ind w:left="37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1D28756">
      <w:start w:val="1"/>
      <w:numFmt w:val="lowerRoman"/>
      <w:lvlText w:val="%6"/>
      <w:lvlJc w:val="left"/>
      <w:pPr>
        <w:ind w:left="44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7A49F02">
      <w:start w:val="1"/>
      <w:numFmt w:val="decimal"/>
      <w:lvlText w:val="%7"/>
      <w:lvlJc w:val="left"/>
      <w:pPr>
        <w:ind w:left="51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8B0AFD6">
      <w:start w:val="1"/>
      <w:numFmt w:val="lowerLetter"/>
      <w:lvlText w:val="%8"/>
      <w:lvlJc w:val="left"/>
      <w:pPr>
        <w:ind w:left="59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E8A89E2">
      <w:start w:val="1"/>
      <w:numFmt w:val="lowerRoman"/>
      <w:lvlText w:val="%9"/>
      <w:lvlJc w:val="left"/>
      <w:pPr>
        <w:ind w:left="66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B4D605B"/>
    <w:multiLevelType w:val="hybridMultilevel"/>
    <w:tmpl w:val="A6F47F72"/>
    <w:lvl w:ilvl="0" w:tplc="AB149610">
      <w:start w:val="16"/>
      <w:numFmt w:val="decimal"/>
      <w:lvlText w:val="(%1)"/>
      <w:lvlJc w:val="left"/>
      <w:pPr>
        <w:ind w:left="25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DDC06AE">
      <w:start w:val="18"/>
      <w:numFmt w:val="decimal"/>
      <w:lvlText w:val="%2."/>
      <w:lvlJc w:val="left"/>
      <w:pPr>
        <w:ind w:left="96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2F6ED74">
      <w:start w:val="1"/>
      <w:numFmt w:val="lowerRoman"/>
      <w:lvlText w:val="%3"/>
      <w:lvlJc w:val="left"/>
      <w:pPr>
        <w:ind w:left="14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F2CF9BA">
      <w:start w:val="1"/>
      <w:numFmt w:val="decimal"/>
      <w:lvlText w:val="%4"/>
      <w:lvlJc w:val="left"/>
      <w:pPr>
        <w:ind w:left="2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97632F6">
      <w:start w:val="1"/>
      <w:numFmt w:val="lowerLetter"/>
      <w:lvlText w:val="%5"/>
      <w:lvlJc w:val="left"/>
      <w:pPr>
        <w:ind w:left="291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BF614A6">
      <w:start w:val="1"/>
      <w:numFmt w:val="lowerRoman"/>
      <w:lvlText w:val="%6"/>
      <w:lvlJc w:val="left"/>
      <w:pPr>
        <w:ind w:left="363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61CDE34">
      <w:start w:val="1"/>
      <w:numFmt w:val="decimal"/>
      <w:lvlText w:val="%7"/>
      <w:lvlJc w:val="left"/>
      <w:pPr>
        <w:ind w:left="435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C0E3DA8">
      <w:start w:val="1"/>
      <w:numFmt w:val="lowerLetter"/>
      <w:lvlText w:val="%8"/>
      <w:lvlJc w:val="left"/>
      <w:pPr>
        <w:ind w:left="50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01EC2B6">
      <w:start w:val="1"/>
      <w:numFmt w:val="lowerRoman"/>
      <w:lvlText w:val="%9"/>
      <w:lvlJc w:val="left"/>
      <w:pPr>
        <w:ind w:left="57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463280703">
    <w:abstractNumId w:val="0"/>
  </w:num>
  <w:num w:numId="2" w16cid:durableId="1015956931">
    <w:abstractNumId w:val="5"/>
  </w:num>
  <w:num w:numId="3" w16cid:durableId="15892337">
    <w:abstractNumId w:val="2"/>
  </w:num>
  <w:num w:numId="4" w16cid:durableId="346174900">
    <w:abstractNumId w:val="4"/>
  </w:num>
  <w:num w:numId="5" w16cid:durableId="1983340512">
    <w:abstractNumId w:val="6"/>
  </w:num>
  <w:num w:numId="6" w16cid:durableId="1110856964">
    <w:abstractNumId w:val="3"/>
  </w:num>
  <w:num w:numId="7" w16cid:durableId="215825069">
    <w:abstractNumId w:val="7"/>
  </w:num>
  <w:num w:numId="8" w16cid:durableId="673991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631"/>
    <w:rsid w:val="00394631"/>
    <w:rsid w:val="004D6266"/>
    <w:rsid w:val="005D77D9"/>
    <w:rsid w:val="00A90836"/>
    <w:rsid w:val="00C15FF4"/>
    <w:rsid w:val="00CB0A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A3EFA"/>
  <w15:docId w15:val="{B0A77B10-F621-494A-A116-F5268804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224" w:lineRule="auto"/>
      <w:ind w:left="803" w:hanging="463"/>
      <w:jc w:val="both"/>
    </w:pPr>
    <w:rPr>
      <w:rFonts w:ascii="Calibri" w:eastAsia="Calibri" w:hAnsi="Calibri" w:cs="Calibri"/>
      <w:color w:val="000000"/>
      <w:sz w:val="19"/>
    </w:rPr>
  </w:style>
  <w:style w:type="paragraph" w:styleId="Titolo1">
    <w:name w:val="heading 1"/>
    <w:next w:val="Normale"/>
    <w:link w:val="Titolo1Carattere"/>
    <w:uiPriority w:val="9"/>
    <w:qFormat/>
    <w:pPr>
      <w:keepNext/>
      <w:keepLines/>
      <w:spacing w:after="131" w:line="259" w:lineRule="auto"/>
      <w:outlineLvl w:val="0"/>
    </w:pPr>
    <w:rPr>
      <w:rFonts w:ascii="Calibri" w:eastAsia="Calibri" w:hAnsi="Calibri" w:cs="Calibri"/>
      <w:b/>
      <w:color w:val="000000"/>
      <w:sz w:val="23"/>
    </w:rPr>
  </w:style>
  <w:style w:type="paragraph" w:styleId="Titolo2">
    <w:name w:val="heading 2"/>
    <w:next w:val="Normale"/>
    <w:link w:val="Titolo2Carattere"/>
    <w:uiPriority w:val="9"/>
    <w:unhideWhenUsed/>
    <w:qFormat/>
    <w:pPr>
      <w:keepNext/>
      <w:keepLines/>
      <w:spacing w:after="298" w:line="265" w:lineRule="auto"/>
      <w:ind w:left="10" w:hanging="10"/>
      <w:outlineLvl w:val="1"/>
    </w:pPr>
    <w:rPr>
      <w:rFonts w:ascii="Calibri" w:eastAsia="Calibri" w:hAnsi="Calibri" w:cs="Calibri"/>
      <w:b/>
      <w:i/>
      <w:color w:val="000000"/>
      <w:sz w:val="19"/>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uiPriority w:val="9"/>
    <w:rPr>
      <w:rFonts w:ascii="Calibri" w:eastAsia="Calibri" w:hAnsi="Calibri" w:cs="Calibri"/>
      <w:b/>
      <w:i/>
      <w:color w:val="000000"/>
      <w:sz w:val="19"/>
    </w:rPr>
  </w:style>
  <w:style w:type="character" w:customStyle="1" w:styleId="Titolo1Carattere">
    <w:name w:val="Titolo 1 Carattere"/>
    <w:link w:val="Titolo1"/>
    <w:uiPriority w:val="9"/>
    <w:rPr>
      <w:rFonts w:ascii="Calibri" w:eastAsia="Calibri" w:hAnsi="Calibri" w:cs="Calibri"/>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eWeb">
    <w:name w:val="Normal (Web)"/>
    <w:basedOn w:val="Normale"/>
    <w:uiPriority w:val="99"/>
    <w:semiHidden/>
    <w:unhideWhenUsed/>
    <w:rsid w:val="00C15FF4"/>
    <w:pPr>
      <w:spacing w:before="100" w:beforeAutospacing="1" w:after="100" w:afterAutospacing="1" w:line="240" w:lineRule="auto"/>
      <w:ind w:left="0" w:firstLine="0"/>
      <w:jc w:val="left"/>
    </w:pPr>
    <w:rPr>
      <w:rFonts w:ascii="Times New Roman" w:eastAsiaTheme="minorEastAsia" w:hAnsi="Times New Roman" w:cs="Times New Roman"/>
      <w:color w:val="auto"/>
      <w:sz w:val="24"/>
    </w:rPr>
  </w:style>
  <w:style w:type="paragraph" w:styleId="Paragrafoelenco">
    <w:name w:val="List Paragraph"/>
    <w:basedOn w:val="Normale"/>
    <w:uiPriority w:val="34"/>
    <w:qFormat/>
    <w:rsid w:val="00C15FF4"/>
    <w:pPr>
      <w:ind w:left="720"/>
      <w:contextualSpacing/>
    </w:pPr>
  </w:style>
  <w:style w:type="paragraph" w:styleId="Titolo">
    <w:name w:val="Title"/>
    <w:basedOn w:val="Normale"/>
    <w:next w:val="Normale"/>
    <w:link w:val="TitoloCarattere"/>
    <w:uiPriority w:val="10"/>
    <w:qFormat/>
    <w:rsid w:val="00C15FF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oloCarattere">
    <w:name w:val="Titolo Carattere"/>
    <w:basedOn w:val="Carpredefinitoparagrafo"/>
    <w:link w:val="Titolo"/>
    <w:uiPriority w:val="10"/>
    <w:rsid w:val="00C15F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77D9"/>
    <w:pPr>
      <w:numPr>
        <w:ilvl w:val="1"/>
      </w:numPr>
      <w:ind w:left="803" w:hanging="463"/>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5D77D9"/>
    <w:rPr>
      <w:color w:val="5A5A5A" w:themeColor="text1" w:themeTint="A5"/>
      <w:spacing w:val="15"/>
      <w:sz w:val="22"/>
      <w:szCs w:val="22"/>
    </w:rPr>
  </w:style>
  <w:style w:type="table" w:styleId="Grigliatabella">
    <w:name w:val="Table Grid"/>
    <w:basedOn w:val="Tabellanormale"/>
    <w:uiPriority w:val="39"/>
    <w:rsid w:val="00CB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1238</Words>
  <Characters>8371</Characters>
  <Application>Microsoft Office Word</Application>
  <DocSecurity>0</DocSecurity>
  <Lines>279</Lines>
  <Paragraphs>68</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P10_TA(2025)0286 – Impact of artificial intelligence on the financial sector – European Parliament resolution of 25 November 2025 on the impact of artificial intelligence on the financial sector (2025/2056(INI))</dc:title>
  <dc:subject>I Resolutions, recommendations and opinions, Resolutions, European Parliament</dc:subject>
  <dc:creator>Publications Office of the European Union, L-2985 Luxembourg</dc:creator>
  <cp:keywords>ISSN 1977-091X</cp:keywords>
  <cp:lastModifiedBy>Giovanni Della Lunga</cp:lastModifiedBy>
  <cp:revision>3</cp:revision>
  <dcterms:created xsi:type="dcterms:W3CDTF">2026-10-19T17:33:00Z</dcterms:created>
  <dcterms:modified xsi:type="dcterms:W3CDTF">2026-10-19T17:38:00Z</dcterms:modified>
</cp:coreProperties>
</file>