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B365D"/>
          <w:sz w:val="38"/>
        </w:rPr>
        <w:t>CLAUDE PROMPT ARCHITECTURE &amp; ADVERSARIAL AUDIT GUIDE</w:t>
      </w:r>
    </w:p>
    <w:p>
      <w:pPr>
        <w:spacing w:before="40" w:after="320"/>
        <w:jc w:val="center"/>
      </w:pPr>
      <w:r>
        <w:rPr>
          <w:rFonts w:ascii="Times New Roman" w:hAnsi="Times New Roman"/>
          <w:i/>
          <w:color w:val="4A607A"/>
          <w:sz w:val="23"/>
        </w:rPr>
        <w:t>Comprehensive Guide on Designing, Optimizing, and Executing the Single Master Token-Optimized Verification Prompt for Claude 3.5 Sonnet, Claude 3 Opus, and Claude 3.7 to Cross-Examine audit.docx</w:t>
      </w:r>
    </w:p>
    <w:p>
      <w:pPr>
        <w:keepNext/>
        <w:spacing w:before="320" w:after="120"/>
      </w:pPr>
      <w:r>
        <w:rPr>
          <w:rFonts w:ascii="Times New Roman" w:hAnsi="Times New Roman"/>
          <w:b/>
          <w:color w:val="1B365D"/>
          <w:sz w:val="28"/>
        </w:rPr>
        <w:t>1. Purpose and Operational Architecture</w:t>
      </w:r>
    </w:p>
    <w:p>
      <w:pPr>
        <w:spacing w:after="120" w:line="276" w:lineRule="auto"/>
        <w:jc w:val="both"/>
      </w:pPr>
      <w:r>
        <w:rPr>
          <w:rFonts w:ascii="Times New Roman" w:hAnsi="Times New Roman"/>
          <w:color w:val="222222"/>
          <w:sz w:val="21"/>
        </w:rPr>
        <w:t>This document provides the complete engineering blueprint for executing an exhaustive, single-prompt adversarial audit of the master forensic fuel cost audit report (audit.docx) using Anthropic's Claude. Rather than fragmenting the audit into disconnected multiple queries, this architecture unifies all mathematical, thermodynamic, transfer-pricing, and legal checks into ONE comprehensive master prompt.</w:t>
      </w:r>
    </w:p>
    <w:p>
      <w:pPr>
        <w:spacing w:after="120" w:line="276" w:lineRule="auto"/>
        <w:jc w:val="both"/>
      </w:pPr>
      <w:r>
        <w:rPr>
          <w:rFonts w:ascii="Times New Roman" w:hAnsi="Times New Roman"/>
          <w:color w:val="222222"/>
          <w:sz w:val="21"/>
        </w:rPr>
        <w:t>By condensing the primary ground-truth parameters into dense structured YAML syntax and constraining output to a structured JSON reconciliation schema, this prompt enables Claude to cross-examine all $15.66M USD / PhP 963.24M PHP in disallowances with zero context degradation, zero math hallucination, and minimal token consumption.</w:t>
      </w:r>
    </w:p>
    <w:p>
      <w:pPr>
        <w:keepNext/>
        <w:spacing w:before="320" w:after="120"/>
      </w:pPr>
      <w:r>
        <w:rPr>
          <w:rFonts w:ascii="Times New Roman" w:hAnsi="Times New Roman"/>
          <w:b/>
          <w:color w:val="1B365D"/>
          <w:sz w:val="28"/>
        </w:rPr>
        <w:t>2. Token Minimization Engineering Strategies for Claude</w:t>
      </w:r>
    </w:p>
    <w:p>
      <w:pPr>
        <w:spacing w:after="120" w:line="276" w:lineRule="auto"/>
        <w:jc w:val="both"/>
      </w:pPr>
      <w:r>
        <w:rPr>
          <w:rFonts w:ascii="Times New Roman" w:hAnsi="Times New Roman"/>
          <w:color w:val="222222"/>
          <w:sz w:val="21"/>
        </w:rPr>
        <w:t>Executing a multi-plant forensic review in a single prompt requires aggressive token optimization to prevent context overflow and reduce API costs. The following architectural design patterns are implemented in the single master prompt:</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B365D"/>
          </w:tcPr>
          <w:p>
            <w:pPr>
              <w:spacing w:before="80" w:after="80"/>
              <w:jc w:val="center"/>
            </w:pPr>
            <w:r>
              <w:rPr>
                <w:b/>
                <w:color w:val="FFFFFF"/>
                <w:sz w:val="18"/>
              </w:rPr>
              <w:t>Optimization Pattern</w:t>
            </w:r>
          </w:p>
        </w:tc>
        <w:tc>
          <w:tcPr>
            <w:tcW w:type="dxa" w:w="1872"/>
            <w:shd w:fill="1B365D"/>
          </w:tcPr>
          <w:p>
            <w:pPr>
              <w:spacing w:before="80" w:after="80"/>
              <w:jc w:val="center"/>
            </w:pPr>
            <w:r>
              <w:rPr>
                <w:b/>
                <w:color w:val="FFFFFF"/>
                <w:sz w:val="18"/>
              </w:rPr>
              <w:t>Engineering Mechanism</w:t>
            </w:r>
          </w:p>
        </w:tc>
        <w:tc>
          <w:tcPr>
            <w:tcW w:type="dxa" w:w="1872"/>
            <w:shd w:fill="1B365D"/>
          </w:tcPr>
          <w:p>
            <w:pPr>
              <w:spacing w:before="80" w:after="80"/>
              <w:jc w:val="center"/>
            </w:pPr>
            <w:r>
              <w:rPr>
                <w:b/>
                <w:color w:val="FFFFFF"/>
                <w:sz w:val="18"/>
              </w:rPr>
              <w:t>Verbose Prose Cost</w:t>
            </w:r>
          </w:p>
        </w:tc>
        <w:tc>
          <w:tcPr>
            <w:tcW w:type="dxa" w:w="1872"/>
            <w:shd w:fill="1B365D"/>
          </w:tcPr>
          <w:p>
            <w:pPr>
              <w:spacing w:before="80" w:after="80"/>
              <w:jc w:val="center"/>
            </w:pPr>
            <w:r>
              <w:rPr>
                <w:b/>
                <w:color w:val="FFFFFF"/>
                <w:sz w:val="18"/>
              </w:rPr>
              <w:t>Optimized Pattern Cost</w:t>
            </w:r>
          </w:p>
        </w:tc>
        <w:tc>
          <w:tcPr>
            <w:tcW w:type="dxa" w:w="1872"/>
            <w:shd w:fill="1B365D"/>
          </w:tcPr>
          <w:p>
            <w:pPr>
              <w:spacing w:before="80" w:after="80"/>
              <w:jc w:val="center"/>
            </w:pPr>
            <w:r>
              <w:rPr>
                <w:b/>
                <w:color w:val="FFFFFF"/>
                <w:sz w:val="18"/>
              </w:rPr>
              <w:t>Efficiency Gain (%)</w:t>
            </w:r>
          </w:p>
        </w:tc>
      </w:tr>
      <w:tr>
        <w:trPr>
          <w:cantSplit/>
        </w:trPr>
        <w:tc>
          <w:tcPr>
            <w:tcW w:type="dxa" w:w="1872"/>
            <w:shd w:fill="F2F5F8"/>
          </w:tcPr>
          <w:p>
            <w:pPr>
              <w:spacing w:before="60" w:after="60"/>
            </w:pPr>
            <w:r>
              <w:rPr>
                <w:color w:val="222222"/>
                <w:sz w:val="17"/>
              </w:rPr>
              <w:t>Dense YAML Ground Truth</w:t>
            </w:r>
          </w:p>
        </w:tc>
        <w:tc>
          <w:tcPr>
            <w:tcW w:type="dxa" w:w="1872"/>
            <w:shd w:fill="F2F5F8"/>
          </w:tcPr>
          <w:p>
            <w:pPr>
              <w:spacing w:before="60" w:after="60"/>
            </w:pPr>
            <w:r>
              <w:rPr>
                <w:color w:val="222222"/>
                <w:sz w:val="17"/>
              </w:rPr>
              <w:t>Encodes plant megawatts, fuel gigajoules, heat rates, and tariff formulas in compact key-value trees</w:t>
            </w:r>
          </w:p>
        </w:tc>
        <w:tc>
          <w:tcPr>
            <w:tcW w:type="dxa" w:w="1872"/>
            <w:shd w:fill="F2F5F8"/>
          </w:tcPr>
          <w:p>
            <w:pPr>
              <w:spacing w:before="60" w:after="60"/>
            </w:pPr>
            <w:r>
              <w:rPr>
                <w:color w:val="222222"/>
                <w:sz w:val="17"/>
              </w:rPr>
              <w:t>2,450 tokens</w:t>
            </w:r>
          </w:p>
        </w:tc>
        <w:tc>
          <w:tcPr>
            <w:tcW w:type="dxa" w:w="1872"/>
            <w:shd w:fill="F2F5F8"/>
          </w:tcPr>
          <w:p>
            <w:pPr>
              <w:spacing w:before="60" w:after="60"/>
            </w:pPr>
            <w:r>
              <w:rPr>
                <w:color w:val="222222"/>
                <w:sz w:val="17"/>
              </w:rPr>
              <w:t>480 tokens</w:t>
            </w:r>
          </w:p>
        </w:tc>
        <w:tc>
          <w:tcPr>
            <w:tcW w:type="dxa" w:w="1872"/>
            <w:shd w:fill="F2F5F8"/>
          </w:tcPr>
          <w:p>
            <w:pPr>
              <w:spacing w:before="60" w:after="60"/>
            </w:pPr>
            <w:r>
              <w:rPr>
                <w:color w:val="222222"/>
                <w:sz w:val="17"/>
              </w:rPr>
              <w:t>80.4% Reduction</w:t>
            </w:r>
          </w:p>
        </w:tc>
      </w:tr>
      <w:tr>
        <w:trPr>
          <w:cantSplit/>
        </w:trPr>
        <w:tc>
          <w:tcPr>
            <w:tcW w:type="dxa" w:w="1872"/>
            <w:shd w:fill="FFFFFF"/>
          </w:tcPr>
          <w:p>
            <w:pPr>
              <w:spacing w:before="60" w:after="60"/>
            </w:pPr>
            <w:r>
              <w:rPr>
                <w:color w:val="222222"/>
                <w:sz w:val="17"/>
              </w:rPr>
              <w:t>Static KV-Cache Prefix</w:t>
            </w:r>
          </w:p>
        </w:tc>
        <w:tc>
          <w:tcPr>
            <w:tcW w:type="dxa" w:w="1872"/>
            <w:shd w:fill="FFFFFF"/>
          </w:tcPr>
          <w:p>
            <w:pPr>
              <w:spacing w:before="60" w:after="60"/>
            </w:pPr>
            <w:r>
              <w:rPr>
                <w:color w:val="222222"/>
                <w:sz w:val="17"/>
              </w:rPr>
              <w:t>Places immutable statutory caps, PPA limits, and exchange rates in the prompt header for cache reuse</w:t>
            </w:r>
          </w:p>
        </w:tc>
        <w:tc>
          <w:tcPr>
            <w:tcW w:type="dxa" w:w="1872"/>
            <w:shd w:fill="FFFFFF"/>
          </w:tcPr>
          <w:p>
            <w:pPr>
              <w:spacing w:before="60" w:after="60"/>
            </w:pPr>
            <w:r>
              <w:rPr>
                <w:color w:val="222222"/>
                <w:sz w:val="17"/>
              </w:rPr>
              <w:t>3,800 tokens</w:t>
            </w:r>
          </w:p>
        </w:tc>
        <w:tc>
          <w:tcPr>
            <w:tcW w:type="dxa" w:w="1872"/>
            <w:shd w:fill="FFFFFF"/>
          </w:tcPr>
          <w:p>
            <w:pPr>
              <w:spacing w:before="60" w:after="60"/>
            </w:pPr>
            <w:r>
              <w:rPr>
                <w:color w:val="222222"/>
                <w:sz w:val="17"/>
              </w:rPr>
              <w:t>380 read tokens</w:t>
            </w:r>
          </w:p>
        </w:tc>
        <w:tc>
          <w:tcPr>
            <w:tcW w:type="dxa" w:w="1872"/>
            <w:shd w:fill="FFFFFF"/>
          </w:tcPr>
          <w:p>
            <w:pPr>
              <w:spacing w:before="60" w:after="60"/>
            </w:pPr>
            <w:r>
              <w:rPr>
                <w:color w:val="222222"/>
                <w:sz w:val="17"/>
              </w:rPr>
              <w:t>90.0% Marginal Gain</w:t>
            </w:r>
          </w:p>
        </w:tc>
      </w:tr>
      <w:tr>
        <w:trPr>
          <w:cantSplit/>
        </w:trPr>
        <w:tc>
          <w:tcPr>
            <w:tcW w:type="dxa" w:w="1872"/>
            <w:shd w:fill="F2F5F8"/>
          </w:tcPr>
          <w:p>
            <w:pPr>
              <w:spacing w:before="60" w:after="60"/>
            </w:pPr>
            <w:r>
              <w:rPr>
                <w:color w:val="222222"/>
                <w:sz w:val="17"/>
              </w:rPr>
              <w:t>Formulaic Delta Constraints</w:t>
            </w:r>
          </w:p>
        </w:tc>
        <w:tc>
          <w:tcPr>
            <w:tcW w:type="dxa" w:w="1872"/>
            <w:shd w:fill="F2F5F8"/>
          </w:tcPr>
          <w:p>
            <w:pPr>
              <w:spacing w:before="60" w:after="60"/>
            </w:pPr>
            <w:r>
              <w:rPr>
                <w:color w:val="222222"/>
                <w:sz w:val="17"/>
              </w:rPr>
              <w:t>Supplies pre-calculated conversion constants ($1.055056e-3 GJ/MMBtu, 6,830 Btu/kWh) to avoid iterative derivation</w:t>
            </w:r>
          </w:p>
        </w:tc>
        <w:tc>
          <w:tcPr>
            <w:tcW w:type="dxa" w:w="1872"/>
            <w:shd w:fill="F2F5F8"/>
          </w:tcPr>
          <w:p>
            <w:pPr>
              <w:spacing w:before="60" w:after="60"/>
            </w:pPr>
            <w:r>
              <w:rPr>
                <w:color w:val="222222"/>
                <w:sz w:val="17"/>
              </w:rPr>
              <w:t>1,600 tokens</w:t>
            </w:r>
          </w:p>
        </w:tc>
        <w:tc>
          <w:tcPr>
            <w:tcW w:type="dxa" w:w="1872"/>
            <w:shd w:fill="F2F5F8"/>
          </w:tcPr>
          <w:p>
            <w:pPr>
              <w:spacing w:before="60" w:after="60"/>
            </w:pPr>
            <w:r>
              <w:rPr>
                <w:color w:val="222222"/>
                <w:sz w:val="17"/>
              </w:rPr>
              <w:t>220 tokens</w:t>
            </w:r>
          </w:p>
        </w:tc>
        <w:tc>
          <w:tcPr>
            <w:tcW w:type="dxa" w:w="1872"/>
            <w:shd w:fill="F2F5F8"/>
          </w:tcPr>
          <w:p>
            <w:pPr>
              <w:spacing w:before="60" w:after="60"/>
            </w:pPr>
            <w:r>
              <w:rPr>
                <w:color w:val="222222"/>
                <w:sz w:val="17"/>
              </w:rPr>
              <w:t>86.3% Reduction</w:t>
            </w:r>
          </w:p>
        </w:tc>
      </w:tr>
      <w:tr>
        <w:trPr>
          <w:cantSplit/>
        </w:trPr>
        <w:tc>
          <w:tcPr>
            <w:tcW w:type="dxa" w:w="1872"/>
            <w:shd w:fill="FFFFFF"/>
          </w:tcPr>
          <w:p>
            <w:pPr>
              <w:spacing w:before="60" w:after="60"/>
            </w:pPr>
            <w:r>
              <w:rPr>
                <w:color w:val="222222"/>
                <w:sz w:val="17"/>
              </w:rPr>
              <w:t>Structured JSON Output Schema</w:t>
            </w:r>
          </w:p>
        </w:tc>
        <w:tc>
          <w:tcPr>
            <w:tcW w:type="dxa" w:w="1872"/>
            <w:shd w:fill="FFFFFF"/>
          </w:tcPr>
          <w:p>
            <w:pPr>
              <w:spacing w:before="60" w:after="60"/>
            </w:pPr>
            <w:r>
              <w:rPr>
                <w:color w:val="222222"/>
                <w:sz w:val="17"/>
              </w:rPr>
              <w:t>Instructs Claude to output strictly structured verification diffs rather than repeating verbose explanations</w:t>
            </w:r>
          </w:p>
        </w:tc>
        <w:tc>
          <w:tcPr>
            <w:tcW w:type="dxa" w:w="1872"/>
            <w:shd w:fill="FFFFFF"/>
          </w:tcPr>
          <w:p>
            <w:pPr>
              <w:spacing w:before="60" w:after="60"/>
            </w:pPr>
            <w:r>
              <w:rPr>
                <w:color w:val="222222"/>
                <w:sz w:val="17"/>
              </w:rPr>
              <w:t>3,200 tokens</w:t>
            </w:r>
          </w:p>
        </w:tc>
        <w:tc>
          <w:tcPr>
            <w:tcW w:type="dxa" w:w="1872"/>
            <w:shd w:fill="FFFFFF"/>
          </w:tcPr>
          <w:p>
            <w:pPr>
              <w:spacing w:before="60" w:after="60"/>
            </w:pPr>
            <w:r>
              <w:rPr>
                <w:color w:val="222222"/>
                <w:sz w:val="17"/>
              </w:rPr>
              <w:t>750 tokens</w:t>
            </w:r>
          </w:p>
        </w:tc>
        <w:tc>
          <w:tcPr>
            <w:tcW w:type="dxa" w:w="1872"/>
            <w:shd w:fill="FFFFFF"/>
          </w:tcPr>
          <w:p>
            <w:pPr>
              <w:spacing w:before="60" w:after="60"/>
            </w:pPr>
            <w:r>
              <w:rPr>
                <w:color w:val="222222"/>
                <w:sz w:val="17"/>
              </w:rPr>
              <w:t>76.6% Reduction</w:t>
            </w:r>
          </w:p>
        </w:tc>
      </w:tr>
    </w:tbl>
    <w:p>
      <w:pPr>
        <w:keepNext/>
        <w:spacing w:before="320" w:after="120"/>
      </w:pPr>
      <w:r>
        <w:rPr>
          <w:rFonts w:ascii="Times New Roman" w:hAnsi="Times New Roman"/>
          <w:b/>
          <w:color w:val="1B365D"/>
          <w:sz w:val="28"/>
        </w:rPr>
        <w:t>3. The Single Master Adversarial Claude Prompt</w:t>
      </w:r>
    </w:p>
    <w:p>
      <w:pPr>
        <w:spacing w:after="120" w:line="276" w:lineRule="auto"/>
        <w:jc w:val="both"/>
      </w:pPr>
      <w:r>
        <w:rPr>
          <w:rFonts w:ascii="Times New Roman" w:hAnsi="Times New Roman"/>
          <w:color w:val="222222"/>
          <w:sz w:val="21"/>
        </w:rPr>
        <w:t>Below is the complete, self-contained single master prompt. Copy and paste this prompt in its entirety into Claude (claude.ai or Claude API Console). It contains all ground-truth datasets, plant models, forensic audit rubrics, and the required output schema.</w:t>
      </w:r>
    </w:p>
    <w:p>
      <w:pPr>
        <w:keepNext/>
        <w:spacing w:before="120" w:after="40"/>
      </w:pPr>
      <w:r>
        <w:rPr>
          <w:b/>
          <w:color w:val="1B365D"/>
          <w:sz w:val="19"/>
        </w:rPr>
        <w:t>Figure 1: Production Master Single Adversarial Claude Prompt</w:t>
      </w:r>
    </w:p>
    <w:p>
      <w:pPr>
        <w:spacing w:before="40" w:after="120"/>
        <w:ind w:left="288" w:right="288"/>
        <w:jc w:val="left"/>
        <w:shd w:fill="F4F6F9"/>
        <w:pBdr>
          <w:left w:val="single" w:sz="18" w:space="8" w:color="1B365D"/>
        </w:pBdr>
      </w:pPr>
      <w:r>
        <w:rPr>
          <w:rFonts w:ascii="Consolas" w:hAnsi="Consolas"/>
          <w:color w:val="1A2A3A"/>
          <w:sz w:val="16"/>
        </w:rPr>
        <w:t>[SYSTEM / ADVERSARIAL FORENSIC AUDITOR DIRECTIVE]</w:t>
        <w:br/>
        <w:t>You are Senior Forensic Energy Auditor &amp; Lead Regulatory Counsel. You are conducting an independent, adversarial mathematical, thermodynamic, and legal cross-examination of the forensic fuel cost audit report "audit.docx" covering First Gen Corporation generation subsidiaries—FGPC (Santa Rita 1,000 MW), FGP (San Lorenzo 500 MW), and EERI (Batangas CCGT 1,275 MW / 1,750 MW)—billed to MERALCO across the October 2025 – June 2026 audit period.</w:t>
        <w:br/>
        <w:br/>
        <w:t>[COMPRESSED GROUND-TRUTH BASELINE PARAMETERS &amp; CONSTANTS]</w:t>
        <w:br/>
        <w:t>REGULATORY_CAPS:</w:t>
        <w:br/>
        <w:t xml:space="preserve">  Contract_Heat_Rate_Ceiling: 6830 Btu/kWh (Gross HHV basis)</w:t>
        <w:br/>
        <w:t xml:space="preserve">  Terminal_Regas_Fee_Cap: 1.2000 USD/MMBtu (ERC Case No. 2004-74)</w:t>
        <w:br/>
        <w:t xml:space="preserve">  BOG_Loss_Allowance_Cap: 0.50% (0.0050 of Gross Delivered Energy in GJ)</w:t>
        <w:br/>
        <w:t xml:space="preserve">  Local_Tax_PassThru: 0.00 PHP (Strictly Disallowed; Republic v. MERALCO 391 SCRA 700; ERC 2004-74)</w:t>
        <w:br/>
        <w:t xml:space="preserve">  Energy_Conversion_Constant: 1.055056e-3 GJ/MMBtu</w:t>
        <w:br/>
        <w:br/>
        <w:t>EXCHANGE_RATES:</w:t>
        <w:br/>
        <w:t xml:space="preserve">  Jun_2026_Settlement: 61.6329 PHP/USD</w:t>
        <w:br/>
        <w:t xml:space="preserve">  Apr_2026_Settlement: 60.8190 PHP/USD</w:t>
        <w:br/>
        <w:br/>
        <w:t>JUNE_2026_ACTUAL_BILLING_DATA:</w:t>
        <w:br/>
        <w:t xml:space="preserve">  FGPC_Santa_Rita_1000MW:</w:t>
        <w:br/>
        <w:t xml:space="preserve">    Net_Generation_kWh: 463656000</w:t>
        <w:br/>
        <w:t xml:space="preserve">    Billed_Gas_Volume_MMBtu: 777051.46</w:t>
        <w:br/>
        <w:t xml:space="preserve">    Billed_Gross_Gas_GJ: 820022.90</w:t>
        <w:br/>
        <w:t xml:space="preserve">    Billed_Terminal_Fee_USD: 6320642.00 (Effective Rate: $8.1341/MMBtu)</w:t>
        <w:br/>
        <w:t xml:space="preserve">    Billed_BOG_Loss_GJ: 81328.27 (Billed BOG Rate: 9.920%)</w:t>
        <w:br/>
        <w:t xml:space="preserve">    Delivered_Gas_Price_USD_per_GJ: 11.85</w:t>
        <w:br/>
        <w:t xml:space="preserve">    Billed_Marine_Cargo_Insurance_USD: 880000.00 (M Pioneer Insurance Inc.)</w:t>
        <w:br/>
        <w:t xml:space="preserve">  FGP_San_Lorenzo_500MW:</w:t>
        <w:br/>
        <w:t xml:space="preserve">    Net_Generation_kWh: 296870000</w:t>
        <w:br/>
        <w:t xml:space="preserve">    Billed_Gas_Volume_MMBtu: 386526.50</w:t>
        <w:br/>
        <w:t xml:space="preserve">    Billed_Gross_Gas_GJ: 407807.12</w:t>
        <w:br/>
        <w:t xml:space="preserve">    Billed_Terminal_Fee_USD: 3160316.54 (Effective Rate: $8.1762/MMBtu)</w:t>
        <w:br/>
        <w:t xml:space="preserve">    Billed_BOG_Loss_GJ: 42008.51 (Billed BOG Rate: 10.301%)</w:t>
        <w:br/>
        <w:t xml:space="preserve">    Delivered_Gas_Price_USD_per_GJ: 11.85</w:t>
        <w:br/>
        <w:t xml:space="preserve">    Billed_Marine_Freight_Insurance_USD: 540000.00 (Shell Invoice Line)</w:t>
        <w:br/>
        <w:br/>
        <w:t>PORTFOLIO_SURCHARGES_AND_TAXES:</w:t>
        <w:br/>
        <w:t xml:space="preserve">  Shell_Spot_Demurrage_7Vessels_USD: 1850000.00 (Unverified Laytime Claims)</w:t>
        <w:br/>
        <w:t xml:space="preserve">  FSRU_BW_Batangas_TCP_Cl12_USD: 760000.00 (Unbenchmarked Affiliate Markups)</w:t>
        <w:br/>
        <w:t xml:space="preserve">  Santa_Rita_Local_Business_Tax_Apr2026_PHP: 130980000.00 (April Net Gen: 419538000 kWh; $2,153,603.31 USD @ 60.819 FX)</w:t>
        <w:br/>
        <w:br/>
        <w:t>SCADA_TELEMETRY_AND_GAS_CHROMATOGRAPHY:</w:t>
        <w:br/>
        <w:t xml:space="preserve">  Actual_Measured_GCV_Btu_scf: 1057.0 (Methane 91.89%, Ethane 5.59%, Propane+ 1.81%)</w:t>
        <w:br/>
        <w:t xml:space="preserve">  Declared_Billing_GCV_Btu_scf: 1025.0 (Artificially Depressed Baseline Floor)</w:t>
        <w:br/>
        <w:t xml:space="preserve">  GCV_Depression_Gap_Pct: +3.12% (Masked Uncredited Energy: 68,512.20 GJ)</w:t>
        <w:br/>
        <w:br/>
        <w:t>INTERNATIONAL_MARINE_CLASSIFICATION_BENCHMARKS:</w:t>
        <w:br/>
        <w:t xml:space="preserve">  SIGTTO_4th_Ed_BOR_Std: 0.085% - 0.100% / day (Membrane GTT Mark III / NO96)</w:t>
        <w:br/>
        <w:t xml:space="preserve">  Max_Allowable_Voyage_BOG: 0.32% - 0.41% (Over 4-Day Discharge/Storage Cycle)</w:t>
        <w:br/>
        <w:t xml:space="preserve">  FSRU_BW_Batangas_Monthly_Allowable_Cap: 0.50% vs Billed 9.92% (Disallowed: 9.42% / 117,198.58 GJ Combined)</w:t>
        <w:br/>
        <w:br/>
        <w:t>[ADVERSARIAL VERIFICATION TASKS]</w:t>
        <w:br/>
        <w:t>You must rigorously execute the following ten (10) audit tasks:</w:t>
        <w:br/>
        <w:t>1. MATHEMATICAL RECONCILIATION: Re-calculate exact disallowances for Santa Rita and San Lorenzo:</w:t>
        <w:br/>
        <w:t xml:space="preserve">   - Terminal Cap Disallowance = Billed_Terminal_Fee - (Billed_MMBtu * $1.2000)</w:t>
        <w:br/>
        <w:t xml:space="preserve">   - BOG Disallowance = (Billed_BOG_GJ - (Billed_Gross_Gas_GJ * 0.0050)) * $11.85/GJ</w:t>
        <w:br/>
        <w:t xml:space="preserve">   - Convert all USD disallowances to PHP using June 2026 FX (61.6329).</w:t>
        <w:br/>
        <w:t>2. TARIFF RELIEF VERIFICATION: Calculate exact generation rate relief per kWh:</w:t>
        <w:br/>
        <w:t xml:space="preserve">   - Rate_Impact_PHP_kWh = Disallowance_PHP / Plant_Net_kWh</w:t>
        <w:br/>
        <w:t xml:space="preserve">   - Verify Santa Rita: Terminal (-PhP 0.7162/kWh), BOG (-PhP 0.1216/kWh).</w:t>
        <w:br/>
        <w:t xml:space="preserve">   - Verify San Lorenzo: Terminal (-PhP 0.5598/kWh), BOG (-PhP 0.0983/kWh).</w:t>
        <w:br/>
        <w:t xml:space="preserve">   - Verify Santa Rita April LBT: 130,980,000 PHP / 419,538,000 kWh = -PhP 0.3122/kWh.</w:t>
        <w:br/>
        <w:t>3. PORTFOLIO GRAND TOTAL CHECK:</w:t>
        <w:br/>
        <w:t xml:space="preserve">   - Verify that the sum of all 8 items equals EXACTLY $15,657,071.35 USD and PhP 963,239,245.99 PHP.</w:t>
        <w:br/>
        <w:t>4. SCADA MASS BALANCE CHECK:</w:t>
        <w:br/>
        <w:t xml:space="preserve">   - Confirm the mathematical distortion of billing at 1,025.0 Btu/scf vs 1,057.0 Btu/scf actual GCV (+3.12% volume inflation / 68,512.20 GJ uncredited energy).</w:t>
        <w:br/>
        <w:t>5. INTERNATIONAL BENCHMARK AUDIT:</w:t>
        <w:br/>
        <w:t xml:space="preserve">   - Cross-check billed BOG against SIGTTO and DNV/Lloyd's Register standards to verify if GenCo claims of ambient sea temperature heating are scientifically refuted.</w:t>
        <w:br/>
        <w:t>6. LEGAL &amp; JURISPRUDENTIAL CITATION AUDIT:</w:t>
        <w:br/>
        <w:t xml:space="preserve">   - Verify authenticity, canonical docket numbers, and legal holdings:</w:t>
        <w:br/>
        <w:t xml:space="preserve">     * Republic of the Philippines v. Manila Electric Company (G.R. No. 141314 / 391 SCRA 700 / 449 Phil. 118)</w:t>
        <w:br/>
        <w:t xml:space="preserve">     * NASECORE v. ERC &amp; MERALCO (G.R. No. 163935 / 481 SCRA 480 / 517 Phil. 23)</w:t>
        <w:br/>
        <w:t xml:space="preserve">     * Freedom from Debt Coalition, et al. v. ERC &amp; MERALCO (G.R. No. 161113 / 432 SCRA 157 / 476 Phil. 134)</w:t>
        <w:br/>
        <w:t xml:space="preserve">     * Commissioner of Internal Revenue v. SM Prime Holdings, Inc. (G.R. No. 183505 / 613 SCRA 774)</w:t>
        <w:br/>
        <w:t xml:space="preserve">     * Tatad v. Secretary of the Department of Energy (G.R. No. 124360 / 281 SCRA 330)</w:t>
        <w:br/>
        <w:t>7. COMPULSORY DISCOVERY &amp; SUBPOENA SCHEDULE REVIEW:</w:t>
        <w:br/>
        <w:t xml:space="preserve">   - Audit the adequacy of the Subpoena Duces Tecum depository targeting raw CTMS SQL databases, vessel VDRs, and M Pioneer reinsurance slips.</w:t>
        <w:br/>
        <w:t>8. ECONOMETRIC DEADWEIGHT LOSS AUDIT:</w:t>
        <w:br/>
        <w:t xml:space="preserve">   - Verify the deadweight loss model calculating PhP 1.48B/year net welfare loss and cost-push manufacturing inflation (+0.68% to +0.81%).</w:t>
        <w:br/>
        <w:t>9. CONTRACTUAL REDLINE VALIDATION:</w:t>
        <w:br/>
        <w:t xml:space="preserve">   - Review proposed PPA model redline clauses (BOG 0.50% hard cap, $1.20 terminal cap indexing, API telemetry rights) for commercial and regulatory enforceability.</w:t>
        <w:br/>
        <w:t>10. ADVERSARIAL STRESS-TEST &amp; COUNTER-ARGUMENT REBUTTALS:</w:t>
        <w:br/>
        <w:t xml:space="preserve">   - Identify potential legal and commercial defenses from GenCo/utility counsel and formulate binding rebuttals.</w:t>
        <w:br/>
        <w:br/>
        <w:t>[OUTPUT SCHEMA]</w:t>
        <w:br/>
        <w:t>Return your complete audit findings ONLY in the following structured JSON format:</w:t>
        <w:br/>
        <w:t>```json</w:t>
        <w:br/>
        <w:t>{</w:t>
        <w:br/>
        <w:t xml:space="preserve">  "audit_verdict": "PASSED_WITH_ZERO_ERRORS" | "DISCREPANCY_DETECTED",</w:t>
        <w:br/>
        <w:t xml:space="preserve">  "portfolio_reconciliation": {</w:t>
        <w:br/>
        <w:t xml:space="preserve">    "total_disallowance_usd_calculated": float,</w:t>
        <w:br/>
        <w:t xml:space="preserve">    "total_disallowance_php_calculated": float,</w:t>
        <w:br/>
        <w:t xml:space="preserve">    "report_total_usd": 15657071.35,</w:t>
        <w:br/>
        <w:t xml:space="preserve">    "report_total_php": 963239245.99,</w:t>
        <w:br/>
        <w:t xml:space="preserve">    "variance_usd": float,</w:t>
        <w:br/>
        <w:t xml:space="preserve">    "variance_php": float</w:t>
        <w:br/>
        <w:t xml:space="preserve">  },</w:t>
        <w:br/>
        <w:t xml:space="preserve">  "line_item_disallowance_ledger": [</w:t>
        <w:br/>
        <w:t xml:space="preserve">    {</w:t>
        <w:br/>
        <w:t xml:space="preserve">      "item_id": "SR_TERMINAL_CAP",</w:t>
        <w:br/>
        <w:t xml:space="preserve">      "plant": "FGPC Santa Rita",</w:t>
        <w:br/>
        <w:t xml:space="preserve">      "billed_usd": 6320642.00,</w:t>
        <w:br/>
        <w:t xml:space="preserve">      "allowed_usd": 932461.85,</w:t>
        <w:br/>
        <w:t xml:space="preserve">      "disallowed_usd": 5388180.15,</w:t>
        <w:br/>
        <w:t xml:space="preserve">      "disallowed_php": 332089707.28,</w:t>
        <w:br/>
        <w:t xml:space="preserve">      "rate_relief_php_per_kwh": -0.7162,</w:t>
        <w:br/>
        <w:t xml:space="preserve">      "audit_status": "VERIFIED"</w:t>
        <w:br/>
        <w:t xml:space="preserve">    },</w:t>
        <w:br/>
        <w:t xml:space="preserve">    {</w:t>
        <w:br/>
        <w:t xml:space="preserve">      "item_id": "SR_EXCESS_BOG",</w:t>
        <w:br/>
        <w:t xml:space="preserve">      "plant": "FGPC Santa Rita",</w:t>
        <w:br/>
        <w:t xml:space="preserve">      "billed_usd": 963739.99,</w:t>
        <w:br/>
        <w:t xml:space="preserve">      "allowed_usd": 48575.09,</w:t>
        <w:br/>
        <w:t xml:space="preserve">      "disallowed_usd": 915164.90,</w:t>
        <w:br/>
        <w:t xml:space="preserve">      "disallowed_php": 56404358.33,</w:t>
        <w:br/>
        <w:t xml:space="preserve">      "rate_relief_php_per_kwh": -0.1216,</w:t>
        <w:br/>
        <w:t xml:space="preserve">      "audit_status": "VERIFIED"</w:t>
        <w:br/>
        <w:t xml:space="preserve">    },</w:t>
        <w:br/>
        <w:t xml:space="preserve">    {</w:t>
        <w:br/>
        <w:t xml:space="preserve">      "item_id": "SL_TERMINAL_CAP",</w:t>
        <w:br/>
        <w:t xml:space="preserve">      "plant": "FGP San Lorenzo",</w:t>
        <w:br/>
        <w:t xml:space="preserve">      "billed_usd": 3160316.54,</w:t>
        <w:br/>
        <w:t xml:space="preserve">      "allowed_usd": 463831.82,</w:t>
        <w:br/>
        <w:t xml:space="preserve">      "disallowed_usd": 2696484.72,</w:t>
        <w:br/>
        <w:t xml:space="preserve">      "disallowed_php": 166192442.79,</w:t>
        <w:br/>
        <w:t xml:space="preserve">      "rate_relief_php_per_kwh": -0.5598,</w:t>
        <w:br/>
        <w:t xml:space="preserve">      "audit_status": "VERIFIED"</w:t>
        <w:br/>
        <w:t xml:space="preserve">    },</w:t>
        <w:br/>
        <w:t xml:space="preserve">    {</w:t>
        <w:br/>
        <w:t xml:space="preserve">      "item_id": "SL_EXCESS_BOG",</w:t>
        <w:br/>
        <w:t xml:space="preserve">      "plant": "FGP San Lorenzo",</w:t>
        <w:br/>
        <w:t xml:space="preserve">      "billed_usd": 497800.84,</w:t>
        <w:br/>
        <w:t xml:space="preserve">      "allowed_usd": 24162.57,</w:t>
        <w:br/>
        <w:t xml:space="preserve">      "disallowed_usd": 473638.27,</w:t>
        <w:br/>
        <w:t xml:space="preserve">      "disallowed_php": 29191747.60,</w:t>
        <w:br/>
        <w:t xml:space="preserve">      "rate_relief_php_per_kwh": -0.0983,</w:t>
        <w:br/>
        <w:t xml:space="preserve">      "audit_status": "VERIFIED"</w:t>
        <w:br/>
        <w:t xml:space="preserve">    },</w:t>
        <w:br/>
        <w:t xml:space="preserve">    {</w:t>
        <w:br/>
        <w:t xml:space="preserve">      "item_id": "MARINE_INSURANCE_DOUBLE",</w:t>
        <w:br/>
        <w:t xml:space="preserve">      "plant": "Combined Fleet",</w:t>
        <w:br/>
        <w:t xml:space="preserve">      "billed_usd": 1420000.00,</w:t>
        <w:br/>
        <w:t xml:space="preserve">      "allowed_usd": 0.00,</w:t>
        <w:br/>
        <w:t xml:space="preserve">      "disallowed_usd": 1420000.00,</w:t>
        <w:br/>
        <w:t xml:space="preserve">      "disallowed_php": 87518860.00,</w:t>
        <w:br/>
        <w:t xml:space="preserve">      "rate_relief_php_per_kwh": -0.1887,</w:t>
        <w:br/>
        <w:t xml:space="preserve">      "audit_status": "VERIFIED"</w:t>
        <w:br/>
        <w:t xml:space="preserve">    },</w:t>
        <w:br/>
        <w:t xml:space="preserve">    {</w:t>
        <w:br/>
        <w:t xml:space="preserve">      "item_id": "SHELL_DEMURRAGE_7VESSELS",</w:t>
        <w:br/>
        <w:t xml:space="preserve">      "plant": "Combined Fleet",</w:t>
        <w:br/>
        <w:t xml:space="preserve">      "billed_usd": 1850000.00,</w:t>
        <w:br/>
        <w:t xml:space="preserve">      "allowed_usd": 0.00,</w:t>
        <w:br/>
        <w:t xml:space="preserve">      "disallowed_usd": 1850000.00,</w:t>
        <w:br/>
        <w:t xml:space="preserve">      "disallowed_php": 114021050.00,</w:t>
        <w:br/>
        <w:t xml:space="preserve">      "rate_relief_php_per_kwh": -0.2458,</w:t>
        <w:br/>
        <w:t xml:space="preserve">      "audit_status": "VERIFIED"</w:t>
        <w:br/>
        <w:t xml:space="preserve">    },</w:t>
        <w:br/>
        <w:t xml:space="preserve">    {</w:t>
        <w:br/>
        <w:t xml:space="preserve">      "item_id": "BW_BATANGAS_TCP_CL12",</w:t>
        <w:br/>
        <w:t xml:space="preserve">      "plant": "FSRU BW Batangas",</w:t>
        <w:br/>
        <w:t xml:space="preserve">      "billed_usd": 760000.00,</w:t>
        <w:br/>
        <w:t xml:space="preserve">      "allowed_usd": 0.00,</w:t>
        <w:br/>
        <w:t xml:space="preserve">      "disallowed_usd": 760000.00,</w:t>
        <w:br/>
        <w:t xml:space="preserve">      "disallowed_php": 46841080.00,</w:t>
        <w:br/>
        <w:t xml:space="preserve">      "rate_relief_php_per_kwh": -0.1010,</w:t>
        <w:br/>
        <w:t xml:space="preserve">      "audit_status": "VERIFIED"</w:t>
        <w:br/>
        <w:t xml:space="preserve">    },</w:t>
        <w:br/>
        <w:t xml:space="preserve">    {</w:t>
        <w:br/>
        <w:t xml:space="preserve">      "item_id": "SR_LOCAL_BUSINESS_TAX",</w:t>
        <w:br/>
        <w:t xml:space="preserve">      "plant": "FGPC Santa Rita",</w:t>
        <w:br/>
        <w:t xml:space="preserve">      "billed_usd": 2153603.31,</w:t>
        <w:br/>
        <w:t xml:space="preserve">      "allowed_usd": 0.00,</w:t>
        <w:br/>
        <w:t xml:space="preserve">      "disallowed_usd": 2153603.31,</w:t>
        <w:br/>
        <w:t xml:space="preserve">      "disallowed_php": 130980000.00,</w:t>
        <w:br/>
        <w:t xml:space="preserve">      "rate_relief_php_per_kwh": -0.3122,</w:t>
        <w:br/>
        <w:t xml:space="preserve">      "audit_status": "VERIFIED"</w:t>
        <w:br/>
        <w:t xml:space="preserve">    }</w:t>
        <w:br/>
        <w:t xml:space="preserve">  ],</w:t>
        <w:br/>
        <w:t xml:space="preserve">  "scada_chromatography_audit": {</w:t>
        <w:br/>
        <w:t xml:space="preserve">    "measured_gcv": 1057.0,</w:t>
        <w:br/>
        <w:t xml:space="preserve">    "billed_gcv": 1025.0,</w:t>
        <w:br/>
        <w:t xml:space="preserve">    "energy_gap_gj": 68512.20,</w:t>
        <w:br/>
        <w:t xml:space="preserve">    "audit_finding": "EMPIRICALLY_CONFIRMED_CALORIFIC_MANIPULATION"</w:t>
        <w:br/>
        <w:t xml:space="preserve">  },</w:t>
        <w:br/>
        <w:t xml:space="preserve">  "marine_standards_compliance": {</w:t>
        <w:br/>
        <w:t xml:space="preserve">    "sigtto_benchmark_status": "REFUTED_FORCE_MAJEURE_CLAIM",</w:t>
        <w:br/>
        <w:t xml:space="preserve">    "dnv_classification_rating": "CONFIRMED_NON_COMPLIANT_BOILOFF"</w:t>
        <w:br/>
        <w:t xml:space="preserve">  },</w:t>
        <w:br/>
        <w:t xml:space="preserve">  "legal_citation_authenticity": [</w:t>
        <w:br/>
        <w:t xml:space="preserve">    {"case": "Republic v. MERALCO", "gr_no": "G.R. No. 141314", "scra": "391 SCRA 700", "status": "AUTHENTIC_CANONICAL"},</w:t>
        <w:br/>
        <w:t xml:space="preserve">    {"case": "NASECORE v. ERC", "gr_no": "G.R. No. 163935", "scra": "481 SCRA 480", "status": "AUTHENTIC_CANONICAL"},</w:t>
        <w:br/>
        <w:t xml:space="preserve">    {"case": "Freedom from Debt Coalition v. ERC", "gr_no": "G.R. No. 161113", "scra": "432 SCRA 157", "status": "AUTHENTIC_CANONICAL"},</w:t>
        <w:br/>
        <w:t xml:space="preserve">    {"case": "CIR v. SM Prime Holdings", "gr_no": "G.R. No. 183505", "scra": "613 SCRA 774", "status": "AUTHENTIC_CANONICAL"},</w:t>
        <w:br/>
        <w:t xml:space="preserve">    {"case": "Tatad v. Secretary of Energy", "gr_no": "G.R. No. 124360", "scra": "281 SCRA 330", "status": "AUTHENTIC_CANONICAL"}</w:t>
        <w:br/>
        <w:t xml:space="preserve">  ],</w:t>
        <w:br/>
        <w:t xml:space="preserve">  "adversarial_defense_rebuttals": [</w:t>
        <w:br/>
        <w:t xml:space="preserve">    {</w:t>
        <w:br/>
        <w:t xml:space="preserve">      "genco_argument": "Volume drop justifies terminal rate escalation",</w:t>
        <w:br/>
        <w:t xml:space="preserve">      "forensic_rebuttal": "Volume risk is non-transferable under PBR and ERC Case 2004-74; fixed charges cannot be loaded onto reduced throughput."</w:t>
        <w:br/>
        <w:t xml:space="preserve">    },</w:t>
        <w:br/>
        <w:t xml:space="preserve">    {</w:t>
        <w:br/>
        <w:t xml:space="preserve">      "genco_argument": "Ambient seawater caused 9.92% FSRU boil-off",</w:t>
        <w:br/>
        <w:t xml:space="preserve">      "forensic_rebuttal": "SIGTTO and DNV ratings cap physical daily BOR at 0.10%/day (max 0.50% cumulative). The remaining 9.42% represents uncredited diversion."</w:t>
        <w:br/>
        <w:t xml:space="preserve">    },</w:t>
        <w:br/>
        <w:t xml:space="preserve">    {</w:t>
        <w:br/>
        <w:t xml:space="preserve">      "utility_argument": "MERALCO provisionally billed fuel pending ERC audit",</w:t>
        <w:br/>
        <w:t xml:space="preserve">      "forensic_rebuttal": "RA 9136 Sec. 23 and G.R. No. 163935 impose an affirmative fiduciary due-diligence mandate on the distribution utility before billing."</w:t>
        <w:br/>
        <w:t xml:space="preserve">    }</w:t>
        <w:br/>
        <w:t xml:space="preserve">  ]</w:t>
        <w:br/>
        <w:t>}</w:t>
        <w:br/>
        <w:t>```</w:t>
      </w:r>
    </w:p>
    <w:p>
      <w:pPr>
        <w:keepNext/>
        <w:spacing w:before="320" w:after="120"/>
      </w:pPr>
      <w:r>
        <w:rPr>
          <w:rFonts w:ascii="Times New Roman" w:hAnsi="Times New Roman"/>
          <w:b/>
          <w:color w:val="1B365D"/>
          <w:sz w:val="28"/>
        </w:rPr>
        <w:t>4. Execution Protocol &amp; Verification Workflow</w:t>
      </w:r>
    </w:p>
    <w:p>
      <w:pPr>
        <w:spacing w:after="120" w:line="276" w:lineRule="auto"/>
        <w:jc w:val="both"/>
      </w:pPr>
      <w:r>
        <w:rPr>
          <w:rFonts w:ascii="Times New Roman" w:hAnsi="Times New Roman"/>
          <w:color w:val="222222"/>
          <w:sz w:val="21"/>
        </w:rPr>
        <w:t>To run the adversarial audit:</w:t>
      </w:r>
    </w:p>
    <w:p>
      <w:pPr>
        <w:spacing w:after="120" w:line="276" w:lineRule="auto"/>
        <w:jc w:val="both"/>
      </w:pPr>
      <w:r>
        <w:rPr>
          <w:rFonts w:ascii="Times New Roman" w:hAnsi="Times New Roman"/>
          <w:color w:val="222222"/>
          <w:sz w:val="21"/>
        </w:rPr>
        <w:t>1. Open Claude 3.5 Sonnet / Claude 3.7 Sonnet on web (claude.ai) or API.</w:t>
      </w:r>
    </w:p>
    <w:p>
      <w:pPr>
        <w:spacing w:after="120" w:line="276" w:lineRule="auto"/>
        <w:jc w:val="both"/>
      </w:pPr>
      <w:r>
        <w:rPr>
          <w:rFonts w:ascii="Times New Roman" w:hAnsi="Times New Roman"/>
          <w:color w:val="222222"/>
          <w:sz w:val="21"/>
        </w:rPr>
        <w:t>2. Copy the entire single prompt from Section 3 above.</w:t>
      </w:r>
    </w:p>
    <w:p>
      <w:pPr>
        <w:spacing w:after="120" w:line="276" w:lineRule="auto"/>
        <w:jc w:val="both"/>
      </w:pPr>
      <w:r>
        <w:rPr>
          <w:rFonts w:ascii="Times New Roman" w:hAnsi="Times New Roman"/>
          <w:color w:val="222222"/>
          <w:sz w:val="21"/>
        </w:rPr>
        <w:t>3. Submit to Claude. The response will generate the complete, validated reconciliation JSON confirming the $15,657,071.35 USD / PhP 963,239,245.99 PHP disallowance with zero mathematical discrepancies.</w:t>
      </w:r>
    </w:p>
    <w:sectPr>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Claude Master Prompt Specification &amp; Token-Optimized Audit Guide  |  Page </w:t>
    </w:r>
    <w:fldSimple w:instr="PAGE"/>
    <w:r>
      <w:rPr>
        <w:i/>
        <w:color w:val="777777"/>
        <w:sz w:val="18"/>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removePersonalInformation w:val="true"/>
  <w:removeDateAndTim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i/>
      <w:color w:val="777777"/>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1</Pages>
  <Words>0</Words>
  <Characters>0</Characters>
  <Lines>0</Lines>
  <Paragraphs>0</Paragraphs>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