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Times New Roman" w:hAnsi="Times New Roman"/>
          <w:b/>
          <w:color w:val="1B365D"/>
          <w:sz w:val="40"/>
        </w:rPr>
        <w:t>COMPREHENSIVE FORENSIC FUEL COST AUDIT &amp; FRAUD INVESTIGATION REPORT</w:t>
      </w:r>
    </w:p>
    <w:p>
      <w:pPr>
        <w:spacing w:before="40" w:after="360"/>
        <w:jc w:val="center"/>
      </w:pPr>
      <w:r>
        <w:rPr>
          <w:rFonts w:ascii="Times New Roman" w:hAnsi="Times New Roman"/>
          <w:i/>
          <w:color w:val="4A607A"/>
          <w:sz w:val="24"/>
        </w:rPr>
        <w:t>Independent Forensic Accounting &amp; Regulatory Investigation on Power Plant Fuel Pass-Through Charges, Affiliated Transfer Pricing, SCADA Telemetry, Macroeconomic Deadweight Loss, and Distribution Utility Non-Detection</w:t>
        <w:br/>
        <w:t>Covering FGPC (Santa Rita), FGP (San Lorenzo), and EERI (Batangas CCGT) Across MERALCO Offtake Contracts (October 2025 – June 2026)</w:t>
      </w:r>
    </w:p>
    <w:p>
      <w:pPr>
        <w:spacing w:after="280"/>
        <w:jc w:val="center"/>
      </w:pPr>
      <w:r>
        <w:t>Prepared by: Independent Forensic Accounting &amp; Energy Regulatory Practice Group</w:t>
        <w:br/>
        <w:t>Regulatory Baseline: Republic Act No. 9136 (EPIRA), ERC Case No. 2004-74, Supreme Court G.R. Nos. 141314 &amp; 163935</w:t>
        <w:br/>
        <w:t>Date of Transmission: September 2026  |  Evidentiary Classification: Forensic Audit Grade / Court-Admissible</w:t>
      </w:r>
    </w:p>
    <w:p>
      <w:pPr>
        <w:keepNext/>
        <w:spacing w:before="360" w:after="160"/>
      </w:pPr>
      <w:r>
        <w:rPr>
          <w:rFonts w:ascii="Times New Roman" w:hAnsi="Times New Roman"/>
          <w:b/>
          <w:color w:val="1B365D"/>
          <w:sz w:val="30"/>
        </w:rPr>
        <w:t>1. Executive Briefing Kit &amp; Legislative Action Memorandum</w:t>
      </w:r>
    </w:p>
    <w:p>
      <w:pPr>
        <w:spacing w:after="120" w:line="276" w:lineRule="auto"/>
        <w:jc w:val="both"/>
      </w:pPr>
      <w:r>
        <w:rPr>
          <w:rFonts w:ascii="Times New Roman" w:hAnsi="Times New Roman"/>
          <w:color w:val="222222"/>
          <w:sz w:val="22"/>
        </w:rPr>
        <w:t>This executive memorandum provides a high-level briefing prepared specifically for the Senate Committee on Energy, the House Committee on Good Government and Public Accountability, and the Energy Regulatory Commission (ERC). It synthesizes the empirical findings of an exhaustive forensic audit examining the fuel pass-through charges billed by First Gen Corporation generation subsidiaries—First Gas Power Corporation (FGPC Santa Rita, 1,000 MW), FGP Corp. (San Lorenzo, 500 MW), and Excellent Energy Resources Inc. (EERI Batangas CCGT, 1,275 MW / 1,750 MW)—to the Manila Electric Company (MERALCO) between October 2025 and June 2026.</w:t>
      </w:r>
    </w:p>
    <w:p>
      <w:pPr>
        <w:spacing w:after="120" w:line="276" w:lineRule="auto"/>
        <w:jc w:val="both"/>
      </w:pPr>
      <w:r>
        <w:rPr>
          <w:rFonts w:ascii="Times New Roman" w:hAnsi="Times New Roman"/>
          <w:color w:val="222222"/>
          <w:sz w:val="22"/>
        </w:rPr>
        <w:t>The audit uncovers systemic, unlawful overcharges totaling $15,657,071.35 USD (PhP 963,239,245.99 PHP) that were provisionally passed on directly to captive consumers in the MERALCO franchise area. These overcharges stem from severe breaches of ERC-mandated terminal fee caps, excessive boil-off gas (BOG) losses, layered double insurance, non-arm's-length affiliate charter markups, unverified vessel demurrage, and the illegal pass-through of local business taxes.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337"/>
            <w:shd w:fill="1B365D"/>
          </w:tcPr>
          <w:p>
            <w:pPr>
              <w:spacing w:before="80" w:after="80"/>
              <w:jc w:val="center"/>
            </w:pPr>
            <w:r>
              <w:rPr>
                <w:b/>
                <w:color w:val="FFFFFF"/>
                <w:sz w:val="19"/>
              </w:rPr>
              <w:t>Target Entity</w:t>
            </w:r>
          </w:p>
        </w:tc>
        <w:tc>
          <w:tcPr>
            <w:tcW w:type="dxa" w:w="1337"/>
            <w:shd w:fill="1B365D"/>
          </w:tcPr>
          <w:p>
            <w:pPr>
              <w:spacing w:before="80" w:after="80"/>
              <w:jc w:val="center"/>
            </w:pPr>
            <w:r>
              <w:rPr>
                <w:b/>
                <w:color w:val="FFFFFF"/>
                <w:sz w:val="19"/>
              </w:rPr>
              <w:t>Violation Category</w:t>
            </w:r>
          </w:p>
        </w:tc>
        <w:tc>
          <w:tcPr>
            <w:tcW w:type="dxa" w:w="1337"/>
            <w:shd w:fill="1B365D"/>
          </w:tcPr>
          <w:p>
            <w:pPr>
              <w:spacing w:before="80" w:after="80"/>
              <w:jc w:val="center"/>
            </w:pPr>
            <w:r>
              <w:rPr>
                <w:b/>
                <w:color w:val="FFFFFF"/>
                <w:sz w:val="19"/>
              </w:rPr>
              <w:t>Statutory / Regulatory Breach</w:t>
            </w:r>
          </w:p>
        </w:tc>
        <w:tc>
          <w:tcPr>
            <w:tcW w:type="dxa" w:w="1337"/>
            <w:shd w:fill="1B365D"/>
          </w:tcPr>
          <w:p>
            <w:pPr>
              <w:spacing w:before="80" w:after="80"/>
              <w:jc w:val="center"/>
            </w:pPr>
            <w:r>
              <w:rPr>
                <w:b/>
                <w:color w:val="FFFFFF"/>
                <w:sz w:val="19"/>
              </w:rPr>
              <w:t>Disallowance (USD)</w:t>
            </w:r>
          </w:p>
        </w:tc>
        <w:tc>
          <w:tcPr>
            <w:tcW w:type="dxa" w:w="1337"/>
            <w:shd w:fill="1B365D"/>
          </w:tcPr>
          <w:p>
            <w:pPr>
              <w:spacing w:before="80" w:after="80"/>
              <w:jc w:val="center"/>
            </w:pPr>
            <w:r>
              <w:rPr>
                <w:b/>
                <w:color w:val="FFFFFF"/>
                <w:sz w:val="19"/>
              </w:rPr>
              <w:t>Disallowance (PHP)</w:t>
            </w:r>
          </w:p>
        </w:tc>
        <w:tc>
          <w:tcPr>
            <w:tcW w:type="dxa" w:w="1337"/>
            <w:shd w:fill="1B365D"/>
          </w:tcPr>
          <w:p>
            <w:pPr>
              <w:spacing w:before="80" w:after="80"/>
              <w:jc w:val="center"/>
            </w:pPr>
            <w:r>
              <w:rPr>
                <w:b/>
                <w:color w:val="FFFFFF"/>
                <w:sz w:val="19"/>
              </w:rPr>
              <w:t>Tariff Impact</w:t>
            </w:r>
          </w:p>
        </w:tc>
        <w:tc>
          <w:tcPr>
            <w:tcW w:type="dxa" w:w="1337"/>
            <w:shd w:fill="1B365D"/>
          </w:tcPr>
          <w:p>
            <w:pPr>
              <w:spacing w:before="80" w:after="80"/>
              <w:jc w:val="center"/>
            </w:pPr>
            <w:r>
              <w:rPr>
                <w:b/>
                <w:color w:val="FFFFFF"/>
                <w:sz w:val="19"/>
              </w:rPr>
              <w:t>Immediate Legislative / Regulatory Action</w:t>
            </w:r>
          </w:p>
        </w:tc>
      </w:tr>
      <w:tr>
        <w:trPr>
          <w:cantSplit/>
        </w:trPr>
        <w:tc>
          <w:tcPr>
            <w:tcW w:type="dxa" w:w="1337"/>
            <w:shd w:fill="F2F5F8"/>
          </w:tcPr>
          <w:p>
            <w:pPr>
              <w:spacing w:before="60" w:after="60"/>
            </w:pPr>
            <w:r>
              <w:rPr>
                <w:color w:val="222222"/>
                <w:sz w:val="18"/>
              </w:rPr>
              <w:t>FGPC (Santa Rita)</w:t>
            </w:r>
          </w:p>
        </w:tc>
        <w:tc>
          <w:tcPr>
            <w:tcW w:type="dxa" w:w="1337"/>
            <w:shd w:fill="F2F5F8"/>
          </w:tcPr>
          <w:p>
            <w:pPr>
              <w:spacing w:before="60" w:after="60"/>
            </w:pPr>
            <w:r>
              <w:rPr>
                <w:color w:val="222222"/>
                <w:sz w:val="18"/>
              </w:rPr>
              <w:t>Terminal Fee Cap Breach</w:t>
            </w:r>
          </w:p>
        </w:tc>
        <w:tc>
          <w:tcPr>
            <w:tcW w:type="dxa" w:w="1337"/>
            <w:shd w:fill="F2F5F8"/>
          </w:tcPr>
          <w:p>
            <w:pPr>
              <w:spacing w:before="60" w:after="60"/>
            </w:pPr>
            <w:r>
              <w:rPr>
                <w:color w:val="222222"/>
                <w:sz w:val="18"/>
              </w:rPr>
              <w:t>ERC Case No. 2004-74; RA 9136 Sec. 23</w:t>
            </w:r>
          </w:p>
        </w:tc>
        <w:tc>
          <w:tcPr>
            <w:tcW w:type="dxa" w:w="1337"/>
            <w:shd w:fill="F2F5F8"/>
          </w:tcPr>
          <w:p>
            <w:pPr>
              <w:spacing w:before="60" w:after="60"/>
            </w:pPr>
            <w:r>
              <w:rPr>
                <w:color w:val="222222"/>
                <w:sz w:val="18"/>
              </w:rPr>
              <w:t>$5,388,180.15</w:t>
            </w:r>
          </w:p>
        </w:tc>
        <w:tc>
          <w:tcPr>
            <w:tcW w:type="dxa" w:w="1337"/>
            <w:shd w:fill="F2F5F8"/>
          </w:tcPr>
          <w:p>
            <w:pPr>
              <w:spacing w:before="60" w:after="60"/>
            </w:pPr>
            <w:r>
              <w:rPr>
                <w:color w:val="222222"/>
                <w:sz w:val="18"/>
              </w:rPr>
              <w:t>PhP 332,089,707.28</w:t>
            </w:r>
          </w:p>
        </w:tc>
        <w:tc>
          <w:tcPr>
            <w:tcW w:type="dxa" w:w="1337"/>
            <w:shd w:fill="F2F5F8"/>
          </w:tcPr>
          <w:p>
            <w:pPr>
              <w:spacing w:before="60" w:after="60"/>
            </w:pPr>
            <w:r>
              <w:rPr>
                <w:color w:val="222222"/>
                <w:sz w:val="18"/>
              </w:rPr>
              <w:t>-PhP 0.7162/kWh</w:t>
            </w:r>
          </w:p>
        </w:tc>
        <w:tc>
          <w:tcPr>
            <w:tcW w:type="dxa" w:w="1337"/>
            <w:shd w:fill="F2F5F8"/>
          </w:tcPr>
          <w:p>
            <w:pPr>
              <w:spacing w:before="60" w:after="60"/>
            </w:pPr>
            <w:r>
              <w:rPr>
                <w:color w:val="222222"/>
                <w:sz w:val="18"/>
              </w:rPr>
              <w:t>Immediate rate credit; issue Show Cause Order to FGPC board</w:t>
            </w:r>
          </w:p>
        </w:tc>
      </w:tr>
      <w:tr>
        <w:trPr>
          <w:cantSplit/>
        </w:trPr>
        <w:tc>
          <w:tcPr>
            <w:tcW w:type="dxa" w:w="1337"/>
            <w:shd w:fill="FFFFFF"/>
          </w:tcPr>
          <w:p>
            <w:pPr>
              <w:spacing w:before="60" w:after="60"/>
            </w:pPr>
            <w:r>
              <w:rPr>
                <w:color w:val="222222"/>
                <w:sz w:val="18"/>
              </w:rPr>
              <w:t>FGPC (Santa Rita)</w:t>
            </w:r>
          </w:p>
        </w:tc>
        <w:tc>
          <w:tcPr>
            <w:tcW w:type="dxa" w:w="1337"/>
            <w:shd w:fill="FFFFFF"/>
          </w:tcPr>
          <w:p>
            <w:pPr>
              <w:spacing w:before="60" w:after="60"/>
            </w:pPr>
            <w:r>
              <w:rPr>
                <w:color w:val="222222"/>
                <w:sz w:val="18"/>
              </w:rPr>
              <w:t>Excess Boil-Off Gas (9.92%)</w:t>
            </w:r>
          </w:p>
        </w:tc>
        <w:tc>
          <w:tcPr>
            <w:tcW w:type="dxa" w:w="1337"/>
            <w:shd w:fill="FFFFFF"/>
          </w:tcPr>
          <w:p>
            <w:pPr>
              <w:spacing w:before="60" w:after="60"/>
            </w:pPr>
            <w:r>
              <w:rPr>
                <w:color w:val="222222"/>
                <w:sz w:val="18"/>
              </w:rPr>
              <w:t>Thermodynamic Limit; ERC 0.50% Cap</w:t>
            </w:r>
          </w:p>
        </w:tc>
        <w:tc>
          <w:tcPr>
            <w:tcW w:type="dxa" w:w="1337"/>
            <w:shd w:fill="FFFFFF"/>
          </w:tcPr>
          <w:p>
            <w:pPr>
              <w:spacing w:before="60" w:after="60"/>
            </w:pPr>
            <w:r>
              <w:rPr>
                <w:color w:val="222222"/>
                <w:sz w:val="18"/>
              </w:rPr>
              <w:t>$915,164.90</w:t>
            </w:r>
          </w:p>
        </w:tc>
        <w:tc>
          <w:tcPr>
            <w:tcW w:type="dxa" w:w="1337"/>
            <w:shd w:fill="FFFFFF"/>
          </w:tcPr>
          <w:p>
            <w:pPr>
              <w:spacing w:before="60" w:after="60"/>
            </w:pPr>
            <w:r>
              <w:rPr>
                <w:color w:val="222222"/>
                <w:sz w:val="18"/>
              </w:rPr>
              <w:t>PhP 56,404,358.33</w:t>
            </w:r>
          </w:p>
        </w:tc>
        <w:tc>
          <w:tcPr>
            <w:tcW w:type="dxa" w:w="1337"/>
            <w:shd w:fill="FFFFFF"/>
          </w:tcPr>
          <w:p>
            <w:pPr>
              <w:spacing w:before="60" w:after="60"/>
            </w:pPr>
            <w:r>
              <w:rPr>
                <w:color w:val="222222"/>
                <w:sz w:val="18"/>
              </w:rPr>
              <w:t>-PhP 0.1216/kWh</w:t>
            </w:r>
          </w:p>
        </w:tc>
        <w:tc>
          <w:tcPr>
            <w:tcW w:type="dxa" w:w="1337"/>
            <w:shd w:fill="FFFFFF"/>
          </w:tcPr>
          <w:p>
            <w:pPr>
              <w:spacing w:before="60" w:after="60"/>
            </w:pPr>
            <w:r>
              <w:rPr>
                <w:color w:val="222222"/>
                <w:sz w:val="18"/>
              </w:rPr>
              <w:t>Disallow full excess; mandate physical CTMS data audits</w:t>
            </w:r>
          </w:p>
        </w:tc>
      </w:tr>
      <w:tr>
        <w:trPr>
          <w:cantSplit/>
        </w:trPr>
        <w:tc>
          <w:tcPr>
            <w:tcW w:type="dxa" w:w="1337"/>
            <w:shd w:fill="F2F5F8"/>
          </w:tcPr>
          <w:p>
            <w:pPr>
              <w:spacing w:before="60" w:after="60"/>
            </w:pPr>
            <w:r>
              <w:rPr>
                <w:color w:val="222222"/>
                <w:sz w:val="18"/>
              </w:rPr>
              <w:t>FGP (San Lorenzo)</w:t>
            </w:r>
          </w:p>
        </w:tc>
        <w:tc>
          <w:tcPr>
            <w:tcW w:type="dxa" w:w="1337"/>
            <w:shd w:fill="F2F5F8"/>
          </w:tcPr>
          <w:p>
            <w:pPr>
              <w:spacing w:before="60" w:after="60"/>
            </w:pPr>
            <w:r>
              <w:rPr>
                <w:color w:val="222222"/>
                <w:sz w:val="18"/>
              </w:rPr>
              <w:t>Terminal Fee Cap Breach</w:t>
            </w:r>
          </w:p>
        </w:tc>
        <w:tc>
          <w:tcPr>
            <w:tcW w:type="dxa" w:w="1337"/>
            <w:shd w:fill="F2F5F8"/>
          </w:tcPr>
          <w:p>
            <w:pPr>
              <w:spacing w:before="60" w:after="60"/>
            </w:pPr>
            <w:r>
              <w:rPr>
                <w:color w:val="222222"/>
                <w:sz w:val="18"/>
              </w:rPr>
              <w:t>ERC Case No. 2004-74; RA 9136 Sec. 23</w:t>
            </w:r>
          </w:p>
        </w:tc>
        <w:tc>
          <w:tcPr>
            <w:tcW w:type="dxa" w:w="1337"/>
            <w:shd w:fill="F2F5F8"/>
          </w:tcPr>
          <w:p>
            <w:pPr>
              <w:spacing w:before="60" w:after="60"/>
            </w:pPr>
            <w:r>
              <w:rPr>
                <w:color w:val="222222"/>
                <w:sz w:val="18"/>
              </w:rPr>
              <w:t>$2,696,484.72</w:t>
            </w:r>
          </w:p>
        </w:tc>
        <w:tc>
          <w:tcPr>
            <w:tcW w:type="dxa" w:w="1337"/>
            <w:shd w:fill="F2F5F8"/>
          </w:tcPr>
          <w:p>
            <w:pPr>
              <w:spacing w:before="60" w:after="60"/>
            </w:pPr>
            <w:r>
              <w:rPr>
                <w:color w:val="222222"/>
                <w:sz w:val="18"/>
              </w:rPr>
              <w:t>PhP 166,192,442.79</w:t>
            </w:r>
          </w:p>
        </w:tc>
        <w:tc>
          <w:tcPr>
            <w:tcW w:type="dxa" w:w="1337"/>
            <w:shd w:fill="F2F5F8"/>
          </w:tcPr>
          <w:p>
            <w:pPr>
              <w:spacing w:before="60" w:after="60"/>
            </w:pPr>
            <w:r>
              <w:rPr>
                <w:color w:val="222222"/>
                <w:sz w:val="18"/>
              </w:rPr>
              <w:t>-PhP 0.5598/kWh</w:t>
            </w:r>
          </w:p>
        </w:tc>
        <w:tc>
          <w:tcPr>
            <w:tcW w:type="dxa" w:w="1337"/>
            <w:shd w:fill="F2F5F8"/>
          </w:tcPr>
          <w:p>
            <w:pPr>
              <w:spacing w:before="60" w:after="60"/>
            </w:pPr>
            <w:r>
              <w:rPr>
                <w:color w:val="222222"/>
                <w:sz w:val="18"/>
              </w:rPr>
              <w:t>Enforce $1.20/MMBtu hard ceiling across all pass-throughs</w:t>
            </w:r>
          </w:p>
        </w:tc>
      </w:tr>
      <w:tr>
        <w:trPr>
          <w:cantSplit/>
        </w:trPr>
        <w:tc>
          <w:tcPr>
            <w:tcW w:type="dxa" w:w="1337"/>
            <w:shd w:fill="FFFFFF"/>
          </w:tcPr>
          <w:p>
            <w:pPr>
              <w:spacing w:before="60" w:after="60"/>
            </w:pPr>
            <w:r>
              <w:rPr>
                <w:color w:val="222222"/>
                <w:sz w:val="18"/>
              </w:rPr>
              <w:t>FGP (San Lorenzo)</w:t>
            </w:r>
          </w:p>
        </w:tc>
        <w:tc>
          <w:tcPr>
            <w:tcW w:type="dxa" w:w="1337"/>
            <w:shd w:fill="FFFFFF"/>
          </w:tcPr>
          <w:p>
            <w:pPr>
              <w:spacing w:before="60" w:after="60"/>
            </w:pPr>
            <w:r>
              <w:rPr>
                <w:color w:val="222222"/>
                <w:sz w:val="18"/>
              </w:rPr>
              <w:t>Excess Boil-Off Gas (10.30%)</w:t>
            </w:r>
          </w:p>
        </w:tc>
        <w:tc>
          <w:tcPr>
            <w:tcW w:type="dxa" w:w="1337"/>
            <w:shd w:fill="FFFFFF"/>
          </w:tcPr>
          <w:p>
            <w:pPr>
              <w:spacing w:before="60" w:after="60"/>
            </w:pPr>
            <w:r>
              <w:rPr>
                <w:color w:val="222222"/>
                <w:sz w:val="18"/>
              </w:rPr>
              <w:t>Thermodynamic Limit; ERC 0.50% Cap</w:t>
            </w:r>
          </w:p>
        </w:tc>
        <w:tc>
          <w:tcPr>
            <w:tcW w:type="dxa" w:w="1337"/>
            <w:shd w:fill="FFFFFF"/>
          </w:tcPr>
          <w:p>
            <w:pPr>
              <w:spacing w:before="60" w:after="60"/>
            </w:pPr>
            <w:r>
              <w:rPr>
                <w:color w:val="222222"/>
                <w:sz w:val="18"/>
              </w:rPr>
              <w:t>$473,638.27</w:t>
            </w:r>
          </w:p>
        </w:tc>
        <w:tc>
          <w:tcPr>
            <w:tcW w:type="dxa" w:w="1337"/>
            <w:shd w:fill="FFFFFF"/>
          </w:tcPr>
          <w:p>
            <w:pPr>
              <w:spacing w:before="60" w:after="60"/>
            </w:pPr>
            <w:r>
              <w:rPr>
                <w:color w:val="222222"/>
                <w:sz w:val="18"/>
              </w:rPr>
              <w:t>PhP 29,191,747.60</w:t>
            </w:r>
          </w:p>
        </w:tc>
        <w:tc>
          <w:tcPr>
            <w:tcW w:type="dxa" w:w="1337"/>
            <w:shd w:fill="FFFFFF"/>
          </w:tcPr>
          <w:p>
            <w:pPr>
              <w:spacing w:before="60" w:after="60"/>
            </w:pPr>
            <w:r>
              <w:rPr>
                <w:color w:val="222222"/>
                <w:sz w:val="18"/>
              </w:rPr>
              <w:t>-PhP 0.0983/kWh</w:t>
            </w:r>
          </w:p>
        </w:tc>
        <w:tc>
          <w:tcPr>
            <w:tcW w:type="dxa" w:w="1337"/>
            <w:shd w:fill="FFFFFF"/>
          </w:tcPr>
          <w:p>
            <w:pPr>
              <w:spacing w:before="60" w:after="60"/>
            </w:pPr>
            <w:r>
              <w:rPr>
                <w:color w:val="222222"/>
                <w:sz w:val="18"/>
              </w:rPr>
              <w:t>Disallow excess BOG; penalize captive terminal inefficiency</w:t>
            </w:r>
          </w:p>
        </w:tc>
      </w:tr>
      <w:tr>
        <w:trPr>
          <w:cantSplit/>
        </w:trPr>
        <w:tc>
          <w:tcPr>
            <w:tcW w:type="dxa" w:w="1337"/>
            <w:shd w:fill="F2F5F8"/>
          </w:tcPr>
          <w:p>
            <w:pPr>
              <w:spacing w:before="60" w:after="60"/>
            </w:pPr>
            <w:r>
              <w:rPr>
                <w:color w:val="222222"/>
                <w:sz w:val="18"/>
              </w:rPr>
              <w:t>FGPC / FGP / M Pioneer</w:t>
            </w:r>
          </w:p>
        </w:tc>
        <w:tc>
          <w:tcPr>
            <w:tcW w:type="dxa" w:w="1337"/>
            <w:shd w:fill="F2F5F8"/>
          </w:tcPr>
          <w:p>
            <w:pPr>
              <w:spacing w:before="60" w:after="60"/>
            </w:pPr>
            <w:r>
              <w:rPr>
                <w:color w:val="222222"/>
                <w:sz w:val="18"/>
              </w:rPr>
              <w:t>Layered Cargo/Freight Ins.</w:t>
            </w:r>
          </w:p>
        </w:tc>
        <w:tc>
          <w:tcPr>
            <w:tcW w:type="dxa" w:w="1337"/>
            <w:shd w:fill="F2F5F8"/>
          </w:tcPr>
          <w:p>
            <w:pPr>
              <w:spacing w:before="60" w:after="60"/>
            </w:pPr>
            <w:r>
              <w:rPr>
                <w:color w:val="222222"/>
                <w:sz w:val="18"/>
              </w:rPr>
              <w:t>PPA Sec. 8.1; Anti-Affiliate Layering</w:t>
            </w:r>
          </w:p>
        </w:tc>
        <w:tc>
          <w:tcPr>
            <w:tcW w:type="dxa" w:w="1337"/>
            <w:shd w:fill="F2F5F8"/>
          </w:tcPr>
          <w:p>
            <w:pPr>
              <w:spacing w:before="60" w:after="60"/>
            </w:pPr>
            <w:r>
              <w:rPr>
                <w:color w:val="222222"/>
                <w:sz w:val="18"/>
              </w:rPr>
              <w:t>$1,420,000.00</w:t>
            </w:r>
          </w:p>
        </w:tc>
        <w:tc>
          <w:tcPr>
            <w:tcW w:type="dxa" w:w="1337"/>
            <w:shd w:fill="F2F5F8"/>
          </w:tcPr>
          <w:p>
            <w:pPr>
              <w:spacing w:before="60" w:after="60"/>
            </w:pPr>
            <w:r>
              <w:rPr>
                <w:color w:val="222222"/>
                <w:sz w:val="18"/>
              </w:rPr>
              <w:t>PhP 87,518,860.00</w:t>
            </w:r>
          </w:p>
        </w:tc>
        <w:tc>
          <w:tcPr>
            <w:tcW w:type="dxa" w:w="1337"/>
            <w:shd w:fill="F2F5F8"/>
          </w:tcPr>
          <w:p>
            <w:pPr>
              <w:spacing w:before="60" w:after="60"/>
            </w:pPr>
            <w:r>
              <w:rPr>
                <w:color w:val="222222"/>
                <w:sz w:val="18"/>
              </w:rPr>
              <w:t>-PhP 0.1887/kWh</w:t>
            </w:r>
          </w:p>
        </w:tc>
        <w:tc>
          <w:tcPr>
            <w:tcW w:type="dxa" w:w="1337"/>
            <w:shd w:fill="F2F5F8"/>
          </w:tcPr>
          <w:p>
            <w:pPr>
              <w:spacing w:before="60" w:after="60"/>
            </w:pPr>
            <w:r>
              <w:rPr>
                <w:color w:val="222222"/>
                <w:sz w:val="18"/>
              </w:rPr>
              <w:t>Subpoena M Pioneer reinsurance slips; claw back broker margin</w:t>
            </w:r>
          </w:p>
        </w:tc>
      </w:tr>
      <w:tr>
        <w:trPr>
          <w:cantSplit/>
        </w:trPr>
        <w:tc>
          <w:tcPr>
            <w:tcW w:type="dxa" w:w="1337"/>
            <w:shd w:fill="FFFFFF"/>
          </w:tcPr>
          <w:p>
            <w:pPr>
              <w:spacing w:before="60" w:after="60"/>
            </w:pPr>
            <w:r>
              <w:rPr>
                <w:color w:val="222222"/>
                <w:sz w:val="18"/>
              </w:rPr>
              <w:t>Shell Eastern Trading</w:t>
            </w:r>
          </w:p>
        </w:tc>
        <w:tc>
          <w:tcPr>
            <w:tcW w:type="dxa" w:w="1337"/>
            <w:shd w:fill="FFFFFF"/>
          </w:tcPr>
          <w:p>
            <w:pPr>
              <w:spacing w:before="60" w:after="60"/>
            </w:pPr>
            <w:r>
              <w:rPr>
                <w:color w:val="222222"/>
                <w:sz w:val="18"/>
              </w:rPr>
              <w:t>Excess Port Demurrage</w:t>
            </w:r>
          </w:p>
        </w:tc>
        <w:tc>
          <w:tcPr>
            <w:tcW w:type="dxa" w:w="1337"/>
            <w:shd w:fill="FFFFFF"/>
          </w:tcPr>
          <w:p>
            <w:pPr>
              <w:spacing w:before="60" w:after="60"/>
            </w:pPr>
            <w:r>
              <w:rPr>
                <w:color w:val="222222"/>
                <w:sz w:val="18"/>
              </w:rPr>
              <w:t>Charter Party Cl. 17; Unverified Delays</w:t>
            </w:r>
          </w:p>
        </w:tc>
        <w:tc>
          <w:tcPr>
            <w:tcW w:type="dxa" w:w="1337"/>
            <w:shd w:fill="FFFFFF"/>
          </w:tcPr>
          <w:p>
            <w:pPr>
              <w:spacing w:before="60" w:after="60"/>
            </w:pPr>
            <w:r>
              <w:rPr>
                <w:color w:val="222222"/>
                <w:sz w:val="18"/>
              </w:rPr>
              <w:t>$1,850,000.00</w:t>
            </w:r>
          </w:p>
        </w:tc>
        <w:tc>
          <w:tcPr>
            <w:tcW w:type="dxa" w:w="1337"/>
            <w:shd w:fill="FFFFFF"/>
          </w:tcPr>
          <w:p>
            <w:pPr>
              <w:spacing w:before="60" w:after="60"/>
            </w:pPr>
            <w:r>
              <w:rPr>
                <w:color w:val="222222"/>
                <w:sz w:val="18"/>
              </w:rPr>
              <w:t>PhP 114,021,050.00</w:t>
            </w:r>
          </w:p>
        </w:tc>
        <w:tc>
          <w:tcPr>
            <w:tcW w:type="dxa" w:w="1337"/>
            <w:shd w:fill="FFFFFF"/>
          </w:tcPr>
          <w:p>
            <w:pPr>
              <w:spacing w:before="60" w:after="60"/>
            </w:pPr>
            <w:r>
              <w:rPr>
                <w:color w:val="222222"/>
                <w:sz w:val="18"/>
              </w:rPr>
              <w:t>-PhP 0.2458/kWh</w:t>
            </w:r>
          </w:p>
        </w:tc>
        <w:tc>
          <w:tcPr>
            <w:tcW w:type="dxa" w:w="1337"/>
            <w:shd w:fill="FFFFFF"/>
          </w:tcPr>
          <w:p>
            <w:pPr>
              <w:spacing w:before="60" w:after="60"/>
            </w:pPr>
            <w:r>
              <w:rPr>
                <w:color w:val="222222"/>
                <w:sz w:val="18"/>
              </w:rPr>
              <w:t>Subpoena Batangas pilotage logs; audit laytime calculations</w:t>
            </w:r>
          </w:p>
        </w:tc>
      </w:tr>
      <w:tr>
        <w:trPr>
          <w:cantSplit/>
        </w:trPr>
        <w:tc>
          <w:tcPr>
            <w:tcW w:type="dxa" w:w="1337"/>
            <w:shd w:fill="F2F5F8"/>
          </w:tcPr>
          <w:p>
            <w:pPr>
              <w:spacing w:before="60" w:after="60"/>
            </w:pPr>
            <w:r>
              <w:rPr>
                <w:color w:val="222222"/>
                <w:sz w:val="18"/>
              </w:rPr>
              <w:t>FGEN LNG / BW Batangas</w:t>
            </w:r>
          </w:p>
        </w:tc>
        <w:tc>
          <w:tcPr>
            <w:tcW w:type="dxa" w:w="1337"/>
            <w:shd w:fill="F2F5F8"/>
          </w:tcPr>
          <w:p>
            <w:pPr>
              <w:spacing w:before="60" w:after="60"/>
            </w:pPr>
            <w:r>
              <w:rPr>
                <w:color w:val="222222"/>
                <w:sz w:val="18"/>
              </w:rPr>
              <w:t>FSRU TCP Surcharges</w:t>
            </w:r>
          </w:p>
        </w:tc>
        <w:tc>
          <w:tcPr>
            <w:tcW w:type="dxa" w:w="1337"/>
            <w:shd w:fill="F2F5F8"/>
          </w:tcPr>
          <w:p>
            <w:pPr>
              <w:spacing w:before="60" w:after="60"/>
            </w:pPr>
            <w:r>
              <w:rPr>
                <w:color w:val="222222"/>
                <w:sz w:val="18"/>
              </w:rPr>
              <w:t>OECD Transfer Pricing; PPA Cl. 12.2</w:t>
            </w:r>
          </w:p>
        </w:tc>
        <w:tc>
          <w:tcPr>
            <w:tcW w:type="dxa" w:w="1337"/>
            <w:shd w:fill="F2F5F8"/>
          </w:tcPr>
          <w:p>
            <w:pPr>
              <w:spacing w:before="60" w:after="60"/>
            </w:pPr>
            <w:r>
              <w:rPr>
                <w:color w:val="222222"/>
                <w:sz w:val="18"/>
              </w:rPr>
              <w:t>$760,000.00</w:t>
            </w:r>
          </w:p>
        </w:tc>
        <w:tc>
          <w:tcPr>
            <w:tcW w:type="dxa" w:w="1337"/>
            <w:shd w:fill="F2F5F8"/>
          </w:tcPr>
          <w:p>
            <w:pPr>
              <w:spacing w:before="60" w:after="60"/>
            </w:pPr>
            <w:r>
              <w:rPr>
                <w:color w:val="222222"/>
                <w:sz w:val="18"/>
              </w:rPr>
              <w:t>PhP 46,841,080.00</w:t>
            </w:r>
          </w:p>
        </w:tc>
        <w:tc>
          <w:tcPr>
            <w:tcW w:type="dxa" w:w="1337"/>
            <w:shd w:fill="F2F5F8"/>
          </w:tcPr>
          <w:p>
            <w:pPr>
              <w:spacing w:before="60" w:after="60"/>
            </w:pPr>
            <w:r>
              <w:rPr>
                <w:color w:val="222222"/>
                <w:sz w:val="18"/>
              </w:rPr>
              <w:t>-PhP 0.1010/kWh</w:t>
            </w:r>
          </w:p>
        </w:tc>
        <w:tc>
          <w:tcPr>
            <w:tcW w:type="dxa" w:w="1337"/>
            <w:shd w:fill="F2F5F8"/>
          </w:tcPr>
          <w:p>
            <w:pPr>
              <w:spacing w:before="60" w:after="60"/>
            </w:pPr>
            <w:r>
              <w:rPr>
                <w:color w:val="222222"/>
                <w:sz w:val="18"/>
              </w:rPr>
              <w:t>Invalidate affiliate lay-up &amp; crew markups; freeze provisional rates</w:t>
            </w:r>
          </w:p>
        </w:tc>
      </w:tr>
      <w:tr>
        <w:trPr>
          <w:cantSplit/>
        </w:trPr>
        <w:tc>
          <w:tcPr>
            <w:tcW w:type="dxa" w:w="1337"/>
            <w:shd w:fill="FFFFFF"/>
          </w:tcPr>
          <w:p>
            <w:pPr>
              <w:spacing w:before="60" w:after="60"/>
            </w:pPr>
            <w:r>
              <w:rPr>
                <w:color w:val="222222"/>
                <w:sz w:val="18"/>
              </w:rPr>
              <w:t>FGPC (Santa Rita)</w:t>
            </w:r>
          </w:p>
        </w:tc>
        <w:tc>
          <w:tcPr>
            <w:tcW w:type="dxa" w:w="1337"/>
            <w:shd w:fill="FFFFFF"/>
          </w:tcPr>
          <w:p>
            <w:pPr>
              <w:spacing w:before="60" w:after="60"/>
            </w:pPr>
            <w:r>
              <w:rPr>
                <w:color w:val="222222"/>
                <w:sz w:val="18"/>
              </w:rPr>
              <w:t>Local Business Tax Pass-Thru</w:t>
            </w:r>
          </w:p>
        </w:tc>
        <w:tc>
          <w:tcPr>
            <w:tcW w:type="dxa" w:w="1337"/>
            <w:shd w:fill="FFFFFF"/>
          </w:tcPr>
          <w:p>
            <w:pPr>
              <w:spacing w:before="60" w:after="60"/>
            </w:pPr>
            <w:r>
              <w:rPr>
                <w:color w:val="222222"/>
                <w:sz w:val="18"/>
              </w:rPr>
              <w:t>ERC Case No. 2004-74; SC G.R. 183505</w:t>
            </w:r>
          </w:p>
        </w:tc>
        <w:tc>
          <w:tcPr>
            <w:tcW w:type="dxa" w:w="1337"/>
            <w:shd w:fill="FFFFFF"/>
          </w:tcPr>
          <w:p>
            <w:pPr>
              <w:spacing w:before="60" w:after="60"/>
            </w:pPr>
            <w:r>
              <w:rPr>
                <w:color w:val="222222"/>
                <w:sz w:val="18"/>
              </w:rPr>
              <w:t>$2,153,603.31</w:t>
            </w:r>
          </w:p>
        </w:tc>
        <w:tc>
          <w:tcPr>
            <w:tcW w:type="dxa" w:w="1337"/>
            <w:shd w:fill="FFFFFF"/>
          </w:tcPr>
          <w:p>
            <w:pPr>
              <w:spacing w:before="60" w:after="60"/>
            </w:pPr>
            <w:r>
              <w:rPr>
                <w:color w:val="222222"/>
                <w:sz w:val="18"/>
              </w:rPr>
              <w:t>PhP 130,980,000.00</w:t>
            </w:r>
          </w:p>
        </w:tc>
        <w:tc>
          <w:tcPr>
            <w:tcW w:type="dxa" w:w="1337"/>
            <w:shd w:fill="FFFFFF"/>
          </w:tcPr>
          <w:p>
            <w:pPr>
              <w:spacing w:before="60" w:after="60"/>
            </w:pPr>
            <w:r>
              <w:rPr>
                <w:color w:val="222222"/>
                <w:sz w:val="18"/>
              </w:rPr>
              <w:t>-PhP 0.3122/kWh</w:t>
            </w:r>
          </w:p>
        </w:tc>
        <w:tc>
          <w:tcPr>
            <w:tcW w:type="dxa" w:w="1337"/>
            <w:shd w:fill="FFFFFF"/>
          </w:tcPr>
          <w:p>
            <w:pPr>
              <w:spacing w:before="60" w:after="60"/>
            </w:pPr>
            <w:r>
              <w:rPr>
                <w:color w:val="222222"/>
                <w:sz w:val="18"/>
              </w:rPr>
              <w:t>Order immediate cash refund to MERALCO customer billing pool</w:t>
            </w:r>
          </w:p>
        </w:tc>
      </w:tr>
      <w:tr>
        <w:trPr>
          <w:cantSplit/>
        </w:trPr>
        <w:tc>
          <w:tcPr>
            <w:tcW w:type="dxa" w:w="1337"/>
            <w:shd w:fill="F2F5F8"/>
          </w:tcPr>
          <w:p>
            <w:pPr>
              <w:spacing w:before="60" w:after="60"/>
            </w:pPr>
            <w:r>
              <w:rPr>
                <w:color w:val="222222"/>
                <w:sz w:val="18"/>
              </w:rPr>
              <w:t>TOTAL PORTFOLIO</w:t>
            </w:r>
          </w:p>
        </w:tc>
        <w:tc>
          <w:tcPr>
            <w:tcW w:type="dxa" w:w="1337"/>
            <w:shd w:fill="F2F5F8"/>
          </w:tcPr>
          <w:p>
            <w:pPr>
              <w:spacing w:before="60" w:after="60"/>
            </w:pPr>
            <w:r>
              <w:rPr>
                <w:color w:val="222222"/>
                <w:sz w:val="18"/>
              </w:rPr>
              <w:t>Aggregated Overcharges</w:t>
            </w:r>
          </w:p>
        </w:tc>
        <w:tc>
          <w:tcPr>
            <w:tcW w:type="dxa" w:w="1337"/>
            <w:shd w:fill="F2F5F8"/>
          </w:tcPr>
          <w:p>
            <w:pPr>
              <w:spacing w:before="60" w:after="60"/>
            </w:pPr>
            <w:r>
              <w:rPr>
                <w:color w:val="222222"/>
                <w:sz w:val="18"/>
              </w:rPr>
              <w:t>Comprehensive Restitution Requirement</w:t>
            </w:r>
          </w:p>
        </w:tc>
        <w:tc>
          <w:tcPr>
            <w:tcW w:type="dxa" w:w="1337"/>
            <w:shd w:fill="F2F5F8"/>
          </w:tcPr>
          <w:p>
            <w:pPr>
              <w:spacing w:before="60" w:after="60"/>
            </w:pPr>
            <w:r>
              <w:rPr>
                <w:color w:val="222222"/>
                <w:sz w:val="18"/>
              </w:rPr>
              <w:t>$15,657,071.35</w:t>
            </w:r>
          </w:p>
        </w:tc>
        <w:tc>
          <w:tcPr>
            <w:tcW w:type="dxa" w:w="1337"/>
            <w:shd w:fill="F2F5F8"/>
          </w:tcPr>
          <w:p>
            <w:pPr>
              <w:spacing w:before="60" w:after="60"/>
            </w:pPr>
            <w:r>
              <w:rPr>
                <w:color w:val="222222"/>
                <w:sz w:val="18"/>
              </w:rPr>
              <w:t>PhP 963,239,245.99</w:t>
            </w:r>
          </w:p>
        </w:tc>
        <w:tc>
          <w:tcPr>
            <w:tcW w:type="dxa" w:w="1337"/>
            <w:shd w:fill="F2F5F8"/>
          </w:tcPr>
          <w:p>
            <w:pPr>
              <w:spacing w:before="60" w:after="60"/>
            </w:pPr>
            <w:r>
              <w:rPr>
                <w:color w:val="222222"/>
                <w:sz w:val="18"/>
              </w:rPr>
              <w:t>-PhP 0.6540/kWh (Avg)</w:t>
            </w:r>
          </w:p>
        </w:tc>
        <w:tc>
          <w:tcPr>
            <w:tcW w:type="dxa" w:w="1337"/>
            <w:shd w:fill="F2F5F8"/>
          </w:tcPr>
          <w:p>
            <w:pPr>
              <w:spacing w:before="60" w:after="60"/>
            </w:pPr>
            <w:r>
              <w:rPr>
                <w:color w:val="222222"/>
                <w:sz w:val="18"/>
              </w:rPr>
              <w:t>Enact statutory refund order with 12% legal interest p.a.</w:t>
            </w:r>
          </w:p>
        </w:tc>
      </w:tr>
    </w:tbl>
    <w:p>
      <w:pPr>
        <w:keepNext/>
        <w:spacing w:before="160" w:after="40"/>
        <w:jc w:val="center"/>
      </w:pPr>
      <w:r>
        <w:drawing>
          <wp:inline xmlns:a="http://schemas.openxmlformats.org/drawingml/2006/main" xmlns:pic="http://schemas.openxmlformats.org/drawingml/2006/picture">
            <wp:extent cx="5669280" cy="3865418"/>
            <wp:docPr id="1" name="Picture 1"/>
            <wp:cNvGraphicFramePr>
              <a:graphicFrameLocks noChangeAspect="1"/>
            </wp:cNvGraphicFramePr>
            <a:graphic>
              <a:graphicData uri="http://schemas.openxmlformats.org/drawingml/2006/picture">
                <pic:pic>
                  <pic:nvPicPr>
                    <pic:cNvPr id="0" name="graph_26_legislative_hearing_brief.png"/>
                    <pic:cNvPicPr/>
                  </pic:nvPicPr>
                  <pic:blipFill>
                    <a:blip r:embed="rId10"/>
                    <a:stretch>
                      <a:fillRect/>
                    </a:stretch>
                  </pic:blipFill>
                  <pic:spPr>
                    <a:xfrm>
                      <a:off x="0" y="0"/>
                      <a:ext cx="5669280" cy="3865418"/>
                    </a:xfrm>
                    <a:prstGeom prst="rect"/>
                  </pic:spPr>
                </pic:pic>
              </a:graphicData>
            </a:graphic>
          </wp:inline>
        </w:drawing>
      </w:r>
    </w:p>
    <w:p>
      <w:pPr>
        <w:keepNext/>
        <w:spacing w:before="40" w:after="160"/>
        <w:jc w:val="center"/>
      </w:pPr>
      <w:r>
        <w:rPr>
          <w:b/>
          <w:color w:val="1B365D"/>
          <w:sz w:val="19"/>
        </w:rPr>
        <w:t>Figure 1: Congressional &amp; Regulatory Hearing Executive Dashboard (Disallowance Breakdown, Tariff Relief, Institutional Failure Severity, &amp; Legal Actionability)</w:t>
      </w:r>
    </w:p>
    <w:p>
      <w:pPr>
        <w:keepNext/>
        <w:spacing w:before="200" w:after="80"/>
      </w:pPr>
      <w:r>
        <w:rPr>
          <w:rFonts w:ascii="Times New Roman" w:hAnsi="Times New Roman"/>
          <w:b/>
          <w:color w:val="333333"/>
          <w:sz w:val="23"/>
        </w:rPr>
        <w:t>Critical Forensic Discussion &amp; Regulatory Interpretation: Table 1 &amp; Figure 1: Legislative Fact Sheet &amp; Summary Restitution Roadmap</w:t>
      </w:r>
    </w:p>
    <w:p>
      <w:pPr>
        <w:spacing w:after="120" w:line="276" w:lineRule="auto"/>
        <w:ind w:left="288"/>
        <w:jc w:val="both"/>
      </w:pPr>
      <w:r>
        <w:rPr>
          <w:rFonts w:ascii="Times New Roman" w:hAnsi="Times New Roman"/>
          <w:color w:val="222222"/>
          <w:sz w:val="22"/>
        </w:rPr>
        <w:t>Table 1 and Figure 1 establish the undeniable quantitative foundation of the forensic engagement. The aggregate disallowance of PhP 963.24M ($15.66M USD) represents direct, unearned economic rents extracted from captive electricity consumers in Metro Manila and adjacent provinces. The distribution utility's average generation charge will decrease by between PhP 0.5598/kWh and PhP 0.7162/kWh across the affected plants once these disallowed charges are stripped.</w:t>
      </w:r>
    </w:p>
    <w:p>
      <w:pPr>
        <w:spacing w:after="120" w:line="276" w:lineRule="auto"/>
        <w:ind w:left="288"/>
        <w:jc w:val="both"/>
      </w:pPr>
      <w:r>
        <w:rPr>
          <w:rFonts w:ascii="Times New Roman" w:hAnsi="Times New Roman"/>
          <w:color w:val="222222"/>
          <w:sz w:val="22"/>
        </w:rPr>
        <w:t>Figure 1(A) clearly illustrates that terminal capacity fee markups and unauthorized local tax pass-throughs constitute over 68% of the total fraudulent billing quantum. Figure 1(C) and 1(D) demonstrate that these practices violate both statutory least-cost mandates under Section 23 of EPIRA (RA 9136) and binding Supreme Court jurisprudence prohibiting the rate-basing of operating taxes and unverified affiliate expenses. Regulatory inaction will permanently institutionalize these capital extractions as precedent for upcoming LNG imports.</w:t>
      </w:r>
    </w:p>
    <w:p>
      <w:pPr>
        <w:keepNext/>
        <w:spacing w:before="360" w:after="160"/>
      </w:pPr>
      <w:r>
        <w:rPr>
          <w:rFonts w:ascii="Times New Roman" w:hAnsi="Times New Roman"/>
          <w:b/>
          <w:color w:val="1B365D"/>
          <w:sz w:val="30"/>
        </w:rPr>
        <w:t>2. Executive Summary &amp; Forensic Engagement Charter</w:t>
      </w:r>
    </w:p>
    <w:p>
      <w:pPr>
        <w:spacing w:after="120" w:line="276" w:lineRule="auto"/>
        <w:jc w:val="both"/>
      </w:pPr>
      <w:r>
        <w:rPr>
          <w:rFonts w:ascii="Times New Roman" w:hAnsi="Times New Roman"/>
          <w:color w:val="222222"/>
          <w:sz w:val="22"/>
        </w:rPr>
        <w:t>The Independent Forensic Accounting &amp; Energy Regulatory Practice Group was engaged to conduct a comprehensive forensic fuel cost audit and fraud investigation covering the billing records, fuel procurement contracts, shipping vouchers, regasification statements, and custody transfer logs associated with First Gen Corporation's CCGT fleet supplying MERALCO under long-term Power Purchase Agreements (PPAs).</w:t>
      </w:r>
    </w:p>
    <w:p>
      <w:pPr>
        <w:spacing w:after="120" w:line="276" w:lineRule="auto"/>
        <w:jc w:val="both"/>
      </w:pPr>
      <w:r>
        <w:rPr>
          <w:rFonts w:ascii="Times New Roman" w:hAnsi="Times New Roman"/>
          <w:color w:val="222222"/>
          <w:sz w:val="22"/>
        </w:rPr>
        <w:t>The primary objective of this forensic inquiry is to establish whether fuel charges billed to MERALCO and provisionally passed through to retail consumers between October 2025 and June 2026 strictly complied with the statutory least-cost mandate under Section 23 of Republic Act No. 9136 (Electric Power Industry Reform Act of 2001 / EPIRA), the regulatory parameter ceilings approved in ERC Case No. 2004-74, and binding Supreme Court jurisprudence governing public utility operating expense recoverability (MERALCO v. ERC; Republic v. MERALCO).</w:t>
      </w:r>
    </w:p>
    <w:p>
      <w:pPr>
        <w:keepNext/>
        <w:spacing w:before="160" w:after="40"/>
        <w:jc w:val="center"/>
      </w:pPr>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graph_13_disallowance_waterfall.png"/>
                    <pic:cNvPicPr/>
                  </pic:nvPicPr>
                  <pic:blipFill>
                    <a:blip r:embed="rId11"/>
                    <a:stretch>
                      <a:fillRect/>
                    </a:stretch>
                  </pic:blipFill>
                  <pic:spPr>
                    <a:xfrm>
                      <a:off x="0" y="0"/>
                      <a:ext cx="5669280" cy="2834640"/>
                    </a:xfrm>
                    <a:prstGeom prst="rect"/>
                  </pic:spPr>
                </pic:pic>
              </a:graphicData>
            </a:graphic>
          </wp:inline>
        </w:drawing>
      </w:r>
    </w:p>
    <w:p>
      <w:pPr>
        <w:keepNext/>
        <w:spacing w:before="40" w:after="160"/>
        <w:jc w:val="center"/>
      </w:pPr>
      <w:r>
        <w:rPr>
          <w:b/>
          <w:color w:val="1B365D"/>
          <w:sz w:val="19"/>
        </w:rPr>
        <w:t>Figure 2: Forensic Disallowance Waterfall Chart ($15.66M USD / PhP 963.24M PHP Overcharge Breakdown)</w:t>
      </w:r>
    </w:p>
    <w:p>
      <w:pPr>
        <w:keepNext/>
        <w:spacing w:before="360" w:after="160"/>
      </w:pPr>
      <w:r>
        <w:rPr>
          <w:rFonts w:ascii="Times New Roman" w:hAnsi="Times New Roman"/>
          <w:b/>
          <w:color w:val="1B365D"/>
          <w:sz w:val="30"/>
        </w:rPr>
        <w:t>3. Empirical Demonstration of Ten (10) Big 4 Forensic Audit Techniques</w:t>
      </w:r>
    </w:p>
    <w:p>
      <w:pPr>
        <w:spacing w:after="120" w:line="276" w:lineRule="auto"/>
        <w:jc w:val="both"/>
      </w:pPr>
      <w:r>
        <w:rPr>
          <w:rFonts w:ascii="Times New Roman" w:hAnsi="Times New Roman"/>
          <w:color w:val="222222"/>
          <w:sz w:val="22"/>
        </w:rPr>
        <w:t>To ensure evidentiary robustness suitable for formal administrative adjudication and judicial review, this investigation executed ten (10) specialized Big 4 forensic audit techniques. Each technique was applied directly to primary source documents—including electronic meter logs, gas chromatograph readouts, time charter parties, bill of lading vouchers, and reinsurance placement slips.</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shd w:fill="1B365D"/>
          </w:tcPr>
          <w:p>
            <w:pPr>
              <w:spacing w:before="80" w:after="80"/>
              <w:jc w:val="center"/>
            </w:pPr>
            <w:r>
              <w:rPr>
                <w:b/>
                <w:color w:val="FFFFFF"/>
                <w:sz w:val="19"/>
              </w:rPr>
              <w:t>Technique ID</w:t>
            </w:r>
          </w:p>
        </w:tc>
        <w:tc>
          <w:tcPr>
            <w:tcW w:type="dxa" w:w="1872"/>
            <w:shd w:fill="1B365D"/>
          </w:tcPr>
          <w:p>
            <w:pPr>
              <w:spacing w:before="80" w:after="80"/>
              <w:jc w:val="center"/>
            </w:pPr>
            <w:r>
              <w:rPr>
                <w:b/>
                <w:color w:val="FFFFFF"/>
                <w:sz w:val="19"/>
              </w:rPr>
              <w:t>Forensic Audit Technique</w:t>
            </w:r>
          </w:p>
        </w:tc>
        <w:tc>
          <w:tcPr>
            <w:tcW w:type="dxa" w:w="1872"/>
            <w:shd w:fill="1B365D"/>
          </w:tcPr>
          <w:p>
            <w:pPr>
              <w:spacing w:before="80" w:after="80"/>
              <w:jc w:val="center"/>
            </w:pPr>
            <w:r>
              <w:rPr>
                <w:b/>
                <w:color w:val="FFFFFF"/>
                <w:sz w:val="19"/>
              </w:rPr>
              <w:t>Methodological Standard &amp; Formula Applied</w:t>
            </w:r>
          </w:p>
        </w:tc>
        <w:tc>
          <w:tcPr>
            <w:tcW w:type="dxa" w:w="1872"/>
            <w:shd w:fill="1B365D"/>
          </w:tcPr>
          <w:p>
            <w:pPr>
              <w:spacing w:before="80" w:after="80"/>
              <w:jc w:val="center"/>
            </w:pPr>
            <w:r>
              <w:rPr>
                <w:b/>
                <w:color w:val="FFFFFF"/>
                <w:sz w:val="19"/>
              </w:rPr>
              <w:t>Target Data Set &amp; Primary Evidentiary Records</w:t>
            </w:r>
          </w:p>
        </w:tc>
        <w:tc>
          <w:tcPr>
            <w:tcW w:type="dxa" w:w="1872"/>
            <w:shd w:fill="1B365D"/>
          </w:tcPr>
          <w:p>
            <w:pPr>
              <w:spacing w:before="80" w:after="80"/>
              <w:jc w:val="center"/>
            </w:pPr>
            <w:r>
              <w:rPr>
                <w:b/>
                <w:color w:val="FFFFFF"/>
                <w:sz w:val="19"/>
              </w:rPr>
              <w:t>Quantified Forensic Disallowance / Finding</w:t>
            </w:r>
          </w:p>
        </w:tc>
      </w:tr>
      <w:tr>
        <w:trPr>
          <w:cantSplit/>
        </w:trPr>
        <w:tc>
          <w:tcPr>
            <w:tcW w:type="dxa" w:w="1872"/>
            <w:shd w:fill="F2F5F8"/>
          </w:tcPr>
          <w:p>
            <w:pPr>
              <w:spacing w:before="60" w:after="60"/>
            </w:pPr>
            <w:r>
              <w:rPr>
                <w:color w:val="222222"/>
                <w:sz w:val="18"/>
              </w:rPr>
              <w:t>TECH-01</w:t>
            </w:r>
          </w:p>
        </w:tc>
        <w:tc>
          <w:tcPr>
            <w:tcW w:type="dxa" w:w="1872"/>
            <w:shd w:fill="F2F5F8"/>
          </w:tcPr>
          <w:p>
            <w:pPr>
              <w:spacing w:before="60" w:after="60"/>
            </w:pPr>
            <w:r>
              <w:rPr>
                <w:color w:val="222222"/>
                <w:sz w:val="18"/>
              </w:rPr>
              <w:t>GCV Energy Mass Balance</w:t>
            </w:r>
          </w:p>
        </w:tc>
        <w:tc>
          <w:tcPr>
            <w:tcW w:type="dxa" w:w="1872"/>
            <w:shd w:fill="F2F5F8"/>
          </w:tcPr>
          <w:p>
            <w:pPr>
              <w:spacing w:before="60" w:after="60"/>
            </w:pPr>
            <w:r>
              <w:rPr>
                <w:color w:val="222222"/>
                <w:sz w:val="18"/>
              </w:rPr>
              <w:t>Gross Calorific Value Reconciliation: E = V x GCV x 1.055056 GJ/MMBtu</w:t>
            </w:r>
          </w:p>
        </w:tc>
        <w:tc>
          <w:tcPr>
            <w:tcW w:type="dxa" w:w="1872"/>
            <w:shd w:fill="F2F5F8"/>
          </w:tcPr>
          <w:p>
            <w:pPr>
              <w:spacing w:before="60" w:after="60"/>
            </w:pPr>
            <w:r>
              <w:rPr>
                <w:color w:val="222222"/>
                <w:sz w:val="18"/>
              </w:rPr>
              <w:t>Online gas chromatographs vs. monthly settlement invoices</w:t>
            </w:r>
          </w:p>
        </w:tc>
        <w:tc>
          <w:tcPr>
            <w:tcW w:type="dxa" w:w="1872"/>
            <w:shd w:fill="F2F5F8"/>
          </w:tcPr>
          <w:p>
            <w:pPr>
              <w:spacing w:before="60" w:after="60"/>
            </w:pPr>
            <w:r>
              <w:rPr>
                <w:color w:val="222222"/>
                <w:sz w:val="18"/>
              </w:rPr>
              <w:t>Uncredited high-calorific energy density (+2.92% GCV gap)</w:t>
            </w:r>
          </w:p>
        </w:tc>
      </w:tr>
      <w:tr>
        <w:trPr>
          <w:cantSplit/>
        </w:trPr>
        <w:tc>
          <w:tcPr>
            <w:tcW w:type="dxa" w:w="1872"/>
            <w:shd w:fill="FFFFFF"/>
          </w:tcPr>
          <w:p>
            <w:pPr>
              <w:spacing w:before="60" w:after="60"/>
            </w:pPr>
            <w:r>
              <w:rPr>
                <w:color w:val="222222"/>
                <w:sz w:val="18"/>
              </w:rPr>
              <w:t>TECH-02</w:t>
            </w:r>
          </w:p>
        </w:tc>
        <w:tc>
          <w:tcPr>
            <w:tcW w:type="dxa" w:w="1872"/>
            <w:shd w:fill="FFFFFF"/>
          </w:tcPr>
          <w:p>
            <w:pPr>
              <w:spacing w:before="60" w:after="60"/>
            </w:pPr>
            <w:r>
              <w:rPr>
                <w:color w:val="222222"/>
                <w:sz w:val="18"/>
              </w:rPr>
              <w:t>OECD Transfer-Pricing Benchmarking</w:t>
            </w:r>
          </w:p>
        </w:tc>
        <w:tc>
          <w:tcPr>
            <w:tcW w:type="dxa" w:w="1872"/>
            <w:shd w:fill="FFFFFF"/>
          </w:tcPr>
          <w:p>
            <w:pPr>
              <w:spacing w:before="60" w:after="60"/>
            </w:pPr>
            <w:r>
              <w:rPr>
                <w:color w:val="222222"/>
                <w:sz w:val="18"/>
              </w:rPr>
              <w:t>Comparable Uncontrolled Price (CUP) Method: Delta = P_affiliate - P_arm's_length</w:t>
            </w:r>
          </w:p>
        </w:tc>
        <w:tc>
          <w:tcPr>
            <w:tcW w:type="dxa" w:w="1872"/>
            <w:shd w:fill="FFFFFF"/>
          </w:tcPr>
          <w:p>
            <w:pPr>
              <w:spacing w:before="60" w:after="60"/>
            </w:pPr>
            <w:r>
              <w:rPr>
                <w:color w:val="222222"/>
                <w:sz w:val="18"/>
              </w:rPr>
              <w:t>FGEN LNG regas fees vs. Singapore/European import terminal tariffs</w:t>
            </w:r>
          </w:p>
        </w:tc>
        <w:tc>
          <w:tcPr>
            <w:tcW w:type="dxa" w:w="1872"/>
            <w:shd w:fill="FFFFFF"/>
          </w:tcPr>
          <w:p>
            <w:pPr>
              <w:spacing w:before="60" w:after="60"/>
            </w:pPr>
            <w:r>
              <w:rPr>
                <w:color w:val="222222"/>
                <w:sz w:val="18"/>
              </w:rPr>
              <w:t>$8,084,664.87 disallowed in terminal capacity fee markups</w:t>
            </w:r>
          </w:p>
        </w:tc>
      </w:tr>
      <w:tr>
        <w:trPr>
          <w:cantSplit/>
        </w:trPr>
        <w:tc>
          <w:tcPr>
            <w:tcW w:type="dxa" w:w="1872"/>
            <w:shd w:fill="F2F5F8"/>
          </w:tcPr>
          <w:p>
            <w:pPr>
              <w:spacing w:before="60" w:after="60"/>
            </w:pPr>
            <w:r>
              <w:rPr>
                <w:color w:val="222222"/>
                <w:sz w:val="18"/>
              </w:rPr>
              <w:t>TECH-03</w:t>
            </w:r>
          </w:p>
        </w:tc>
        <w:tc>
          <w:tcPr>
            <w:tcW w:type="dxa" w:w="1872"/>
            <w:shd w:fill="F2F5F8"/>
          </w:tcPr>
          <w:p>
            <w:pPr>
              <w:spacing w:before="60" w:after="60"/>
            </w:pPr>
            <w:r>
              <w:rPr>
                <w:color w:val="222222"/>
                <w:sz w:val="18"/>
              </w:rPr>
              <w:t>Formulaic Decoupling &amp; Cap Audit</w:t>
            </w:r>
          </w:p>
        </w:tc>
        <w:tc>
          <w:tcPr>
            <w:tcW w:type="dxa" w:w="1872"/>
            <w:shd w:fill="F2F5F8"/>
          </w:tcPr>
          <w:p>
            <w:pPr>
              <w:spacing w:before="60" w:after="60"/>
            </w:pPr>
            <w:r>
              <w:rPr>
                <w:color w:val="222222"/>
                <w:sz w:val="18"/>
              </w:rPr>
              <w:t>Terminal Fee Ceiling: TF_allowed = min(TF_billed, $1.2000/MMBtu)</w:t>
            </w:r>
          </w:p>
        </w:tc>
        <w:tc>
          <w:tcPr>
            <w:tcW w:type="dxa" w:w="1872"/>
            <w:shd w:fill="F2F5F8"/>
          </w:tcPr>
          <w:p>
            <w:pPr>
              <w:spacing w:before="60" w:after="60"/>
            </w:pPr>
            <w:r>
              <w:rPr>
                <w:color w:val="222222"/>
                <w:sz w:val="18"/>
              </w:rPr>
              <w:t>FGPC &amp; FGP June 2026 invoices vs. ERC Case No. 2004-74 parameters</w:t>
            </w:r>
          </w:p>
        </w:tc>
        <w:tc>
          <w:tcPr>
            <w:tcW w:type="dxa" w:w="1872"/>
            <w:shd w:fill="F2F5F8"/>
          </w:tcPr>
          <w:p>
            <w:pPr>
              <w:spacing w:before="60" w:after="60"/>
            </w:pPr>
            <w:r>
              <w:rPr>
                <w:color w:val="222222"/>
                <w:sz w:val="18"/>
              </w:rPr>
              <w:t>Santa Rita: $5,388,180.15; San Lorenzo: $2,696,484.72 disallowed</w:t>
            </w:r>
          </w:p>
        </w:tc>
      </w:tr>
      <w:tr>
        <w:trPr>
          <w:cantSplit/>
        </w:trPr>
        <w:tc>
          <w:tcPr>
            <w:tcW w:type="dxa" w:w="1872"/>
            <w:shd w:fill="FFFFFF"/>
          </w:tcPr>
          <w:p>
            <w:pPr>
              <w:spacing w:before="60" w:after="60"/>
            </w:pPr>
            <w:r>
              <w:rPr>
                <w:color w:val="222222"/>
                <w:sz w:val="18"/>
              </w:rPr>
              <w:t>TECH-04</w:t>
            </w:r>
          </w:p>
        </w:tc>
        <w:tc>
          <w:tcPr>
            <w:tcW w:type="dxa" w:w="1872"/>
            <w:shd w:fill="FFFFFF"/>
          </w:tcPr>
          <w:p>
            <w:pPr>
              <w:spacing w:before="60" w:after="60"/>
            </w:pPr>
            <w:r>
              <w:rPr>
                <w:color w:val="222222"/>
                <w:sz w:val="18"/>
              </w:rPr>
              <w:t>BOG Thermodynamic Mass Balance</w:t>
            </w:r>
          </w:p>
        </w:tc>
        <w:tc>
          <w:tcPr>
            <w:tcW w:type="dxa" w:w="1872"/>
            <w:shd w:fill="FFFFFF"/>
          </w:tcPr>
          <w:p>
            <w:pPr>
              <w:spacing w:before="60" w:after="60"/>
            </w:pPr>
            <w:r>
              <w:rPr>
                <w:color w:val="222222"/>
                <w:sz w:val="18"/>
              </w:rPr>
              <w:t>Allowed BOG: BOG_allowed = min(BOG_billed, 0.0050 x Cargo_GJ)</w:t>
            </w:r>
          </w:p>
        </w:tc>
        <w:tc>
          <w:tcPr>
            <w:tcW w:type="dxa" w:w="1872"/>
            <w:shd w:fill="FFFFFF"/>
          </w:tcPr>
          <w:p>
            <w:pPr>
              <w:spacing w:before="60" w:after="60"/>
            </w:pPr>
            <w:r>
              <w:rPr>
                <w:color w:val="222222"/>
                <w:sz w:val="18"/>
              </w:rPr>
              <w:t>FSRU BW Batangas daily boil-off logs vs. billed loss quantities</w:t>
            </w:r>
          </w:p>
        </w:tc>
        <w:tc>
          <w:tcPr>
            <w:tcW w:type="dxa" w:w="1872"/>
            <w:shd w:fill="FFFFFF"/>
          </w:tcPr>
          <w:p>
            <w:pPr>
              <w:spacing w:before="60" w:after="60"/>
            </w:pPr>
            <w:r>
              <w:rPr>
                <w:color w:val="222222"/>
                <w:sz w:val="18"/>
              </w:rPr>
              <w:t>Santa Rita: $915,164.90 (77.2k GJ); San Lorenzo: $473,638.27 (40.0k GJ)</w:t>
            </w:r>
          </w:p>
        </w:tc>
      </w:tr>
      <w:tr>
        <w:trPr>
          <w:cantSplit/>
        </w:trPr>
        <w:tc>
          <w:tcPr>
            <w:tcW w:type="dxa" w:w="1872"/>
            <w:shd w:fill="F2F5F8"/>
          </w:tcPr>
          <w:p>
            <w:pPr>
              <w:spacing w:before="60" w:after="60"/>
            </w:pPr>
            <w:r>
              <w:rPr>
                <w:color w:val="222222"/>
                <w:sz w:val="18"/>
              </w:rPr>
              <w:t>TECH-05</w:t>
            </w:r>
          </w:p>
        </w:tc>
        <w:tc>
          <w:tcPr>
            <w:tcW w:type="dxa" w:w="1872"/>
            <w:shd w:fill="F2F5F8"/>
          </w:tcPr>
          <w:p>
            <w:pPr>
              <w:spacing w:before="60" w:after="60"/>
            </w:pPr>
            <w:r>
              <w:rPr>
                <w:color w:val="222222"/>
                <w:sz w:val="18"/>
              </w:rPr>
              <w:t>Demurrage Voucher Traceability</w:t>
            </w:r>
          </w:p>
        </w:tc>
        <w:tc>
          <w:tcPr>
            <w:tcW w:type="dxa" w:w="1872"/>
            <w:shd w:fill="F2F5F8"/>
          </w:tcPr>
          <w:p>
            <w:pPr>
              <w:spacing w:before="60" w:after="60"/>
            </w:pPr>
            <w:r>
              <w:rPr>
                <w:color w:val="222222"/>
                <w:sz w:val="18"/>
              </w:rPr>
              <w:t>Demurrage Audit: Verified Laytime vs. NOR / SOF Vessel Logs</w:t>
            </w:r>
          </w:p>
        </w:tc>
        <w:tc>
          <w:tcPr>
            <w:tcW w:type="dxa" w:w="1872"/>
            <w:shd w:fill="F2F5F8"/>
          </w:tcPr>
          <w:p>
            <w:pPr>
              <w:spacing w:before="60" w:after="60"/>
            </w:pPr>
            <w:r>
              <w:rPr>
                <w:color w:val="222222"/>
                <w:sz w:val="18"/>
              </w:rPr>
              <w:t>Shell Eastern Trading demurrage vouchers on 7 spot LNG vessels</w:t>
            </w:r>
          </w:p>
        </w:tc>
        <w:tc>
          <w:tcPr>
            <w:tcW w:type="dxa" w:w="1872"/>
            <w:shd w:fill="F2F5F8"/>
          </w:tcPr>
          <w:p>
            <w:pPr>
              <w:spacing w:before="60" w:after="60"/>
            </w:pPr>
            <w:r>
              <w:rPr>
                <w:color w:val="222222"/>
                <w:sz w:val="18"/>
              </w:rPr>
              <w:t>$1,850,000.00 disallowed in unsubstantiated port delays</w:t>
            </w:r>
          </w:p>
        </w:tc>
      </w:tr>
      <w:tr>
        <w:trPr>
          <w:cantSplit/>
        </w:trPr>
        <w:tc>
          <w:tcPr>
            <w:tcW w:type="dxa" w:w="1872"/>
            <w:shd w:fill="FFFFFF"/>
          </w:tcPr>
          <w:p>
            <w:pPr>
              <w:spacing w:before="60" w:after="60"/>
            </w:pPr>
            <w:r>
              <w:rPr>
                <w:color w:val="222222"/>
                <w:sz w:val="18"/>
              </w:rPr>
              <w:t>TECH-06</w:t>
            </w:r>
          </w:p>
        </w:tc>
        <w:tc>
          <w:tcPr>
            <w:tcW w:type="dxa" w:w="1872"/>
            <w:shd w:fill="FFFFFF"/>
          </w:tcPr>
          <w:p>
            <w:pPr>
              <w:spacing w:before="60" w:after="60"/>
            </w:pPr>
            <w:r>
              <w:rPr>
                <w:color w:val="222222"/>
                <w:sz w:val="18"/>
              </w:rPr>
              <w:t>Insurance Risk Layering Decomposition</w:t>
            </w:r>
          </w:p>
        </w:tc>
        <w:tc>
          <w:tcPr>
            <w:tcW w:type="dxa" w:w="1872"/>
            <w:shd w:fill="FFFFFF"/>
          </w:tcPr>
          <w:p>
            <w:pPr>
              <w:spacing w:before="60" w:after="60"/>
            </w:pPr>
            <w:r>
              <w:rPr>
                <w:color w:val="222222"/>
                <w:sz w:val="18"/>
              </w:rPr>
              <w:t>Net Premium True-Up: Delta = Premium_billed - Primary_P&amp;I_CUP</w:t>
            </w:r>
          </w:p>
        </w:tc>
        <w:tc>
          <w:tcPr>
            <w:tcW w:type="dxa" w:w="1872"/>
            <w:shd w:fill="FFFFFF"/>
          </w:tcPr>
          <w:p>
            <w:pPr>
              <w:spacing w:before="60" w:after="60"/>
            </w:pPr>
            <w:r>
              <w:rPr>
                <w:color w:val="222222"/>
                <w:sz w:val="18"/>
              </w:rPr>
              <w:t>M Pioneer Insurance certificates vs. Shell CIF invoice freight lines</w:t>
            </w:r>
          </w:p>
        </w:tc>
        <w:tc>
          <w:tcPr>
            <w:tcW w:type="dxa" w:w="1872"/>
            <w:shd w:fill="FFFFFF"/>
          </w:tcPr>
          <w:p>
            <w:pPr>
              <w:spacing w:before="60" w:after="60"/>
            </w:pPr>
            <w:r>
              <w:rPr>
                <w:color w:val="222222"/>
                <w:sz w:val="18"/>
              </w:rPr>
              <w:t>$1,420,000.00 disallowed in redundant marine cargo insurance</w:t>
            </w:r>
          </w:p>
        </w:tc>
      </w:tr>
      <w:tr>
        <w:trPr>
          <w:cantSplit/>
        </w:trPr>
        <w:tc>
          <w:tcPr>
            <w:tcW w:type="dxa" w:w="1872"/>
            <w:shd w:fill="F2F5F8"/>
          </w:tcPr>
          <w:p>
            <w:pPr>
              <w:spacing w:before="60" w:after="60"/>
            </w:pPr>
            <w:r>
              <w:rPr>
                <w:color w:val="222222"/>
                <w:sz w:val="18"/>
              </w:rPr>
              <w:t>TECH-07</w:t>
            </w:r>
          </w:p>
        </w:tc>
        <w:tc>
          <w:tcPr>
            <w:tcW w:type="dxa" w:w="1872"/>
            <w:shd w:fill="F2F5F8"/>
          </w:tcPr>
          <w:p>
            <w:pPr>
              <w:spacing w:before="60" w:after="60"/>
            </w:pPr>
            <w:r>
              <w:rPr>
                <w:color w:val="222222"/>
                <w:sz w:val="18"/>
              </w:rPr>
              <w:t>Benford's Multi-Digit Distribution</w:t>
            </w:r>
          </w:p>
        </w:tc>
        <w:tc>
          <w:tcPr>
            <w:tcW w:type="dxa" w:w="1872"/>
            <w:shd w:fill="F2F5F8"/>
          </w:tcPr>
          <w:p>
            <w:pPr>
              <w:spacing w:before="60" w:after="60"/>
            </w:pPr>
            <w:r>
              <w:rPr>
                <w:color w:val="222222"/>
                <w:sz w:val="18"/>
              </w:rPr>
              <w:t>Digit Frequency: P(d) = log10(1 + 1/d); Chi-Square Test</w:t>
            </w:r>
          </w:p>
        </w:tc>
        <w:tc>
          <w:tcPr>
            <w:tcW w:type="dxa" w:w="1872"/>
            <w:shd w:fill="F2F5F8"/>
          </w:tcPr>
          <w:p>
            <w:pPr>
              <w:spacing w:before="60" w:after="60"/>
            </w:pPr>
            <w:r>
              <w:rPr>
                <w:color w:val="222222"/>
                <w:sz w:val="18"/>
              </w:rPr>
              <w:t>4,820 financial ledger line items from First Gen fuel procurement accounts</w:t>
            </w:r>
          </w:p>
        </w:tc>
        <w:tc>
          <w:tcPr>
            <w:tcW w:type="dxa" w:w="1872"/>
            <w:shd w:fill="F2F5F8"/>
          </w:tcPr>
          <w:p>
            <w:pPr>
              <w:spacing w:before="60" w:after="60"/>
            </w:pPr>
            <w:r>
              <w:rPr>
                <w:color w:val="222222"/>
                <w:sz w:val="18"/>
              </w:rPr>
              <w:t>Statistically significant non-conformity in 1st &amp; 2nd digits (p &lt; 0.001)</w:t>
            </w:r>
          </w:p>
        </w:tc>
      </w:tr>
      <w:tr>
        <w:trPr>
          <w:cantSplit/>
        </w:trPr>
        <w:tc>
          <w:tcPr>
            <w:tcW w:type="dxa" w:w="1872"/>
            <w:shd w:fill="FFFFFF"/>
          </w:tcPr>
          <w:p>
            <w:pPr>
              <w:spacing w:before="60" w:after="60"/>
            </w:pPr>
            <w:r>
              <w:rPr>
                <w:color w:val="222222"/>
                <w:sz w:val="18"/>
              </w:rPr>
              <w:t>TECH-08</w:t>
            </w:r>
          </w:p>
        </w:tc>
        <w:tc>
          <w:tcPr>
            <w:tcW w:type="dxa" w:w="1872"/>
            <w:shd w:fill="FFFFFF"/>
          </w:tcPr>
          <w:p>
            <w:pPr>
              <w:spacing w:before="60" w:after="60"/>
            </w:pPr>
            <w:r>
              <w:rPr>
                <w:color w:val="222222"/>
                <w:sz w:val="18"/>
              </w:rPr>
              <w:t>Cross-Plant Pro-Rata Allocation</w:t>
            </w:r>
          </w:p>
        </w:tc>
        <w:tc>
          <w:tcPr>
            <w:tcW w:type="dxa" w:w="1872"/>
            <w:shd w:fill="FFFFFF"/>
          </w:tcPr>
          <w:p>
            <w:pPr>
              <w:spacing w:before="60" w:after="60"/>
            </w:pPr>
            <w:r>
              <w:rPr>
                <w:color w:val="222222"/>
                <w:sz w:val="18"/>
              </w:rPr>
              <w:t>Allocation Ratio: Alloc_plant = Gen_plant / Total_Gen x Shared_LNG</w:t>
            </w:r>
          </w:p>
        </w:tc>
        <w:tc>
          <w:tcPr>
            <w:tcW w:type="dxa" w:w="1872"/>
            <w:shd w:fill="FFFFFF"/>
          </w:tcPr>
          <w:p>
            <w:pPr>
              <w:spacing w:before="60" w:after="60"/>
            </w:pPr>
            <w:r>
              <w:rPr>
                <w:color w:val="222222"/>
                <w:sz w:val="18"/>
              </w:rPr>
              <w:t>Shared LNG cargo split between Santa Rita, San Lorenzo, &amp; EERI</w:t>
            </w:r>
          </w:p>
        </w:tc>
        <w:tc>
          <w:tcPr>
            <w:tcW w:type="dxa" w:w="1872"/>
            <w:shd w:fill="FFFFFF"/>
          </w:tcPr>
          <w:p>
            <w:pPr>
              <w:spacing w:before="60" w:after="60"/>
            </w:pPr>
            <w:r>
              <w:rPr>
                <w:color w:val="222222"/>
                <w:sz w:val="18"/>
              </w:rPr>
              <w:t>Arbitrary allocation shifting high-cost spot gas to captive PPAs</w:t>
            </w:r>
          </w:p>
        </w:tc>
      </w:tr>
      <w:tr>
        <w:trPr>
          <w:cantSplit/>
        </w:trPr>
        <w:tc>
          <w:tcPr>
            <w:tcW w:type="dxa" w:w="1872"/>
            <w:shd w:fill="F2F5F8"/>
          </w:tcPr>
          <w:p>
            <w:pPr>
              <w:spacing w:before="60" w:after="60"/>
            </w:pPr>
            <w:r>
              <w:rPr>
                <w:color w:val="222222"/>
                <w:sz w:val="18"/>
              </w:rPr>
              <w:t>TECH-09</w:t>
            </w:r>
          </w:p>
        </w:tc>
        <w:tc>
          <w:tcPr>
            <w:tcW w:type="dxa" w:w="1872"/>
            <w:shd w:fill="F2F5F8"/>
          </w:tcPr>
          <w:p>
            <w:pPr>
              <w:spacing w:before="60" w:after="60"/>
            </w:pPr>
            <w:r>
              <w:rPr>
                <w:color w:val="222222"/>
                <w:sz w:val="18"/>
              </w:rPr>
              <w:t>Heat Rate Degradation Testing</w:t>
            </w:r>
          </w:p>
        </w:tc>
        <w:tc>
          <w:tcPr>
            <w:tcW w:type="dxa" w:w="1872"/>
            <w:shd w:fill="F2F5F8"/>
          </w:tcPr>
          <w:p>
            <w:pPr>
              <w:spacing w:before="60" w:after="60"/>
            </w:pPr>
            <w:r>
              <w:rPr>
                <w:color w:val="222222"/>
                <w:sz w:val="18"/>
              </w:rPr>
              <w:t>Specific Fuel Consumption: SFC = Total_Heat_Input / Net_MWh</w:t>
            </w:r>
          </w:p>
        </w:tc>
        <w:tc>
          <w:tcPr>
            <w:tcW w:type="dxa" w:w="1872"/>
            <w:shd w:fill="F2F5F8"/>
          </w:tcPr>
          <w:p>
            <w:pPr>
              <w:spacing w:before="60" w:after="60"/>
            </w:pPr>
            <w:r>
              <w:rPr>
                <w:color w:val="222222"/>
                <w:sz w:val="18"/>
              </w:rPr>
              <w:t>SCADA megawatt output logs vs. contract heat rate (6,830 Btu/kWh)</w:t>
            </w:r>
          </w:p>
        </w:tc>
        <w:tc>
          <w:tcPr>
            <w:tcW w:type="dxa" w:w="1872"/>
            <w:shd w:fill="F2F5F8"/>
          </w:tcPr>
          <w:p>
            <w:pPr>
              <w:spacing w:before="60" w:after="60"/>
            </w:pPr>
            <w:r>
              <w:rPr>
                <w:color w:val="222222"/>
                <w:sz w:val="18"/>
              </w:rPr>
              <w:t>Artificially inflated fuel consumption claims during base-load ops</w:t>
            </w:r>
          </w:p>
        </w:tc>
      </w:tr>
      <w:tr>
        <w:trPr>
          <w:cantSplit/>
        </w:trPr>
        <w:tc>
          <w:tcPr>
            <w:tcW w:type="dxa" w:w="1872"/>
            <w:shd w:fill="FFFFFF"/>
          </w:tcPr>
          <w:p>
            <w:pPr>
              <w:spacing w:before="60" w:after="60"/>
            </w:pPr>
            <w:r>
              <w:rPr>
                <w:color w:val="222222"/>
                <w:sz w:val="18"/>
              </w:rPr>
              <w:t>TECH-10</w:t>
            </w:r>
          </w:p>
        </w:tc>
        <w:tc>
          <w:tcPr>
            <w:tcW w:type="dxa" w:w="1872"/>
            <w:shd w:fill="FFFFFF"/>
          </w:tcPr>
          <w:p>
            <w:pPr>
              <w:spacing w:before="60" w:after="60"/>
            </w:pPr>
            <w:r>
              <w:rPr>
                <w:color w:val="222222"/>
                <w:sz w:val="18"/>
              </w:rPr>
              <w:t>Tax Pass-Through Statutory Audit</w:t>
            </w:r>
          </w:p>
        </w:tc>
        <w:tc>
          <w:tcPr>
            <w:tcW w:type="dxa" w:w="1872"/>
            <w:shd w:fill="FFFFFF"/>
          </w:tcPr>
          <w:p>
            <w:pPr>
              <w:spacing w:before="60" w:after="60"/>
            </w:pPr>
            <w:r>
              <w:rPr>
                <w:color w:val="222222"/>
                <w:sz w:val="18"/>
              </w:rPr>
              <w:t>Tax Pass-Through Legality: LBT Exclusion per ERC Case 2004-74</w:t>
            </w:r>
          </w:p>
        </w:tc>
        <w:tc>
          <w:tcPr>
            <w:tcW w:type="dxa" w:w="1872"/>
            <w:shd w:fill="FFFFFF"/>
          </w:tcPr>
          <w:p>
            <w:pPr>
              <w:spacing w:before="60" w:after="60"/>
            </w:pPr>
            <w:r>
              <w:rPr>
                <w:color w:val="222222"/>
                <w:sz w:val="18"/>
              </w:rPr>
              <w:t>Batangas City Local Business Tax official receipts &amp; billing lines</w:t>
            </w:r>
          </w:p>
        </w:tc>
        <w:tc>
          <w:tcPr>
            <w:tcW w:type="dxa" w:w="1872"/>
            <w:shd w:fill="FFFFFF"/>
          </w:tcPr>
          <w:p>
            <w:pPr>
              <w:spacing w:before="60" w:after="60"/>
            </w:pPr>
            <w:r>
              <w:rPr>
                <w:color w:val="222222"/>
                <w:sz w:val="18"/>
              </w:rPr>
              <w:t>PhP 130,980,000.00 ($2.15M USD) disallowed in illegal tax shifting</w:t>
            </w:r>
          </w:p>
        </w:tc>
      </w:tr>
    </w:tbl>
    <w:p>
      <w:pPr>
        <w:keepNext/>
        <w:spacing w:before="200" w:after="80"/>
      </w:pPr>
      <w:r>
        <w:rPr>
          <w:rFonts w:ascii="Times New Roman" w:hAnsi="Times New Roman"/>
          <w:b/>
          <w:color w:val="333333"/>
          <w:sz w:val="23"/>
        </w:rPr>
        <w:t>Critical Forensic Discussion &amp; Regulatory Interpretation: Table 2: Big 4 Forensic Audit Techniques Implementation</w:t>
      </w:r>
    </w:p>
    <w:p>
      <w:pPr>
        <w:spacing w:after="120" w:line="276" w:lineRule="auto"/>
        <w:ind w:left="288"/>
        <w:jc w:val="both"/>
      </w:pPr>
      <w:r>
        <w:rPr>
          <w:rFonts w:ascii="Times New Roman" w:hAnsi="Times New Roman"/>
          <w:color w:val="222222"/>
          <w:sz w:val="22"/>
        </w:rPr>
        <w:t>Table 2 outlines the empirical execution of the ten specialized forensic techniques. Unlike high-level desk reviews, these techniques dissect the physics and contractual mechanics of the fuel supply chain. For example, Technique TECH-01 and TECH-04 bridge the gap between mechanical engineering thermodynamics and financial ledger verification, demonstrating that billed boil-off gas quantities exceeded maximum physical heat-transfer limits through insulation barrier walls.</w:t>
      </w:r>
    </w:p>
    <w:p>
      <w:pPr>
        <w:spacing w:after="120" w:line="276" w:lineRule="auto"/>
        <w:ind w:left="288"/>
        <w:jc w:val="both"/>
      </w:pPr>
      <w:r>
        <w:rPr>
          <w:rFonts w:ascii="Times New Roman" w:hAnsi="Times New Roman"/>
          <w:color w:val="222222"/>
          <w:sz w:val="22"/>
        </w:rPr>
        <w:t>Techniques TECH-02, TECH-03, and TECH-06 uncover classic transfer-pricing abuses where captive affiliates—such as FGEN LNG Corp. and M Pioneer Insurance—were inserted into the supply chain to extract risk-free intermediation margins, directly violating the arm's-length standard mandated by the OECD and the Philippine National Internal Revenue Code.</w:t>
      </w:r>
    </w:p>
    <w:p>
      <w:pPr>
        <w:keepNext/>
        <w:spacing w:before="360" w:after="160"/>
      </w:pPr>
      <w:r>
        <w:rPr>
          <w:rFonts w:ascii="Times New Roman" w:hAnsi="Times New Roman"/>
          <w:b/>
          <w:color w:val="1B365D"/>
          <w:sz w:val="30"/>
        </w:rPr>
        <w:t>4. High-Frequency SCADA Telemetry &amp; Gas Chromatography Mass Balance Audit</w:t>
      </w:r>
    </w:p>
    <w:p>
      <w:pPr>
        <w:spacing w:after="120" w:line="276" w:lineRule="auto"/>
        <w:jc w:val="both"/>
      </w:pPr>
      <w:r>
        <w:rPr>
          <w:rFonts w:ascii="Times New Roman" w:hAnsi="Times New Roman"/>
          <w:color w:val="222222"/>
          <w:sz w:val="22"/>
        </w:rPr>
        <w:t>To eliminate reliance on self-serving, aggregated vendor spreadsheets, the audit team performed an empirical reconciliation of high-frequency SCADA telemetry and continuous gas chromatograph data streams from the custody transfer metering skids at the Santa Rita and San Lorenzo power stations.</w:t>
      </w:r>
    </w:p>
    <w:p>
      <w:pPr>
        <w:spacing w:after="120" w:line="276" w:lineRule="auto"/>
        <w:jc w:val="both"/>
      </w:pPr>
      <w:r>
        <w:rPr>
          <w:rFonts w:ascii="Times New Roman" w:hAnsi="Times New Roman"/>
          <w:color w:val="222222"/>
          <w:sz w:val="22"/>
        </w:rPr>
        <w:t>Natural gas energy content is defined by its Gross Calorific Value (GCV). Under standard international custody transfer protocols, the energy delivered is calculated as:</w:t>
      </w:r>
    </w:p>
    <w:p>
      <w:pPr>
        <w:spacing w:after="120" w:line="276" w:lineRule="auto"/>
        <w:jc w:val="both"/>
      </w:pPr>
      <w:r>
        <w:rPr>
          <w:rFonts w:ascii="Times New Roman" w:hAnsi="Times New Roman"/>
          <w:color w:val="222222"/>
          <w:sz w:val="22"/>
        </w:rPr>
        <w:t>E_{delivered} = V_{std} \times GCV_{measured} \times 1.055056\times 10^{-3}\text{ GJ/MMBtu}</w:t>
      </w:r>
    </w:p>
    <w:p>
      <w:pPr>
        <w:spacing w:after="120" w:line="276" w:lineRule="auto"/>
        <w:jc w:val="both"/>
      </w:pPr>
      <w:r>
        <w:rPr>
          <w:rFonts w:ascii="Times New Roman" w:hAnsi="Times New Roman"/>
          <w:color w:val="222222"/>
          <w:sz w:val="22"/>
        </w:rPr>
        <w:t>where V_{std} represents standardized volumetric flow in standard cubic feet (scf), and GCV_{measured} represents the higher heating value determined by continuous on-line gas chromatography. The audit cross-referenced daily gas chromatography readouts (measuring methane C1, ethane C2, propane C3, butane C4, nitrogen N2, and carbon dioxide CO2) against the billing heat content declared in monthly invoices.</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rPr>
          <w:cantSplit/>
          <w:tblHeader/>
        </w:trPr>
        <w:tc>
          <w:tcPr>
            <w:tcW w:type="dxa" w:w="1040"/>
            <w:shd w:fill="1B365D"/>
          </w:tcPr>
          <w:p>
            <w:pPr>
              <w:spacing w:before="80" w:after="80"/>
              <w:jc w:val="center"/>
            </w:pPr>
            <w:r>
              <w:rPr>
                <w:b/>
                <w:color w:val="FFFFFF"/>
                <w:sz w:val="19"/>
              </w:rPr>
              <w:t>Sampling Period (June 2026)</w:t>
            </w:r>
          </w:p>
        </w:tc>
        <w:tc>
          <w:tcPr>
            <w:tcW w:type="dxa" w:w="1040"/>
            <w:shd w:fill="1B365D"/>
          </w:tcPr>
          <w:p>
            <w:pPr>
              <w:spacing w:before="80" w:after="80"/>
              <w:jc w:val="center"/>
            </w:pPr>
            <w:r>
              <w:rPr>
                <w:b/>
                <w:color w:val="FFFFFF"/>
                <w:sz w:val="19"/>
              </w:rPr>
              <w:t>Methane C1 (mol %)</w:t>
            </w:r>
          </w:p>
        </w:tc>
        <w:tc>
          <w:tcPr>
            <w:tcW w:type="dxa" w:w="1040"/>
            <w:shd w:fill="1B365D"/>
          </w:tcPr>
          <w:p>
            <w:pPr>
              <w:spacing w:before="80" w:after="80"/>
              <w:jc w:val="center"/>
            </w:pPr>
            <w:r>
              <w:rPr>
                <w:b/>
                <w:color w:val="FFFFFF"/>
                <w:sz w:val="19"/>
              </w:rPr>
              <w:t>Ethane C2 (mol %)</w:t>
            </w:r>
          </w:p>
        </w:tc>
        <w:tc>
          <w:tcPr>
            <w:tcW w:type="dxa" w:w="1040"/>
            <w:shd w:fill="1B365D"/>
          </w:tcPr>
          <w:p>
            <w:pPr>
              <w:spacing w:before="80" w:after="80"/>
              <w:jc w:val="center"/>
            </w:pPr>
            <w:r>
              <w:rPr>
                <w:b/>
                <w:color w:val="FFFFFF"/>
                <w:sz w:val="19"/>
              </w:rPr>
              <w:t>Propane+ C3+ (mol %)</w:t>
            </w:r>
          </w:p>
        </w:tc>
        <w:tc>
          <w:tcPr>
            <w:tcW w:type="dxa" w:w="1040"/>
            <w:shd w:fill="1B365D"/>
          </w:tcPr>
          <w:p>
            <w:pPr>
              <w:spacing w:before="80" w:after="80"/>
              <w:jc w:val="center"/>
            </w:pPr>
            <w:r>
              <w:rPr>
                <w:b/>
                <w:color w:val="FFFFFF"/>
                <w:sz w:val="19"/>
              </w:rPr>
              <w:t>Inerts N2/CO2 (mol %)</w:t>
            </w:r>
          </w:p>
        </w:tc>
        <w:tc>
          <w:tcPr>
            <w:tcW w:type="dxa" w:w="1040"/>
            <w:shd w:fill="1B365D"/>
          </w:tcPr>
          <w:p>
            <w:pPr>
              <w:spacing w:before="80" w:after="80"/>
              <w:jc w:val="center"/>
            </w:pPr>
            <w:r>
              <w:rPr>
                <w:b/>
                <w:color w:val="FFFFFF"/>
                <w:sz w:val="19"/>
              </w:rPr>
              <w:t>SCADA Measured GCV (Btu/scf)</w:t>
            </w:r>
          </w:p>
        </w:tc>
        <w:tc>
          <w:tcPr>
            <w:tcW w:type="dxa" w:w="1040"/>
            <w:shd w:fill="1B365D"/>
          </w:tcPr>
          <w:p>
            <w:pPr>
              <w:spacing w:before="80" w:after="80"/>
              <w:jc w:val="center"/>
            </w:pPr>
            <w:r>
              <w:rPr>
                <w:b/>
                <w:color w:val="FFFFFF"/>
                <w:sz w:val="19"/>
              </w:rPr>
              <w:t>Declared Billing GCV (Btu/scf)</w:t>
            </w:r>
          </w:p>
        </w:tc>
        <w:tc>
          <w:tcPr>
            <w:tcW w:type="dxa" w:w="1040"/>
            <w:shd w:fill="1B365D"/>
          </w:tcPr>
          <w:p>
            <w:pPr>
              <w:spacing w:before="80" w:after="80"/>
              <w:jc w:val="center"/>
            </w:pPr>
            <w:r>
              <w:rPr>
                <w:b/>
                <w:color w:val="FFFFFF"/>
                <w:sz w:val="19"/>
              </w:rPr>
              <w:t>GCV Discrepancy Gap (%)</w:t>
            </w:r>
          </w:p>
        </w:tc>
        <w:tc>
          <w:tcPr>
            <w:tcW w:type="dxa" w:w="1040"/>
            <w:shd w:fill="1B365D"/>
          </w:tcPr>
          <w:p>
            <w:pPr>
              <w:spacing w:before="80" w:after="80"/>
              <w:jc w:val="center"/>
            </w:pPr>
            <w:r>
              <w:rPr>
                <w:b/>
                <w:color w:val="FFFFFF"/>
                <w:sz w:val="19"/>
              </w:rPr>
              <w:t>Uncredited Energy (GJ)</w:t>
            </w:r>
          </w:p>
        </w:tc>
      </w:tr>
      <w:tr>
        <w:trPr>
          <w:cantSplit/>
        </w:trPr>
        <w:tc>
          <w:tcPr>
            <w:tcW w:type="dxa" w:w="1040"/>
            <w:shd w:fill="F2F5F8"/>
          </w:tcPr>
          <w:p>
            <w:pPr>
              <w:spacing w:before="60" w:after="60"/>
            </w:pPr>
            <w:r>
              <w:rPr>
                <w:color w:val="222222"/>
                <w:sz w:val="18"/>
              </w:rPr>
              <w:t>Days 01 - 05</w:t>
            </w:r>
          </w:p>
        </w:tc>
        <w:tc>
          <w:tcPr>
            <w:tcW w:type="dxa" w:w="1040"/>
            <w:shd w:fill="F2F5F8"/>
          </w:tcPr>
          <w:p>
            <w:pPr>
              <w:spacing w:before="60" w:after="60"/>
            </w:pPr>
            <w:r>
              <w:rPr>
                <w:color w:val="222222"/>
                <w:sz w:val="18"/>
              </w:rPr>
              <w:t>91.82%</w:t>
            </w:r>
          </w:p>
        </w:tc>
        <w:tc>
          <w:tcPr>
            <w:tcW w:type="dxa" w:w="1040"/>
            <w:shd w:fill="F2F5F8"/>
          </w:tcPr>
          <w:p>
            <w:pPr>
              <w:spacing w:before="60" w:after="60"/>
            </w:pPr>
            <w:r>
              <w:rPr>
                <w:color w:val="222222"/>
                <w:sz w:val="18"/>
              </w:rPr>
              <w:t>5.65%</w:t>
            </w:r>
          </w:p>
        </w:tc>
        <w:tc>
          <w:tcPr>
            <w:tcW w:type="dxa" w:w="1040"/>
            <w:shd w:fill="F2F5F8"/>
          </w:tcPr>
          <w:p>
            <w:pPr>
              <w:spacing w:before="60" w:after="60"/>
            </w:pPr>
            <w:r>
              <w:rPr>
                <w:color w:val="222222"/>
                <w:sz w:val="18"/>
              </w:rPr>
              <w:t>1.85%</w:t>
            </w:r>
          </w:p>
        </w:tc>
        <w:tc>
          <w:tcPr>
            <w:tcW w:type="dxa" w:w="1040"/>
            <w:shd w:fill="F2F5F8"/>
          </w:tcPr>
          <w:p>
            <w:pPr>
              <w:spacing w:before="60" w:after="60"/>
            </w:pPr>
            <w:r>
              <w:rPr>
                <w:color w:val="222222"/>
                <w:sz w:val="18"/>
              </w:rPr>
              <w:t>0.68%</w:t>
            </w:r>
          </w:p>
        </w:tc>
        <w:tc>
          <w:tcPr>
            <w:tcW w:type="dxa" w:w="1040"/>
            <w:shd w:fill="F2F5F8"/>
          </w:tcPr>
          <w:p>
            <w:pPr>
              <w:spacing w:before="60" w:after="60"/>
            </w:pPr>
            <w:r>
              <w:rPr>
                <w:color w:val="222222"/>
                <w:sz w:val="18"/>
              </w:rPr>
              <w:t>1,058.4</w:t>
            </w:r>
          </w:p>
        </w:tc>
        <w:tc>
          <w:tcPr>
            <w:tcW w:type="dxa" w:w="1040"/>
            <w:shd w:fill="F2F5F8"/>
          </w:tcPr>
          <w:p>
            <w:pPr>
              <w:spacing w:before="60" w:after="60"/>
            </w:pPr>
            <w:r>
              <w:rPr>
                <w:color w:val="222222"/>
                <w:sz w:val="18"/>
              </w:rPr>
              <w:t>1,025.0</w:t>
            </w:r>
          </w:p>
        </w:tc>
        <w:tc>
          <w:tcPr>
            <w:tcW w:type="dxa" w:w="1040"/>
            <w:shd w:fill="F2F5F8"/>
          </w:tcPr>
          <w:p>
            <w:pPr>
              <w:spacing w:before="60" w:after="60"/>
            </w:pPr>
            <w:r>
              <w:rPr>
                <w:color w:val="222222"/>
                <w:sz w:val="18"/>
              </w:rPr>
              <w:t>+3.26%</w:t>
            </w:r>
          </w:p>
        </w:tc>
        <w:tc>
          <w:tcPr>
            <w:tcW w:type="dxa" w:w="1040"/>
            <w:shd w:fill="F2F5F8"/>
          </w:tcPr>
          <w:p>
            <w:pPr>
              <w:spacing w:before="60" w:after="60"/>
            </w:pPr>
            <w:r>
              <w:rPr>
                <w:color w:val="222222"/>
                <w:sz w:val="18"/>
              </w:rPr>
              <w:t>11,840.50</w:t>
            </w:r>
          </w:p>
        </w:tc>
      </w:tr>
      <w:tr>
        <w:trPr>
          <w:cantSplit/>
        </w:trPr>
        <w:tc>
          <w:tcPr>
            <w:tcW w:type="dxa" w:w="1040"/>
            <w:shd w:fill="FFFFFF"/>
          </w:tcPr>
          <w:p>
            <w:pPr>
              <w:spacing w:before="60" w:after="60"/>
            </w:pPr>
            <w:r>
              <w:rPr>
                <w:color w:val="222222"/>
                <w:sz w:val="18"/>
              </w:rPr>
              <w:t>Days 06 - 10</w:t>
            </w:r>
          </w:p>
        </w:tc>
        <w:tc>
          <w:tcPr>
            <w:tcW w:type="dxa" w:w="1040"/>
            <w:shd w:fill="FFFFFF"/>
          </w:tcPr>
          <w:p>
            <w:pPr>
              <w:spacing w:before="60" w:after="60"/>
            </w:pPr>
            <w:r>
              <w:rPr>
                <w:color w:val="222222"/>
                <w:sz w:val="18"/>
              </w:rPr>
              <w:t>92.15%</w:t>
            </w:r>
          </w:p>
        </w:tc>
        <w:tc>
          <w:tcPr>
            <w:tcW w:type="dxa" w:w="1040"/>
            <w:shd w:fill="FFFFFF"/>
          </w:tcPr>
          <w:p>
            <w:pPr>
              <w:spacing w:before="60" w:after="60"/>
            </w:pPr>
            <w:r>
              <w:rPr>
                <w:color w:val="222222"/>
                <w:sz w:val="18"/>
              </w:rPr>
              <w:t>5.40%</w:t>
            </w:r>
          </w:p>
        </w:tc>
        <w:tc>
          <w:tcPr>
            <w:tcW w:type="dxa" w:w="1040"/>
            <w:shd w:fill="FFFFFF"/>
          </w:tcPr>
          <w:p>
            <w:pPr>
              <w:spacing w:before="60" w:after="60"/>
            </w:pPr>
            <w:r>
              <w:rPr>
                <w:color w:val="222222"/>
                <w:sz w:val="18"/>
              </w:rPr>
              <w:t>1.72%</w:t>
            </w:r>
          </w:p>
        </w:tc>
        <w:tc>
          <w:tcPr>
            <w:tcW w:type="dxa" w:w="1040"/>
            <w:shd w:fill="FFFFFF"/>
          </w:tcPr>
          <w:p>
            <w:pPr>
              <w:spacing w:before="60" w:after="60"/>
            </w:pPr>
            <w:r>
              <w:rPr>
                <w:color w:val="222222"/>
                <w:sz w:val="18"/>
              </w:rPr>
              <w:t>0.73%</w:t>
            </w:r>
          </w:p>
        </w:tc>
        <w:tc>
          <w:tcPr>
            <w:tcW w:type="dxa" w:w="1040"/>
            <w:shd w:fill="FFFFFF"/>
          </w:tcPr>
          <w:p>
            <w:pPr>
              <w:spacing w:before="60" w:after="60"/>
            </w:pPr>
            <w:r>
              <w:rPr>
                <w:color w:val="222222"/>
                <w:sz w:val="18"/>
              </w:rPr>
              <w:t>1,054.8</w:t>
            </w:r>
          </w:p>
        </w:tc>
        <w:tc>
          <w:tcPr>
            <w:tcW w:type="dxa" w:w="1040"/>
            <w:shd w:fill="FFFFFF"/>
          </w:tcPr>
          <w:p>
            <w:pPr>
              <w:spacing w:before="60" w:after="60"/>
            </w:pPr>
            <w:r>
              <w:rPr>
                <w:color w:val="222222"/>
                <w:sz w:val="18"/>
              </w:rPr>
              <w:t>1,025.0</w:t>
            </w:r>
          </w:p>
        </w:tc>
        <w:tc>
          <w:tcPr>
            <w:tcW w:type="dxa" w:w="1040"/>
            <w:shd w:fill="FFFFFF"/>
          </w:tcPr>
          <w:p>
            <w:pPr>
              <w:spacing w:before="60" w:after="60"/>
            </w:pPr>
            <w:r>
              <w:rPr>
                <w:color w:val="222222"/>
                <w:sz w:val="18"/>
              </w:rPr>
              <w:t>+2.91%</w:t>
            </w:r>
          </w:p>
        </w:tc>
        <w:tc>
          <w:tcPr>
            <w:tcW w:type="dxa" w:w="1040"/>
            <w:shd w:fill="FFFFFF"/>
          </w:tcPr>
          <w:p>
            <w:pPr>
              <w:spacing w:before="60" w:after="60"/>
            </w:pPr>
            <w:r>
              <w:rPr>
                <w:color w:val="222222"/>
                <w:sz w:val="18"/>
              </w:rPr>
              <w:t>10,520.15</w:t>
            </w:r>
          </w:p>
        </w:tc>
      </w:tr>
      <w:tr>
        <w:trPr>
          <w:cantSplit/>
        </w:trPr>
        <w:tc>
          <w:tcPr>
            <w:tcW w:type="dxa" w:w="1040"/>
            <w:shd w:fill="F2F5F8"/>
          </w:tcPr>
          <w:p>
            <w:pPr>
              <w:spacing w:before="60" w:after="60"/>
            </w:pPr>
            <w:r>
              <w:rPr>
                <w:color w:val="222222"/>
                <w:sz w:val="18"/>
              </w:rPr>
              <w:t>Days 11 - 15</w:t>
            </w:r>
          </w:p>
        </w:tc>
        <w:tc>
          <w:tcPr>
            <w:tcW w:type="dxa" w:w="1040"/>
            <w:shd w:fill="F2F5F8"/>
          </w:tcPr>
          <w:p>
            <w:pPr>
              <w:spacing w:before="60" w:after="60"/>
            </w:pPr>
            <w:r>
              <w:rPr>
                <w:color w:val="222222"/>
                <w:sz w:val="18"/>
              </w:rPr>
              <w:t>91.40%</w:t>
            </w:r>
          </w:p>
        </w:tc>
        <w:tc>
          <w:tcPr>
            <w:tcW w:type="dxa" w:w="1040"/>
            <w:shd w:fill="F2F5F8"/>
          </w:tcPr>
          <w:p>
            <w:pPr>
              <w:spacing w:before="60" w:after="60"/>
            </w:pPr>
            <w:r>
              <w:rPr>
                <w:color w:val="222222"/>
                <w:sz w:val="18"/>
              </w:rPr>
              <w:t>5.95%</w:t>
            </w:r>
          </w:p>
        </w:tc>
        <w:tc>
          <w:tcPr>
            <w:tcW w:type="dxa" w:w="1040"/>
            <w:shd w:fill="F2F5F8"/>
          </w:tcPr>
          <w:p>
            <w:pPr>
              <w:spacing w:before="60" w:after="60"/>
            </w:pPr>
            <w:r>
              <w:rPr>
                <w:color w:val="222222"/>
                <w:sz w:val="18"/>
              </w:rPr>
              <w:t>1.98%</w:t>
            </w:r>
          </w:p>
        </w:tc>
        <w:tc>
          <w:tcPr>
            <w:tcW w:type="dxa" w:w="1040"/>
            <w:shd w:fill="F2F5F8"/>
          </w:tcPr>
          <w:p>
            <w:pPr>
              <w:spacing w:before="60" w:after="60"/>
            </w:pPr>
            <w:r>
              <w:rPr>
                <w:color w:val="222222"/>
                <w:sz w:val="18"/>
              </w:rPr>
              <w:t>0.67%</w:t>
            </w:r>
          </w:p>
        </w:tc>
        <w:tc>
          <w:tcPr>
            <w:tcW w:type="dxa" w:w="1040"/>
            <w:shd w:fill="F2F5F8"/>
          </w:tcPr>
          <w:p>
            <w:pPr>
              <w:spacing w:before="60" w:after="60"/>
            </w:pPr>
            <w:r>
              <w:rPr>
                <w:color w:val="222222"/>
                <w:sz w:val="18"/>
              </w:rPr>
              <w:t>1,061.2</w:t>
            </w:r>
          </w:p>
        </w:tc>
        <w:tc>
          <w:tcPr>
            <w:tcW w:type="dxa" w:w="1040"/>
            <w:shd w:fill="F2F5F8"/>
          </w:tcPr>
          <w:p>
            <w:pPr>
              <w:spacing w:before="60" w:after="60"/>
            </w:pPr>
            <w:r>
              <w:rPr>
                <w:color w:val="222222"/>
                <w:sz w:val="18"/>
              </w:rPr>
              <w:t>1,025.0</w:t>
            </w:r>
          </w:p>
        </w:tc>
        <w:tc>
          <w:tcPr>
            <w:tcW w:type="dxa" w:w="1040"/>
            <w:shd w:fill="F2F5F8"/>
          </w:tcPr>
          <w:p>
            <w:pPr>
              <w:spacing w:before="60" w:after="60"/>
            </w:pPr>
            <w:r>
              <w:rPr>
                <w:color w:val="222222"/>
                <w:sz w:val="18"/>
              </w:rPr>
              <w:t>+3.53%</w:t>
            </w:r>
          </w:p>
        </w:tc>
        <w:tc>
          <w:tcPr>
            <w:tcW w:type="dxa" w:w="1040"/>
            <w:shd w:fill="F2F5F8"/>
          </w:tcPr>
          <w:p>
            <w:pPr>
              <w:spacing w:before="60" w:after="60"/>
            </w:pPr>
            <w:r>
              <w:rPr>
                <w:color w:val="222222"/>
                <w:sz w:val="18"/>
              </w:rPr>
              <w:t>12,980.40</w:t>
            </w:r>
          </w:p>
        </w:tc>
      </w:tr>
      <w:tr>
        <w:trPr>
          <w:cantSplit/>
        </w:trPr>
        <w:tc>
          <w:tcPr>
            <w:tcW w:type="dxa" w:w="1040"/>
            <w:shd w:fill="FFFFFF"/>
          </w:tcPr>
          <w:p>
            <w:pPr>
              <w:spacing w:before="60" w:after="60"/>
            </w:pPr>
            <w:r>
              <w:rPr>
                <w:color w:val="222222"/>
                <w:sz w:val="18"/>
              </w:rPr>
              <w:t>Days 16 - 20</w:t>
            </w:r>
          </w:p>
        </w:tc>
        <w:tc>
          <w:tcPr>
            <w:tcW w:type="dxa" w:w="1040"/>
            <w:shd w:fill="FFFFFF"/>
          </w:tcPr>
          <w:p>
            <w:pPr>
              <w:spacing w:before="60" w:after="60"/>
            </w:pPr>
            <w:r>
              <w:rPr>
                <w:color w:val="222222"/>
                <w:sz w:val="18"/>
              </w:rPr>
              <w:t>92.05%</w:t>
            </w:r>
          </w:p>
        </w:tc>
        <w:tc>
          <w:tcPr>
            <w:tcW w:type="dxa" w:w="1040"/>
            <w:shd w:fill="FFFFFF"/>
          </w:tcPr>
          <w:p>
            <w:pPr>
              <w:spacing w:before="60" w:after="60"/>
            </w:pPr>
            <w:r>
              <w:rPr>
                <w:color w:val="222222"/>
                <w:sz w:val="18"/>
              </w:rPr>
              <w:t>5.50%</w:t>
            </w:r>
          </w:p>
        </w:tc>
        <w:tc>
          <w:tcPr>
            <w:tcW w:type="dxa" w:w="1040"/>
            <w:shd w:fill="FFFFFF"/>
          </w:tcPr>
          <w:p>
            <w:pPr>
              <w:spacing w:before="60" w:after="60"/>
            </w:pPr>
            <w:r>
              <w:rPr>
                <w:color w:val="222222"/>
                <w:sz w:val="18"/>
              </w:rPr>
              <w:t>1.75%</w:t>
            </w:r>
          </w:p>
        </w:tc>
        <w:tc>
          <w:tcPr>
            <w:tcW w:type="dxa" w:w="1040"/>
            <w:shd w:fill="FFFFFF"/>
          </w:tcPr>
          <w:p>
            <w:pPr>
              <w:spacing w:before="60" w:after="60"/>
            </w:pPr>
            <w:r>
              <w:rPr>
                <w:color w:val="222222"/>
                <w:sz w:val="18"/>
              </w:rPr>
              <w:t>0.70%</w:t>
            </w:r>
          </w:p>
        </w:tc>
        <w:tc>
          <w:tcPr>
            <w:tcW w:type="dxa" w:w="1040"/>
            <w:shd w:fill="FFFFFF"/>
          </w:tcPr>
          <w:p>
            <w:pPr>
              <w:spacing w:before="60" w:after="60"/>
            </w:pPr>
            <w:r>
              <w:rPr>
                <w:color w:val="222222"/>
                <w:sz w:val="18"/>
              </w:rPr>
              <w:t>1,056.0</w:t>
            </w:r>
          </w:p>
        </w:tc>
        <w:tc>
          <w:tcPr>
            <w:tcW w:type="dxa" w:w="1040"/>
            <w:shd w:fill="FFFFFF"/>
          </w:tcPr>
          <w:p>
            <w:pPr>
              <w:spacing w:before="60" w:after="60"/>
            </w:pPr>
            <w:r>
              <w:rPr>
                <w:color w:val="222222"/>
                <w:sz w:val="18"/>
              </w:rPr>
              <w:t>1,025.0</w:t>
            </w:r>
          </w:p>
        </w:tc>
        <w:tc>
          <w:tcPr>
            <w:tcW w:type="dxa" w:w="1040"/>
            <w:shd w:fill="FFFFFF"/>
          </w:tcPr>
          <w:p>
            <w:pPr>
              <w:spacing w:before="60" w:after="60"/>
            </w:pPr>
            <w:r>
              <w:rPr>
                <w:color w:val="222222"/>
                <w:sz w:val="18"/>
              </w:rPr>
              <w:t>+3.02%</w:t>
            </w:r>
          </w:p>
        </w:tc>
        <w:tc>
          <w:tcPr>
            <w:tcW w:type="dxa" w:w="1040"/>
            <w:shd w:fill="FFFFFF"/>
          </w:tcPr>
          <w:p>
            <w:pPr>
              <w:spacing w:before="60" w:after="60"/>
            </w:pPr>
            <w:r>
              <w:rPr>
                <w:color w:val="222222"/>
                <w:sz w:val="18"/>
              </w:rPr>
              <w:t>11,150.25</w:t>
            </w:r>
          </w:p>
        </w:tc>
      </w:tr>
      <w:tr>
        <w:trPr>
          <w:cantSplit/>
        </w:trPr>
        <w:tc>
          <w:tcPr>
            <w:tcW w:type="dxa" w:w="1040"/>
            <w:shd w:fill="F2F5F8"/>
          </w:tcPr>
          <w:p>
            <w:pPr>
              <w:spacing w:before="60" w:after="60"/>
            </w:pPr>
            <w:r>
              <w:rPr>
                <w:color w:val="222222"/>
                <w:sz w:val="18"/>
              </w:rPr>
              <w:t>Days 21 - 25</w:t>
            </w:r>
          </w:p>
        </w:tc>
        <w:tc>
          <w:tcPr>
            <w:tcW w:type="dxa" w:w="1040"/>
            <w:shd w:fill="F2F5F8"/>
          </w:tcPr>
          <w:p>
            <w:pPr>
              <w:spacing w:before="60" w:after="60"/>
            </w:pPr>
            <w:r>
              <w:rPr>
                <w:color w:val="222222"/>
                <w:sz w:val="18"/>
              </w:rPr>
              <w:t>91.60%</w:t>
            </w:r>
          </w:p>
        </w:tc>
        <w:tc>
          <w:tcPr>
            <w:tcW w:type="dxa" w:w="1040"/>
            <w:shd w:fill="F2F5F8"/>
          </w:tcPr>
          <w:p>
            <w:pPr>
              <w:spacing w:before="60" w:after="60"/>
            </w:pPr>
            <w:r>
              <w:rPr>
                <w:color w:val="222222"/>
                <w:sz w:val="18"/>
              </w:rPr>
              <w:t>5.80%</w:t>
            </w:r>
          </w:p>
        </w:tc>
        <w:tc>
          <w:tcPr>
            <w:tcW w:type="dxa" w:w="1040"/>
            <w:shd w:fill="F2F5F8"/>
          </w:tcPr>
          <w:p>
            <w:pPr>
              <w:spacing w:before="60" w:after="60"/>
            </w:pPr>
            <w:r>
              <w:rPr>
                <w:color w:val="222222"/>
                <w:sz w:val="18"/>
              </w:rPr>
              <w:t>1.90%</w:t>
            </w:r>
          </w:p>
        </w:tc>
        <w:tc>
          <w:tcPr>
            <w:tcW w:type="dxa" w:w="1040"/>
            <w:shd w:fill="F2F5F8"/>
          </w:tcPr>
          <w:p>
            <w:pPr>
              <w:spacing w:before="60" w:after="60"/>
            </w:pPr>
            <w:r>
              <w:rPr>
                <w:color w:val="222222"/>
                <w:sz w:val="18"/>
              </w:rPr>
              <w:t>0.70%</w:t>
            </w:r>
          </w:p>
        </w:tc>
        <w:tc>
          <w:tcPr>
            <w:tcW w:type="dxa" w:w="1040"/>
            <w:shd w:fill="F2F5F8"/>
          </w:tcPr>
          <w:p>
            <w:pPr>
              <w:spacing w:before="60" w:after="60"/>
            </w:pPr>
            <w:r>
              <w:rPr>
                <w:color w:val="222222"/>
                <w:sz w:val="18"/>
              </w:rPr>
              <w:t>1,059.5</w:t>
            </w:r>
          </w:p>
        </w:tc>
        <w:tc>
          <w:tcPr>
            <w:tcW w:type="dxa" w:w="1040"/>
            <w:shd w:fill="F2F5F8"/>
          </w:tcPr>
          <w:p>
            <w:pPr>
              <w:spacing w:before="60" w:after="60"/>
            </w:pPr>
            <w:r>
              <w:rPr>
                <w:color w:val="222222"/>
                <w:sz w:val="18"/>
              </w:rPr>
              <w:t>1,025.0</w:t>
            </w:r>
          </w:p>
        </w:tc>
        <w:tc>
          <w:tcPr>
            <w:tcW w:type="dxa" w:w="1040"/>
            <w:shd w:fill="F2F5F8"/>
          </w:tcPr>
          <w:p>
            <w:pPr>
              <w:spacing w:before="60" w:after="60"/>
            </w:pPr>
            <w:r>
              <w:rPr>
                <w:color w:val="222222"/>
                <w:sz w:val="18"/>
              </w:rPr>
              <w:t>+3.37%</w:t>
            </w:r>
          </w:p>
        </w:tc>
        <w:tc>
          <w:tcPr>
            <w:tcW w:type="dxa" w:w="1040"/>
            <w:shd w:fill="F2F5F8"/>
          </w:tcPr>
          <w:p>
            <w:pPr>
              <w:spacing w:before="60" w:after="60"/>
            </w:pPr>
            <w:r>
              <w:rPr>
                <w:color w:val="222222"/>
                <w:sz w:val="18"/>
              </w:rPr>
              <w:t>12,340.80</w:t>
            </w:r>
          </w:p>
        </w:tc>
      </w:tr>
      <w:tr>
        <w:trPr>
          <w:cantSplit/>
        </w:trPr>
        <w:tc>
          <w:tcPr>
            <w:tcW w:type="dxa" w:w="1040"/>
            <w:shd w:fill="FFFFFF"/>
          </w:tcPr>
          <w:p>
            <w:pPr>
              <w:spacing w:before="60" w:after="60"/>
            </w:pPr>
            <w:r>
              <w:rPr>
                <w:color w:val="222222"/>
                <w:sz w:val="18"/>
              </w:rPr>
              <w:t>Days 26 - 30</w:t>
            </w:r>
          </w:p>
        </w:tc>
        <w:tc>
          <w:tcPr>
            <w:tcW w:type="dxa" w:w="1040"/>
            <w:shd w:fill="FFFFFF"/>
          </w:tcPr>
          <w:p>
            <w:pPr>
              <w:spacing w:before="60" w:after="60"/>
            </w:pPr>
            <w:r>
              <w:rPr>
                <w:color w:val="222222"/>
                <w:sz w:val="18"/>
              </w:rPr>
              <w:t>92.30%</w:t>
            </w:r>
          </w:p>
        </w:tc>
        <w:tc>
          <w:tcPr>
            <w:tcW w:type="dxa" w:w="1040"/>
            <w:shd w:fill="FFFFFF"/>
          </w:tcPr>
          <w:p>
            <w:pPr>
              <w:spacing w:before="60" w:after="60"/>
            </w:pPr>
            <w:r>
              <w:rPr>
                <w:color w:val="222222"/>
                <w:sz w:val="18"/>
              </w:rPr>
              <w:t>5.25%</w:t>
            </w:r>
          </w:p>
        </w:tc>
        <w:tc>
          <w:tcPr>
            <w:tcW w:type="dxa" w:w="1040"/>
            <w:shd w:fill="FFFFFF"/>
          </w:tcPr>
          <w:p>
            <w:pPr>
              <w:spacing w:before="60" w:after="60"/>
            </w:pPr>
            <w:r>
              <w:rPr>
                <w:color w:val="222222"/>
                <w:sz w:val="18"/>
              </w:rPr>
              <w:t>1.65%</w:t>
            </w:r>
          </w:p>
        </w:tc>
        <w:tc>
          <w:tcPr>
            <w:tcW w:type="dxa" w:w="1040"/>
            <w:shd w:fill="FFFFFF"/>
          </w:tcPr>
          <w:p>
            <w:pPr>
              <w:spacing w:before="60" w:after="60"/>
            </w:pPr>
            <w:r>
              <w:rPr>
                <w:color w:val="222222"/>
                <w:sz w:val="18"/>
              </w:rPr>
              <w:t>0.80%</w:t>
            </w:r>
          </w:p>
        </w:tc>
        <w:tc>
          <w:tcPr>
            <w:tcW w:type="dxa" w:w="1040"/>
            <w:shd w:fill="FFFFFF"/>
          </w:tcPr>
          <w:p>
            <w:pPr>
              <w:spacing w:before="60" w:after="60"/>
            </w:pPr>
            <w:r>
              <w:rPr>
                <w:color w:val="222222"/>
                <w:sz w:val="18"/>
              </w:rPr>
              <w:t>1,052.1</w:t>
            </w:r>
          </w:p>
        </w:tc>
        <w:tc>
          <w:tcPr>
            <w:tcW w:type="dxa" w:w="1040"/>
            <w:shd w:fill="FFFFFF"/>
          </w:tcPr>
          <w:p>
            <w:pPr>
              <w:spacing w:before="60" w:after="60"/>
            </w:pPr>
            <w:r>
              <w:rPr>
                <w:color w:val="222222"/>
                <w:sz w:val="18"/>
              </w:rPr>
              <w:t>1,025.0</w:t>
            </w:r>
          </w:p>
        </w:tc>
        <w:tc>
          <w:tcPr>
            <w:tcW w:type="dxa" w:w="1040"/>
            <w:shd w:fill="FFFFFF"/>
          </w:tcPr>
          <w:p>
            <w:pPr>
              <w:spacing w:before="60" w:after="60"/>
            </w:pPr>
            <w:r>
              <w:rPr>
                <w:color w:val="222222"/>
                <w:sz w:val="18"/>
              </w:rPr>
              <w:t>+2.64%</w:t>
            </w:r>
          </w:p>
        </w:tc>
        <w:tc>
          <w:tcPr>
            <w:tcW w:type="dxa" w:w="1040"/>
            <w:shd w:fill="FFFFFF"/>
          </w:tcPr>
          <w:p>
            <w:pPr>
              <w:spacing w:before="60" w:after="60"/>
            </w:pPr>
            <w:r>
              <w:rPr>
                <w:color w:val="222222"/>
                <w:sz w:val="18"/>
              </w:rPr>
              <w:t>9,680.10</w:t>
            </w:r>
          </w:p>
        </w:tc>
      </w:tr>
      <w:tr>
        <w:trPr>
          <w:cantSplit/>
        </w:trPr>
        <w:tc>
          <w:tcPr>
            <w:tcW w:type="dxa" w:w="1040"/>
            <w:shd w:fill="F2F5F8"/>
          </w:tcPr>
          <w:p>
            <w:pPr>
              <w:spacing w:before="60" w:after="60"/>
            </w:pPr>
            <w:r>
              <w:rPr>
                <w:color w:val="222222"/>
                <w:sz w:val="18"/>
              </w:rPr>
              <w:t>MONTHLY WEIGHTED</w:t>
            </w:r>
          </w:p>
        </w:tc>
        <w:tc>
          <w:tcPr>
            <w:tcW w:type="dxa" w:w="1040"/>
            <w:shd w:fill="F2F5F8"/>
          </w:tcPr>
          <w:p>
            <w:pPr>
              <w:spacing w:before="60" w:after="60"/>
            </w:pPr>
            <w:r>
              <w:rPr>
                <w:color w:val="222222"/>
                <w:sz w:val="18"/>
              </w:rPr>
              <w:t>91.89%</w:t>
            </w:r>
          </w:p>
        </w:tc>
        <w:tc>
          <w:tcPr>
            <w:tcW w:type="dxa" w:w="1040"/>
            <w:shd w:fill="F2F5F8"/>
          </w:tcPr>
          <w:p>
            <w:pPr>
              <w:spacing w:before="60" w:after="60"/>
            </w:pPr>
            <w:r>
              <w:rPr>
                <w:color w:val="222222"/>
                <w:sz w:val="18"/>
              </w:rPr>
              <w:t>5.59%</w:t>
            </w:r>
          </w:p>
        </w:tc>
        <w:tc>
          <w:tcPr>
            <w:tcW w:type="dxa" w:w="1040"/>
            <w:shd w:fill="F2F5F8"/>
          </w:tcPr>
          <w:p>
            <w:pPr>
              <w:spacing w:before="60" w:after="60"/>
            </w:pPr>
            <w:r>
              <w:rPr>
                <w:color w:val="222222"/>
                <w:sz w:val="18"/>
              </w:rPr>
              <w:t>1.81%</w:t>
            </w:r>
          </w:p>
        </w:tc>
        <w:tc>
          <w:tcPr>
            <w:tcW w:type="dxa" w:w="1040"/>
            <w:shd w:fill="F2F5F8"/>
          </w:tcPr>
          <w:p>
            <w:pPr>
              <w:spacing w:before="60" w:after="60"/>
            </w:pPr>
            <w:r>
              <w:rPr>
                <w:color w:val="222222"/>
                <w:sz w:val="18"/>
              </w:rPr>
              <w:t>0.71%</w:t>
            </w:r>
          </w:p>
        </w:tc>
        <w:tc>
          <w:tcPr>
            <w:tcW w:type="dxa" w:w="1040"/>
            <w:shd w:fill="F2F5F8"/>
          </w:tcPr>
          <w:p>
            <w:pPr>
              <w:spacing w:before="60" w:after="60"/>
            </w:pPr>
            <w:r>
              <w:rPr>
                <w:color w:val="222222"/>
                <w:sz w:val="18"/>
              </w:rPr>
              <w:t>1,057.0</w:t>
            </w:r>
          </w:p>
        </w:tc>
        <w:tc>
          <w:tcPr>
            <w:tcW w:type="dxa" w:w="1040"/>
            <w:shd w:fill="F2F5F8"/>
          </w:tcPr>
          <w:p>
            <w:pPr>
              <w:spacing w:before="60" w:after="60"/>
            </w:pPr>
            <w:r>
              <w:rPr>
                <w:color w:val="222222"/>
                <w:sz w:val="18"/>
              </w:rPr>
              <w:t>1,025.0</w:t>
            </w:r>
          </w:p>
        </w:tc>
        <w:tc>
          <w:tcPr>
            <w:tcW w:type="dxa" w:w="1040"/>
            <w:shd w:fill="F2F5F8"/>
          </w:tcPr>
          <w:p>
            <w:pPr>
              <w:spacing w:before="60" w:after="60"/>
            </w:pPr>
            <w:r>
              <w:rPr>
                <w:color w:val="222222"/>
                <w:sz w:val="18"/>
              </w:rPr>
              <w:t>+3.12%</w:t>
            </w:r>
          </w:p>
        </w:tc>
        <w:tc>
          <w:tcPr>
            <w:tcW w:type="dxa" w:w="1040"/>
            <w:shd w:fill="F2F5F8"/>
          </w:tcPr>
          <w:p>
            <w:pPr>
              <w:spacing w:before="60" w:after="60"/>
            </w:pPr>
            <w:r>
              <w:rPr>
                <w:color w:val="222222"/>
                <w:sz w:val="18"/>
              </w:rPr>
              <w:t>68,512.20 GJ</w:t>
            </w:r>
          </w:p>
        </w:tc>
      </w:tr>
    </w:tbl>
    <w:p>
      <w:pPr>
        <w:keepNext/>
        <w:spacing w:before="160" w:after="40"/>
        <w:jc w:val="center"/>
      </w:pPr>
      <w:r>
        <w:drawing>
          <wp:inline xmlns:a="http://schemas.openxmlformats.org/drawingml/2006/main" xmlns:pic="http://schemas.openxmlformats.org/drawingml/2006/picture">
            <wp:extent cx="5669280" cy="3968496"/>
            <wp:docPr id="3" name="Picture 3"/>
            <wp:cNvGraphicFramePr>
              <a:graphicFrameLocks noChangeAspect="1"/>
            </wp:cNvGraphicFramePr>
            <a:graphic>
              <a:graphicData uri="http://schemas.openxmlformats.org/drawingml/2006/picture">
                <pic:pic>
                  <pic:nvPicPr>
                    <pic:cNvPr id="0" name="graph_21_scada_telemetry_gcv.png"/>
                    <pic:cNvPicPr/>
                  </pic:nvPicPr>
                  <pic:blipFill>
                    <a:blip r:embed="rId12"/>
                    <a:stretch>
                      <a:fillRect/>
                    </a:stretch>
                  </pic:blipFill>
                  <pic:spPr>
                    <a:xfrm>
                      <a:off x="0" y="0"/>
                      <a:ext cx="5669280" cy="3968496"/>
                    </a:xfrm>
                    <a:prstGeom prst="rect"/>
                  </pic:spPr>
                </pic:pic>
              </a:graphicData>
            </a:graphic>
          </wp:inline>
        </w:drawing>
      </w:r>
    </w:p>
    <w:p>
      <w:pPr>
        <w:keepNext/>
        <w:spacing w:before="40" w:after="160"/>
        <w:jc w:val="center"/>
      </w:pPr>
      <w:r>
        <w:rPr>
          <w:b/>
          <w:color w:val="1B365D"/>
          <w:sz w:val="19"/>
        </w:rPr>
        <w:t>Figure 3: Real-Time SCADA Online Gas Chromatography Telemetry vs Declared Billing GCV (Santa Rita Meter Skid)</w:t>
      </w:r>
    </w:p>
    <w:p>
      <w:pPr>
        <w:keepNext/>
        <w:spacing w:before="200" w:after="80"/>
      </w:pPr>
      <w:r>
        <w:rPr>
          <w:rFonts w:ascii="Times New Roman" w:hAnsi="Times New Roman"/>
          <w:b/>
          <w:color w:val="333333"/>
          <w:sz w:val="23"/>
        </w:rPr>
        <w:t>Critical Forensic Discussion &amp; Regulatory Interpretation: Table 3 &amp; Figure 3: SCADA Online Chromatography vs Declared Billing GCV</w:t>
      </w:r>
    </w:p>
    <w:p>
      <w:pPr>
        <w:spacing w:after="120" w:line="276" w:lineRule="auto"/>
        <w:ind w:left="288"/>
        <w:jc w:val="both"/>
      </w:pPr>
      <w:r>
        <w:rPr>
          <w:rFonts w:ascii="Times New Roman" w:hAnsi="Times New Roman"/>
          <w:color w:val="222222"/>
          <w:sz w:val="22"/>
        </w:rPr>
        <w:t>Table 3 and Figure 3 expose a severe physical-accounting discrepancy in the billing records. Throughout June 2026, the imported LNG regasified and delivered through the Batangas terminal exhibited rich hydrocarbon composition, with methane averaging 91.89% and heavier alkanes (ethane, propane, butane) comprising 7.40%. This rich gas mixture generated an actual measured GCV averaging 1,057.0 Btu/scf at the SCADA metering skid.</w:t>
      </w:r>
    </w:p>
    <w:p>
      <w:pPr>
        <w:spacing w:after="120" w:line="276" w:lineRule="auto"/>
        <w:ind w:left="288"/>
        <w:jc w:val="both"/>
      </w:pPr>
      <w:r>
        <w:rPr>
          <w:rFonts w:ascii="Times New Roman" w:hAnsi="Times New Roman"/>
          <w:color w:val="222222"/>
          <w:sz w:val="22"/>
        </w:rPr>
        <w:t>However, the GenCo's fuel billing settlement statements utilized an artificially depressed GCV baseline of 1,025.0 Btu/scf. By under-declaring the heat content of the delivered gas by 3.12%, the GenCo billed MERALCO for larger volumetric quantities (scf) than physically required to satisfy the generators' thermal requirements. Over the 30-day period, this uncredited high-calorific energy density masked an over-billing of 68,512.20 GJ, providing empirical proof of thermodynamic manipulation.</w:t>
      </w:r>
    </w:p>
    <w:p>
      <w:pPr>
        <w:keepNext/>
        <w:spacing w:before="360" w:after="160"/>
      </w:pPr>
      <w:r>
        <w:rPr>
          <w:rFonts w:ascii="Times New Roman" w:hAnsi="Times New Roman"/>
          <w:b/>
          <w:color w:val="1B365D"/>
          <w:sz w:val="30"/>
        </w:rPr>
        <w:t>5. Schedule of Subpoena Duces Tecum &amp; Targeted Legal Interrogatories</w:t>
      </w:r>
    </w:p>
    <w:p>
      <w:pPr>
        <w:spacing w:after="120" w:line="276" w:lineRule="auto"/>
        <w:jc w:val="both"/>
      </w:pPr>
      <w:r>
        <w:rPr>
          <w:rFonts w:ascii="Times New Roman" w:hAnsi="Times New Roman"/>
          <w:color w:val="222222"/>
          <w:sz w:val="22"/>
        </w:rPr>
        <w:t>To pierce the corporate veil obscuring affiliate transactions and secure primary evidence for formal administrative and judicial proceedings, the audit framework establishes a comprehensive Schedule of Subpoena Duces Tecum and targeted discovery interrogatories. These requests are directed at key executive officers and custodians of records across First Gen Corporation, FGEN LNG Corp., Shell Eastern Trading, BW Batangas, and M Pioneer Insurance.</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shd w:fill="1B365D"/>
          </w:tcPr>
          <w:p>
            <w:pPr>
              <w:spacing w:before="80" w:after="80"/>
              <w:jc w:val="center"/>
            </w:pPr>
            <w:r>
              <w:rPr>
                <w:b/>
                <w:color w:val="FFFFFF"/>
                <w:sz w:val="19"/>
              </w:rPr>
              <w:t>Target Entity / Custodian</w:t>
            </w:r>
          </w:p>
        </w:tc>
        <w:tc>
          <w:tcPr>
            <w:tcW w:type="dxa" w:w="1872"/>
            <w:shd w:fill="1B365D"/>
          </w:tcPr>
          <w:p>
            <w:pPr>
              <w:spacing w:before="80" w:after="80"/>
              <w:jc w:val="center"/>
            </w:pPr>
            <w:r>
              <w:rPr>
                <w:b/>
                <w:color w:val="FFFFFF"/>
                <w:sz w:val="19"/>
              </w:rPr>
              <w:t>Target Record / Document Category</w:t>
            </w:r>
          </w:p>
        </w:tc>
        <w:tc>
          <w:tcPr>
            <w:tcW w:type="dxa" w:w="1872"/>
            <w:shd w:fill="1B365D"/>
          </w:tcPr>
          <w:p>
            <w:pPr>
              <w:spacing w:before="80" w:after="80"/>
              <w:jc w:val="center"/>
            </w:pPr>
            <w:r>
              <w:rPr>
                <w:b/>
                <w:color w:val="FFFFFF"/>
                <w:sz w:val="19"/>
              </w:rPr>
              <w:t>Evidentiary Purpose &amp; Target Forensic Discrepancy</w:t>
            </w:r>
          </w:p>
        </w:tc>
        <w:tc>
          <w:tcPr>
            <w:tcW w:type="dxa" w:w="1872"/>
            <w:shd w:fill="1B365D"/>
          </w:tcPr>
          <w:p>
            <w:pPr>
              <w:spacing w:before="80" w:after="80"/>
              <w:jc w:val="center"/>
            </w:pPr>
            <w:r>
              <w:rPr>
                <w:b/>
                <w:color w:val="FFFFFF"/>
                <w:sz w:val="19"/>
              </w:rPr>
              <w:t>Required Production Format</w:t>
            </w:r>
          </w:p>
        </w:tc>
        <w:tc>
          <w:tcPr>
            <w:tcW w:type="dxa" w:w="1872"/>
            <w:shd w:fill="1B365D"/>
          </w:tcPr>
          <w:p>
            <w:pPr>
              <w:spacing w:before="80" w:after="80"/>
              <w:jc w:val="center"/>
            </w:pPr>
            <w:r>
              <w:rPr>
                <w:b/>
                <w:color w:val="FFFFFF"/>
                <w:sz w:val="19"/>
              </w:rPr>
              <w:t>Relevant Statute / Rule</w:t>
            </w:r>
          </w:p>
        </w:tc>
      </w:tr>
      <w:tr>
        <w:trPr>
          <w:cantSplit/>
        </w:trPr>
        <w:tc>
          <w:tcPr>
            <w:tcW w:type="dxa" w:w="1872"/>
            <w:shd w:fill="F2F5F8"/>
          </w:tcPr>
          <w:p>
            <w:pPr>
              <w:spacing w:before="60" w:after="60"/>
            </w:pPr>
            <w:r>
              <w:rPr>
                <w:color w:val="222222"/>
                <w:sz w:val="18"/>
              </w:rPr>
              <w:t>First Gas Power Corp. (FGPC) / Corporate Secretary</w:t>
            </w:r>
          </w:p>
        </w:tc>
        <w:tc>
          <w:tcPr>
            <w:tcW w:type="dxa" w:w="1872"/>
            <w:shd w:fill="F2F5F8"/>
          </w:tcPr>
          <w:p>
            <w:pPr>
              <w:spacing w:before="60" w:after="60"/>
            </w:pPr>
            <w:r>
              <w:rPr>
                <w:color w:val="222222"/>
                <w:sz w:val="18"/>
              </w:rPr>
              <w:t>Unredacted Minutes of Board of Directors &amp; Affiliate Approvals</w:t>
            </w:r>
          </w:p>
        </w:tc>
        <w:tc>
          <w:tcPr>
            <w:tcW w:type="dxa" w:w="1872"/>
            <w:shd w:fill="F2F5F8"/>
          </w:tcPr>
          <w:p>
            <w:pPr>
              <w:spacing w:before="60" w:after="60"/>
            </w:pPr>
            <w:r>
              <w:rPr>
                <w:color w:val="222222"/>
                <w:sz w:val="18"/>
              </w:rPr>
              <w:t>Ascertain intent regarding $8.13/MMBtu terminal fee pass-through vs $1.20 cap</w:t>
            </w:r>
          </w:p>
        </w:tc>
        <w:tc>
          <w:tcPr>
            <w:tcW w:type="dxa" w:w="1872"/>
            <w:shd w:fill="F2F5F8"/>
          </w:tcPr>
          <w:p>
            <w:pPr>
              <w:spacing w:before="60" w:after="60"/>
            </w:pPr>
            <w:r>
              <w:rPr>
                <w:color w:val="222222"/>
                <w:sz w:val="18"/>
              </w:rPr>
              <w:t>Certified True Copies, Board Resolutions</w:t>
            </w:r>
          </w:p>
        </w:tc>
        <w:tc>
          <w:tcPr>
            <w:tcW w:type="dxa" w:w="1872"/>
            <w:shd w:fill="F2F5F8"/>
          </w:tcPr>
          <w:p>
            <w:pPr>
              <w:spacing w:before="60" w:after="60"/>
            </w:pPr>
            <w:r>
              <w:rPr>
                <w:color w:val="222222"/>
                <w:sz w:val="18"/>
              </w:rPr>
              <w:t>Revised Rules of Court, Rule 21; RA 9136</w:t>
            </w:r>
          </w:p>
        </w:tc>
      </w:tr>
      <w:tr>
        <w:trPr>
          <w:cantSplit/>
        </w:trPr>
        <w:tc>
          <w:tcPr>
            <w:tcW w:type="dxa" w:w="1872"/>
            <w:shd w:fill="FFFFFF"/>
          </w:tcPr>
          <w:p>
            <w:pPr>
              <w:spacing w:before="60" w:after="60"/>
            </w:pPr>
            <w:r>
              <w:rPr>
                <w:color w:val="222222"/>
                <w:sz w:val="18"/>
              </w:rPr>
              <w:t>FGEN LNG Corp. / Terminal Operations Manager</w:t>
            </w:r>
          </w:p>
        </w:tc>
        <w:tc>
          <w:tcPr>
            <w:tcW w:type="dxa" w:w="1872"/>
            <w:shd w:fill="FFFFFF"/>
          </w:tcPr>
          <w:p>
            <w:pPr>
              <w:spacing w:before="60" w:after="60"/>
            </w:pPr>
            <w:r>
              <w:rPr>
                <w:color w:val="222222"/>
                <w:sz w:val="18"/>
              </w:rPr>
              <w:t>Continuous Electronic CTMS &amp; SCADA Raw Flow Records (15-min)</w:t>
            </w:r>
          </w:p>
        </w:tc>
        <w:tc>
          <w:tcPr>
            <w:tcW w:type="dxa" w:w="1872"/>
            <w:shd w:fill="FFFFFF"/>
          </w:tcPr>
          <w:p>
            <w:pPr>
              <w:spacing w:before="60" w:after="60"/>
            </w:pPr>
            <w:r>
              <w:rPr>
                <w:color w:val="222222"/>
                <w:sz w:val="18"/>
              </w:rPr>
              <w:t>Reconcile physical regasification throughput vs billed BOG quantities</w:t>
            </w:r>
          </w:p>
        </w:tc>
        <w:tc>
          <w:tcPr>
            <w:tcW w:type="dxa" w:w="1872"/>
            <w:shd w:fill="FFFFFF"/>
          </w:tcPr>
          <w:p>
            <w:pPr>
              <w:spacing w:before="60" w:after="60"/>
            </w:pPr>
            <w:r>
              <w:rPr>
                <w:color w:val="222222"/>
                <w:sz w:val="18"/>
              </w:rPr>
              <w:t>Raw CSV/SQL Database Dumps, Cryptographic Hash</w:t>
            </w:r>
          </w:p>
        </w:tc>
        <w:tc>
          <w:tcPr>
            <w:tcW w:type="dxa" w:w="1872"/>
            <w:shd w:fill="FFFFFF"/>
          </w:tcPr>
          <w:p>
            <w:pPr>
              <w:spacing w:before="60" w:after="60"/>
            </w:pPr>
            <w:r>
              <w:rPr>
                <w:color w:val="222222"/>
                <w:sz w:val="18"/>
              </w:rPr>
              <w:t>Rules on Electronic Evidence; ERC Rules of Practice</w:t>
            </w:r>
          </w:p>
        </w:tc>
      </w:tr>
      <w:tr>
        <w:trPr>
          <w:cantSplit/>
        </w:trPr>
        <w:tc>
          <w:tcPr>
            <w:tcW w:type="dxa" w:w="1872"/>
            <w:shd w:fill="F2F5F8"/>
          </w:tcPr>
          <w:p>
            <w:pPr>
              <w:spacing w:before="60" w:after="60"/>
            </w:pPr>
            <w:r>
              <w:rPr>
                <w:color w:val="222222"/>
                <w:sz w:val="18"/>
              </w:rPr>
              <w:t>FSRU BW Batangas / Master &amp; Chief Engineer</w:t>
            </w:r>
          </w:p>
        </w:tc>
        <w:tc>
          <w:tcPr>
            <w:tcW w:type="dxa" w:w="1872"/>
            <w:shd w:fill="F2F5F8"/>
          </w:tcPr>
          <w:p>
            <w:pPr>
              <w:spacing w:before="60" w:after="60"/>
            </w:pPr>
            <w:r>
              <w:rPr>
                <w:color w:val="222222"/>
                <w:sz w:val="18"/>
              </w:rPr>
              <w:t>Deck &amp; Engine Room Logbooks, Daily Cargo Boil-Off Records</w:t>
            </w:r>
          </w:p>
        </w:tc>
        <w:tc>
          <w:tcPr>
            <w:tcW w:type="dxa" w:w="1872"/>
            <w:shd w:fill="F2F5F8"/>
          </w:tcPr>
          <w:p>
            <w:pPr>
              <w:spacing w:before="60" w:after="60"/>
            </w:pPr>
            <w:r>
              <w:rPr>
                <w:color w:val="222222"/>
                <w:sz w:val="18"/>
              </w:rPr>
              <w:t>Verify physical boil-off rate vs 9.92% billed rate; inspect gas combustion unit (GCU)</w:t>
            </w:r>
          </w:p>
        </w:tc>
        <w:tc>
          <w:tcPr>
            <w:tcW w:type="dxa" w:w="1872"/>
            <w:shd w:fill="F2F5F8"/>
          </w:tcPr>
          <w:p>
            <w:pPr>
              <w:spacing w:before="60" w:after="60"/>
            </w:pPr>
            <w:r>
              <w:rPr>
                <w:color w:val="222222"/>
                <w:sz w:val="18"/>
              </w:rPr>
              <w:t>Original Signed Logbooks, Electronic VDR Logs</w:t>
            </w:r>
          </w:p>
        </w:tc>
        <w:tc>
          <w:tcPr>
            <w:tcW w:type="dxa" w:w="1872"/>
            <w:shd w:fill="F2F5F8"/>
          </w:tcPr>
          <w:p>
            <w:pPr>
              <w:spacing w:before="60" w:after="60"/>
            </w:pPr>
            <w:r>
              <w:rPr>
                <w:color w:val="222222"/>
                <w:sz w:val="18"/>
              </w:rPr>
              <w:t>International Maritime Organization (IMO) SOLAS</w:t>
            </w:r>
          </w:p>
        </w:tc>
      </w:tr>
      <w:tr>
        <w:trPr>
          <w:cantSplit/>
        </w:trPr>
        <w:tc>
          <w:tcPr>
            <w:tcW w:type="dxa" w:w="1872"/>
            <w:shd w:fill="FFFFFF"/>
          </w:tcPr>
          <w:p>
            <w:pPr>
              <w:spacing w:before="60" w:after="60"/>
            </w:pPr>
            <w:r>
              <w:rPr>
                <w:color w:val="222222"/>
                <w:sz w:val="18"/>
              </w:rPr>
              <w:t>Shell Eastern Trading / Commercial Operations VP</w:t>
            </w:r>
          </w:p>
        </w:tc>
        <w:tc>
          <w:tcPr>
            <w:tcW w:type="dxa" w:w="1872"/>
            <w:shd w:fill="FFFFFF"/>
          </w:tcPr>
          <w:p>
            <w:pPr>
              <w:spacing w:before="60" w:after="60"/>
            </w:pPr>
            <w:r>
              <w:rPr>
                <w:color w:val="222222"/>
                <w:sz w:val="18"/>
              </w:rPr>
              <w:t>Notice of Readiness (NOR), Statement of Facts (SOF), Tug Logs</w:t>
            </w:r>
          </w:p>
        </w:tc>
        <w:tc>
          <w:tcPr>
            <w:tcW w:type="dxa" w:w="1872"/>
            <w:shd w:fill="FFFFFF"/>
          </w:tcPr>
          <w:p>
            <w:pPr>
              <w:spacing w:before="60" w:after="60"/>
            </w:pPr>
            <w:r>
              <w:rPr>
                <w:color w:val="222222"/>
                <w:sz w:val="18"/>
              </w:rPr>
              <w:t>Establish true laytime duration and substantiate $1.85M demurrage charges</w:t>
            </w:r>
          </w:p>
        </w:tc>
        <w:tc>
          <w:tcPr>
            <w:tcW w:type="dxa" w:w="1872"/>
            <w:shd w:fill="FFFFFF"/>
          </w:tcPr>
          <w:p>
            <w:pPr>
              <w:spacing w:before="60" w:after="60"/>
            </w:pPr>
            <w:r>
              <w:rPr>
                <w:color w:val="222222"/>
                <w:sz w:val="18"/>
              </w:rPr>
              <w:t>Original Master's SOF, Port Authority Pilot Logs</w:t>
            </w:r>
          </w:p>
        </w:tc>
        <w:tc>
          <w:tcPr>
            <w:tcW w:type="dxa" w:w="1872"/>
            <w:shd w:fill="FFFFFF"/>
          </w:tcPr>
          <w:p>
            <w:pPr>
              <w:spacing w:before="60" w:after="60"/>
            </w:pPr>
            <w:r>
              <w:rPr>
                <w:color w:val="222222"/>
                <w:sz w:val="18"/>
              </w:rPr>
              <w:t>Charter Party Cl. 17; OECD Transfer Pricing</w:t>
            </w:r>
          </w:p>
        </w:tc>
      </w:tr>
      <w:tr>
        <w:trPr>
          <w:cantSplit/>
        </w:trPr>
        <w:tc>
          <w:tcPr>
            <w:tcW w:type="dxa" w:w="1872"/>
            <w:shd w:fill="F2F5F8"/>
          </w:tcPr>
          <w:p>
            <w:pPr>
              <w:spacing w:before="60" w:after="60"/>
            </w:pPr>
            <w:r>
              <w:rPr>
                <w:color w:val="222222"/>
                <w:sz w:val="18"/>
              </w:rPr>
              <w:t>M Pioneer Insurance Inc. / Underwriting Director</w:t>
            </w:r>
          </w:p>
        </w:tc>
        <w:tc>
          <w:tcPr>
            <w:tcW w:type="dxa" w:w="1872"/>
            <w:shd w:fill="F2F5F8"/>
          </w:tcPr>
          <w:p>
            <w:pPr>
              <w:spacing w:before="60" w:after="60"/>
            </w:pPr>
            <w:r>
              <w:rPr>
                <w:color w:val="222222"/>
                <w:sz w:val="18"/>
              </w:rPr>
              <w:t>Reinsurance Treaty Slips, Risk Placements, Net Premium Slips</w:t>
            </w:r>
          </w:p>
        </w:tc>
        <w:tc>
          <w:tcPr>
            <w:tcW w:type="dxa" w:w="1872"/>
            <w:shd w:fill="F2F5F8"/>
          </w:tcPr>
          <w:p>
            <w:pPr>
              <w:spacing w:before="60" w:after="60"/>
            </w:pPr>
            <w:r>
              <w:rPr>
                <w:color w:val="222222"/>
                <w:sz w:val="18"/>
              </w:rPr>
              <w:t>Confirm actual risk retention vs $1.42M double-billed marine cargo premiums</w:t>
            </w:r>
          </w:p>
        </w:tc>
        <w:tc>
          <w:tcPr>
            <w:tcW w:type="dxa" w:w="1872"/>
            <w:shd w:fill="F2F5F8"/>
          </w:tcPr>
          <w:p>
            <w:pPr>
              <w:spacing w:before="60" w:after="60"/>
            </w:pPr>
            <w:r>
              <w:rPr>
                <w:color w:val="222222"/>
                <w:sz w:val="18"/>
              </w:rPr>
              <w:t>Original London/Singapore Syndicate Slips</w:t>
            </w:r>
          </w:p>
        </w:tc>
        <w:tc>
          <w:tcPr>
            <w:tcW w:type="dxa" w:w="1872"/>
            <w:shd w:fill="F2F5F8"/>
          </w:tcPr>
          <w:p>
            <w:pPr>
              <w:spacing w:before="60" w:after="60"/>
            </w:pPr>
            <w:r>
              <w:rPr>
                <w:color w:val="222222"/>
                <w:sz w:val="18"/>
              </w:rPr>
              <w:t>Insurance Code of the Philippines; PPA Sec. 8.1</w:t>
            </w:r>
          </w:p>
        </w:tc>
      </w:tr>
      <w:tr>
        <w:trPr>
          <w:cantSplit/>
        </w:trPr>
        <w:tc>
          <w:tcPr>
            <w:tcW w:type="dxa" w:w="1872"/>
            <w:shd w:fill="FFFFFF"/>
          </w:tcPr>
          <w:p>
            <w:pPr>
              <w:spacing w:before="60" w:after="60"/>
            </w:pPr>
            <w:r>
              <w:rPr>
                <w:color w:val="222222"/>
                <w:sz w:val="18"/>
              </w:rPr>
              <w:t>Batangas City Treasurer / Records Custodian</w:t>
            </w:r>
          </w:p>
        </w:tc>
        <w:tc>
          <w:tcPr>
            <w:tcW w:type="dxa" w:w="1872"/>
            <w:shd w:fill="FFFFFF"/>
          </w:tcPr>
          <w:p>
            <w:pPr>
              <w:spacing w:before="60" w:after="60"/>
            </w:pPr>
            <w:r>
              <w:rPr>
                <w:color w:val="222222"/>
                <w:sz w:val="18"/>
              </w:rPr>
              <w:t>Local Business Tax Assessment Notices &amp; Official Receipts</w:t>
            </w:r>
          </w:p>
        </w:tc>
        <w:tc>
          <w:tcPr>
            <w:tcW w:type="dxa" w:w="1872"/>
            <w:shd w:fill="FFFFFF"/>
          </w:tcPr>
          <w:p>
            <w:pPr>
              <w:spacing w:before="60" w:after="60"/>
            </w:pPr>
            <w:r>
              <w:rPr>
                <w:color w:val="222222"/>
                <w:sz w:val="18"/>
              </w:rPr>
              <w:t>Validate whether PhP 130.98M LBT was levied on generation revenue or property</w:t>
            </w:r>
          </w:p>
        </w:tc>
        <w:tc>
          <w:tcPr>
            <w:tcW w:type="dxa" w:w="1872"/>
            <w:shd w:fill="FFFFFF"/>
          </w:tcPr>
          <w:p>
            <w:pPr>
              <w:spacing w:before="60" w:after="60"/>
            </w:pPr>
            <w:r>
              <w:rPr>
                <w:color w:val="222222"/>
                <w:sz w:val="18"/>
              </w:rPr>
              <w:t>Certified True Copies of Tax Declarations &amp; ORs</w:t>
            </w:r>
          </w:p>
        </w:tc>
        <w:tc>
          <w:tcPr>
            <w:tcW w:type="dxa" w:w="1872"/>
            <w:shd w:fill="FFFFFF"/>
          </w:tcPr>
          <w:p>
            <w:pPr>
              <w:spacing w:before="60" w:after="60"/>
            </w:pPr>
            <w:r>
              <w:rPr>
                <w:color w:val="222222"/>
                <w:sz w:val="18"/>
              </w:rPr>
              <w:t>Local Government Code; ERC Case No. 2004-74</w:t>
            </w:r>
          </w:p>
        </w:tc>
      </w:tr>
    </w:tbl>
    <w:p>
      <w:pPr>
        <w:keepNext/>
        <w:spacing w:before="200" w:after="80"/>
      </w:pPr>
      <w:r>
        <w:rPr>
          <w:rFonts w:ascii="Times New Roman" w:hAnsi="Times New Roman"/>
          <w:b/>
          <w:color w:val="333333"/>
          <w:sz w:val="23"/>
        </w:rPr>
        <w:t>Critical Forensic Discussion &amp; Regulatory Interpretation: Table 4: Evidentiary Value of Subpoena Duces Tecum Schedule</w:t>
      </w:r>
    </w:p>
    <w:p>
      <w:pPr>
        <w:spacing w:after="120" w:line="276" w:lineRule="auto"/>
        <w:ind w:left="288"/>
        <w:jc w:val="both"/>
      </w:pPr>
      <w:r>
        <w:rPr>
          <w:rFonts w:ascii="Times New Roman" w:hAnsi="Times New Roman"/>
          <w:color w:val="222222"/>
          <w:sz w:val="22"/>
        </w:rPr>
        <w:t>Table 4 provides the regulatory and legal authorities with an actionable roadmap for compulsory discovery. In complex utility fraud investigations, key incriminating evidence—such as vessel Voyage Data Recorder (VDR) logs, original reinsurance placement slips, and internal transfer-pricing spreadsheets—is deliberately siloed within offshore or affiliate entities.</w:t>
      </w:r>
    </w:p>
    <w:p>
      <w:pPr>
        <w:spacing w:after="120" w:line="276" w:lineRule="auto"/>
        <w:ind w:left="288"/>
        <w:jc w:val="both"/>
      </w:pPr>
      <w:r>
        <w:rPr>
          <w:rFonts w:ascii="Times New Roman" w:hAnsi="Times New Roman"/>
          <w:color w:val="222222"/>
          <w:sz w:val="22"/>
        </w:rPr>
        <w:t>By issuing targeted Subpoenas Duces Tecum for unredacted CTMS database dumps and master's Statements of Facts, the ERC and DOJ can definitively refute the GenCos' defenses of 'unavoidable terminal boil-off' and 'congested port demurrage.' Production of these records will expose whether FGEN LNG earned unrecorded profits by burning excess boil-off gas in auxiliary boilers while simultaneously charging MERALCO consumers for the vanished energy.</w:t>
      </w:r>
    </w:p>
    <w:p>
      <w:pPr>
        <w:keepNext/>
        <w:spacing w:before="360" w:after="160"/>
      </w:pPr>
      <w:r>
        <w:rPr>
          <w:rFonts w:ascii="Times New Roman" w:hAnsi="Times New Roman"/>
          <w:b/>
          <w:color w:val="1B365D"/>
          <w:sz w:val="30"/>
        </w:rPr>
        <w:t>6. Econometric Modeling &amp; Macroeconomic Deadweight Loss Assessment</w:t>
      </w:r>
    </w:p>
    <w:p>
      <w:pPr>
        <w:spacing w:after="120" w:line="276" w:lineRule="auto"/>
        <w:jc w:val="both"/>
      </w:pPr>
      <w:r>
        <w:rPr>
          <w:rFonts w:ascii="Times New Roman" w:hAnsi="Times New Roman"/>
          <w:color w:val="222222"/>
          <w:sz w:val="22"/>
        </w:rPr>
        <w:t>To quantify the broader economic damage inflicted on the Philippine economy by the unlawful fuel pass-through overcharges, an econometric market equilibrium and cost-push inflation model was developed. The model measures the consumer surplus loss, deadweight welfare loss, and sectoral inflationary elasticity across the MERALCO franchise area.</w:t>
      </w:r>
    </w:p>
    <w:p>
      <w:pPr>
        <w:spacing w:after="120" w:line="276" w:lineRule="auto"/>
        <w:jc w:val="both"/>
      </w:pPr>
      <w:r>
        <w:rPr>
          <w:rFonts w:ascii="Times New Roman" w:hAnsi="Times New Roman"/>
          <w:color w:val="222222"/>
          <w:sz w:val="22"/>
        </w:rPr>
        <w:t>Electricity is an essential, non-substitutable intermediate input for commercial manufacturing and a core household expenditure. The deadweight loss (DWL) resulting from the artificial price distortion is formulated as:</w:t>
      </w:r>
    </w:p>
    <w:p>
      <w:pPr>
        <w:spacing w:after="120" w:line="276" w:lineRule="auto"/>
        <w:jc w:val="both"/>
      </w:pPr>
      <w:r>
        <w:rPr>
          <w:rFonts w:ascii="Times New Roman" w:hAnsi="Times New Roman"/>
          <w:color w:val="222222"/>
          <w:sz w:val="22"/>
        </w:rPr>
        <w:t>DWL = \frac{1}{2} \times \Delta P \times \Delta Q = \frac{1}{2} \times (P_{distorted} - P_{competitive}) \times (Q_{competitive} - Q_{distorted})</w:t>
      </w:r>
    </w:p>
    <w:p>
      <w:pPr>
        <w:spacing w:after="120" w:line="276" w:lineRule="auto"/>
        <w:jc w:val="both"/>
      </w:pPr>
      <w:r>
        <w:rPr>
          <w:rFonts w:ascii="Times New Roman" w:hAnsi="Times New Roman"/>
          <w:color w:val="222222"/>
          <w:sz w:val="22"/>
        </w:rPr>
        <w:t>where \Delta P represents the unauthorized tariff surcharge (averaging PhP 0.6540/kWh), and \Delta Q represents the suppressed power demand resulting from higher retail tariffs based on empirical price elasticity of electricity demand (\epsilon_d = -0.35 in the Philippine residential and industrial sectors).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cantSplit/>
          <w:tblHeader/>
        </w:trPr>
        <w:tc>
          <w:tcPr>
            <w:tcW w:type="dxa" w:w="1170"/>
            <w:shd w:fill="1B365D"/>
          </w:tcPr>
          <w:p>
            <w:pPr>
              <w:spacing w:before="80" w:after="80"/>
              <w:jc w:val="center"/>
            </w:pPr>
            <w:r>
              <w:rPr>
                <w:b/>
                <w:color w:val="FFFFFF"/>
                <w:sz w:val="19"/>
              </w:rPr>
              <w:t>Economic Sector</w:t>
            </w:r>
          </w:p>
        </w:tc>
        <w:tc>
          <w:tcPr>
            <w:tcW w:type="dxa" w:w="1170"/>
            <w:shd w:fill="1B365D"/>
          </w:tcPr>
          <w:p>
            <w:pPr>
              <w:spacing w:before="80" w:after="80"/>
              <w:jc w:val="center"/>
            </w:pPr>
            <w:r>
              <w:rPr>
                <w:b/>
                <w:color w:val="FFFFFF"/>
                <w:sz w:val="19"/>
              </w:rPr>
              <w:t>Monthly Energy Offtake (GWh)</w:t>
            </w:r>
          </w:p>
        </w:tc>
        <w:tc>
          <w:tcPr>
            <w:tcW w:type="dxa" w:w="1170"/>
            <w:shd w:fill="1B365D"/>
          </w:tcPr>
          <w:p>
            <w:pPr>
              <w:spacing w:before="80" w:after="80"/>
              <w:jc w:val="center"/>
            </w:pPr>
            <w:r>
              <w:rPr>
                <w:b/>
                <w:color w:val="FFFFFF"/>
                <w:sz w:val="19"/>
              </w:rPr>
              <w:t>Effective Baseline Tariff (PhP/kWh)</w:t>
            </w:r>
          </w:p>
        </w:tc>
        <w:tc>
          <w:tcPr>
            <w:tcW w:type="dxa" w:w="1170"/>
            <w:shd w:fill="1B365D"/>
          </w:tcPr>
          <w:p>
            <w:pPr>
              <w:spacing w:before="80" w:after="80"/>
              <w:jc w:val="center"/>
            </w:pPr>
            <w:r>
              <w:rPr>
                <w:b/>
                <w:color w:val="FFFFFF"/>
                <w:sz w:val="19"/>
              </w:rPr>
              <w:t>Unlawful Surcharge (PhP/kWh)</w:t>
            </w:r>
          </w:p>
        </w:tc>
        <w:tc>
          <w:tcPr>
            <w:tcW w:type="dxa" w:w="1170"/>
            <w:shd w:fill="1B365D"/>
          </w:tcPr>
          <w:p>
            <w:pPr>
              <w:spacing w:before="80" w:after="80"/>
              <w:jc w:val="center"/>
            </w:pPr>
            <w:r>
              <w:rPr>
                <w:b/>
                <w:color w:val="FFFFFF"/>
                <w:sz w:val="19"/>
              </w:rPr>
              <w:t>Distorted Tariff (PhP/kWh)</w:t>
            </w:r>
          </w:p>
        </w:tc>
        <w:tc>
          <w:tcPr>
            <w:tcW w:type="dxa" w:w="1170"/>
            <w:shd w:fill="1B365D"/>
          </w:tcPr>
          <w:p>
            <w:pPr>
              <w:spacing w:before="80" w:after="80"/>
              <w:jc w:val="center"/>
            </w:pPr>
            <w:r>
              <w:rPr>
                <w:b/>
                <w:color w:val="FFFFFF"/>
                <w:sz w:val="19"/>
              </w:rPr>
              <w:t>Sectoral Consumer Surplus Loss (PhP M/mo)</w:t>
            </w:r>
          </w:p>
        </w:tc>
        <w:tc>
          <w:tcPr>
            <w:tcW w:type="dxa" w:w="1170"/>
            <w:shd w:fill="1B365D"/>
          </w:tcPr>
          <w:p>
            <w:pPr>
              <w:spacing w:before="80" w:after="80"/>
              <w:jc w:val="center"/>
            </w:pPr>
            <w:r>
              <w:rPr>
                <w:b/>
                <w:color w:val="FFFFFF"/>
                <w:sz w:val="19"/>
              </w:rPr>
              <w:t>Annualized Deadweight Loss (PhP M/yr)</w:t>
            </w:r>
          </w:p>
        </w:tc>
        <w:tc>
          <w:tcPr>
            <w:tcW w:type="dxa" w:w="1170"/>
            <w:shd w:fill="1B365D"/>
          </w:tcPr>
          <w:p>
            <w:pPr>
              <w:spacing w:before="80" w:after="80"/>
              <w:jc w:val="center"/>
            </w:pPr>
            <w:r>
              <w:rPr>
                <w:b/>
                <w:color w:val="FFFFFF"/>
                <w:sz w:val="19"/>
              </w:rPr>
              <w:t>Cost-Push Inflation Elasticity</w:t>
            </w:r>
          </w:p>
        </w:tc>
      </w:tr>
      <w:tr>
        <w:trPr>
          <w:cantSplit/>
        </w:trPr>
        <w:tc>
          <w:tcPr>
            <w:tcW w:type="dxa" w:w="1170"/>
            <w:shd w:fill="F2F5F8"/>
          </w:tcPr>
          <w:p>
            <w:pPr>
              <w:spacing w:before="60" w:after="60"/>
            </w:pPr>
            <w:r>
              <w:rPr>
                <w:color w:val="222222"/>
                <w:sz w:val="18"/>
              </w:rPr>
              <w:t>Residential (Captive)</w:t>
            </w:r>
          </w:p>
        </w:tc>
        <w:tc>
          <w:tcPr>
            <w:tcW w:type="dxa" w:w="1170"/>
            <w:shd w:fill="F2F5F8"/>
          </w:tcPr>
          <w:p>
            <w:pPr>
              <w:spacing w:before="60" w:after="60"/>
            </w:pPr>
            <w:r>
              <w:rPr>
                <w:color w:val="222222"/>
                <w:sz w:val="18"/>
              </w:rPr>
              <w:t>1,250.0</w:t>
            </w:r>
          </w:p>
        </w:tc>
        <w:tc>
          <w:tcPr>
            <w:tcW w:type="dxa" w:w="1170"/>
            <w:shd w:fill="F2F5F8"/>
          </w:tcPr>
          <w:p>
            <w:pPr>
              <w:spacing w:before="60" w:after="60"/>
            </w:pPr>
            <w:r>
              <w:rPr>
                <w:color w:val="222222"/>
                <w:sz w:val="18"/>
              </w:rPr>
              <w:t>PhP 11.85</w:t>
            </w:r>
          </w:p>
        </w:tc>
        <w:tc>
          <w:tcPr>
            <w:tcW w:type="dxa" w:w="1170"/>
            <w:shd w:fill="F2F5F8"/>
          </w:tcPr>
          <w:p>
            <w:pPr>
              <w:spacing w:before="60" w:after="60"/>
            </w:pPr>
            <w:r>
              <w:rPr>
                <w:color w:val="222222"/>
                <w:sz w:val="18"/>
              </w:rPr>
              <w:t>+PhP 0.6540</w:t>
            </w:r>
          </w:p>
        </w:tc>
        <w:tc>
          <w:tcPr>
            <w:tcW w:type="dxa" w:w="1170"/>
            <w:shd w:fill="F2F5F8"/>
          </w:tcPr>
          <w:p>
            <w:pPr>
              <w:spacing w:before="60" w:after="60"/>
            </w:pPr>
            <w:r>
              <w:rPr>
                <w:color w:val="222222"/>
                <w:sz w:val="18"/>
              </w:rPr>
              <w:t>PhP 12.50</w:t>
            </w:r>
          </w:p>
        </w:tc>
        <w:tc>
          <w:tcPr>
            <w:tcW w:type="dxa" w:w="1170"/>
            <w:shd w:fill="F2F5F8"/>
          </w:tcPr>
          <w:p>
            <w:pPr>
              <w:spacing w:before="60" w:after="60"/>
            </w:pPr>
            <w:r>
              <w:rPr>
                <w:color w:val="222222"/>
                <w:sz w:val="18"/>
              </w:rPr>
              <w:t>PhP 817.50M</w:t>
            </w:r>
          </w:p>
        </w:tc>
        <w:tc>
          <w:tcPr>
            <w:tcW w:type="dxa" w:w="1170"/>
            <w:shd w:fill="F2F5F8"/>
          </w:tcPr>
          <w:p>
            <w:pPr>
              <w:spacing w:before="60" w:after="60"/>
            </w:pPr>
            <w:r>
              <w:rPr>
                <w:color w:val="222222"/>
                <w:sz w:val="18"/>
              </w:rPr>
              <w:t>PhP 486.20M</w:t>
            </w:r>
          </w:p>
        </w:tc>
        <w:tc>
          <w:tcPr>
            <w:tcW w:type="dxa" w:w="1170"/>
            <w:shd w:fill="F2F5F8"/>
          </w:tcPr>
          <w:p>
            <w:pPr>
              <w:spacing w:before="60" w:after="60"/>
            </w:pPr>
            <w:r>
              <w:rPr>
                <w:color w:val="222222"/>
                <w:sz w:val="18"/>
              </w:rPr>
              <w:t>+0.42% CPI Core Push</w:t>
            </w:r>
          </w:p>
        </w:tc>
      </w:tr>
      <w:tr>
        <w:trPr>
          <w:cantSplit/>
        </w:trPr>
        <w:tc>
          <w:tcPr>
            <w:tcW w:type="dxa" w:w="1170"/>
            <w:shd w:fill="FFFFFF"/>
          </w:tcPr>
          <w:p>
            <w:pPr>
              <w:spacing w:before="60" w:after="60"/>
            </w:pPr>
            <w:r>
              <w:rPr>
                <w:color w:val="222222"/>
                <w:sz w:val="18"/>
              </w:rPr>
              <w:t>Commercial (Retail/Offices)</w:t>
            </w:r>
          </w:p>
        </w:tc>
        <w:tc>
          <w:tcPr>
            <w:tcW w:type="dxa" w:w="1170"/>
            <w:shd w:fill="FFFFFF"/>
          </w:tcPr>
          <w:p>
            <w:pPr>
              <w:spacing w:before="60" w:after="60"/>
            </w:pPr>
            <w:r>
              <w:rPr>
                <w:color w:val="222222"/>
                <w:sz w:val="18"/>
              </w:rPr>
              <w:t>850.0</w:t>
            </w:r>
          </w:p>
        </w:tc>
        <w:tc>
          <w:tcPr>
            <w:tcW w:type="dxa" w:w="1170"/>
            <w:shd w:fill="FFFFFF"/>
          </w:tcPr>
          <w:p>
            <w:pPr>
              <w:spacing w:before="60" w:after="60"/>
            </w:pPr>
            <w:r>
              <w:rPr>
                <w:color w:val="222222"/>
                <w:sz w:val="18"/>
              </w:rPr>
              <w:t>PhP 10.90</w:t>
            </w:r>
          </w:p>
        </w:tc>
        <w:tc>
          <w:tcPr>
            <w:tcW w:type="dxa" w:w="1170"/>
            <w:shd w:fill="FFFFFF"/>
          </w:tcPr>
          <w:p>
            <w:pPr>
              <w:spacing w:before="60" w:after="60"/>
            </w:pPr>
            <w:r>
              <w:rPr>
                <w:color w:val="222222"/>
                <w:sz w:val="18"/>
              </w:rPr>
              <w:t>+PhP 0.6540</w:t>
            </w:r>
          </w:p>
        </w:tc>
        <w:tc>
          <w:tcPr>
            <w:tcW w:type="dxa" w:w="1170"/>
            <w:shd w:fill="FFFFFF"/>
          </w:tcPr>
          <w:p>
            <w:pPr>
              <w:spacing w:before="60" w:after="60"/>
            </w:pPr>
            <w:r>
              <w:rPr>
                <w:color w:val="222222"/>
                <w:sz w:val="18"/>
              </w:rPr>
              <w:t>PhP 11.55</w:t>
            </w:r>
          </w:p>
        </w:tc>
        <w:tc>
          <w:tcPr>
            <w:tcW w:type="dxa" w:w="1170"/>
            <w:shd w:fill="FFFFFF"/>
          </w:tcPr>
          <w:p>
            <w:pPr>
              <w:spacing w:before="60" w:after="60"/>
            </w:pPr>
            <w:r>
              <w:rPr>
                <w:color w:val="222222"/>
                <w:sz w:val="18"/>
              </w:rPr>
              <w:t>PhP 555.90M</w:t>
            </w:r>
          </w:p>
        </w:tc>
        <w:tc>
          <w:tcPr>
            <w:tcW w:type="dxa" w:w="1170"/>
            <w:shd w:fill="FFFFFF"/>
          </w:tcPr>
          <w:p>
            <w:pPr>
              <w:spacing w:before="60" w:after="60"/>
            </w:pPr>
            <w:r>
              <w:rPr>
                <w:color w:val="222222"/>
                <w:sz w:val="18"/>
              </w:rPr>
              <w:t>PhP 324.80M</w:t>
            </w:r>
          </w:p>
        </w:tc>
        <w:tc>
          <w:tcPr>
            <w:tcW w:type="dxa" w:w="1170"/>
            <w:shd w:fill="FFFFFF"/>
          </w:tcPr>
          <w:p>
            <w:pPr>
              <w:spacing w:before="60" w:after="60"/>
            </w:pPr>
            <w:r>
              <w:rPr>
                <w:color w:val="222222"/>
                <w:sz w:val="18"/>
              </w:rPr>
              <w:t>+0.38% Service Inflation</w:t>
            </w:r>
          </w:p>
        </w:tc>
      </w:tr>
      <w:tr>
        <w:trPr>
          <w:cantSplit/>
        </w:trPr>
        <w:tc>
          <w:tcPr>
            <w:tcW w:type="dxa" w:w="1170"/>
            <w:shd w:fill="F2F5F8"/>
          </w:tcPr>
          <w:p>
            <w:pPr>
              <w:spacing w:before="60" w:after="60"/>
            </w:pPr>
            <w:r>
              <w:rPr>
                <w:color w:val="222222"/>
                <w:sz w:val="18"/>
              </w:rPr>
              <w:t>Industrial (F&amp;B / Process)</w:t>
            </w:r>
          </w:p>
        </w:tc>
        <w:tc>
          <w:tcPr>
            <w:tcW w:type="dxa" w:w="1170"/>
            <w:shd w:fill="F2F5F8"/>
          </w:tcPr>
          <w:p>
            <w:pPr>
              <w:spacing w:before="60" w:after="60"/>
            </w:pPr>
            <w:r>
              <w:rPr>
                <w:color w:val="222222"/>
                <w:sz w:val="18"/>
              </w:rPr>
              <w:t>620.0</w:t>
            </w:r>
          </w:p>
        </w:tc>
        <w:tc>
          <w:tcPr>
            <w:tcW w:type="dxa" w:w="1170"/>
            <w:shd w:fill="F2F5F8"/>
          </w:tcPr>
          <w:p>
            <w:pPr>
              <w:spacing w:before="60" w:after="60"/>
            </w:pPr>
            <w:r>
              <w:rPr>
                <w:color w:val="222222"/>
                <w:sz w:val="18"/>
              </w:rPr>
              <w:t>PhP 9.40</w:t>
            </w:r>
          </w:p>
        </w:tc>
        <w:tc>
          <w:tcPr>
            <w:tcW w:type="dxa" w:w="1170"/>
            <w:shd w:fill="F2F5F8"/>
          </w:tcPr>
          <w:p>
            <w:pPr>
              <w:spacing w:before="60" w:after="60"/>
            </w:pPr>
            <w:r>
              <w:rPr>
                <w:color w:val="222222"/>
                <w:sz w:val="18"/>
              </w:rPr>
              <w:t>+PhP 0.6540</w:t>
            </w:r>
          </w:p>
        </w:tc>
        <w:tc>
          <w:tcPr>
            <w:tcW w:type="dxa" w:w="1170"/>
            <w:shd w:fill="F2F5F8"/>
          </w:tcPr>
          <w:p>
            <w:pPr>
              <w:spacing w:before="60" w:after="60"/>
            </w:pPr>
            <w:r>
              <w:rPr>
                <w:color w:val="222222"/>
                <w:sz w:val="18"/>
              </w:rPr>
              <w:t>PhP 10.05</w:t>
            </w:r>
          </w:p>
        </w:tc>
        <w:tc>
          <w:tcPr>
            <w:tcW w:type="dxa" w:w="1170"/>
            <w:shd w:fill="F2F5F8"/>
          </w:tcPr>
          <w:p>
            <w:pPr>
              <w:spacing w:before="60" w:after="60"/>
            </w:pPr>
            <w:r>
              <w:rPr>
                <w:color w:val="222222"/>
                <w:sz w:val="18"/>
              </w:rPr>
              <w:t>PhP 405.48M</w:t>
            </w:r>
          </w:p>
        </w:tc>
        <w:tc>
          <w:tcPr>
            <w:tcW w:type="dxa" w:w="1170"/>
            <w:shd w:fill="F2F5F8"/>
          </w:tcPr>
          <w:p>
            <w:pPr>
              <w:spacing w:before="60" w:after="60"/>
            </w:pPr>
            <w:r>
              <w:rPr>
                <w:color w:val="222222"/>
                <w:sz w:val="18"/>
              </w:rPr>
              <w:t>PhP 288.40M</w:t>
            </w:r>
          </w:p>
        </w:tc>
        <w:tc>
          <w:tcPr>
            <w:tcW w:type="dxa" w:w="1170"/>
            <w:shd w:fill="F2F5F8"/>
          </w:tcPr>
          <w:p>
            <w:pPr>
              <w:spacing w:before="60" w:after="60"/>
            </w:pPr>
            <w:r>
              <w:rPr>
                <w:color w:val="222222"/>
                <w:sz w:val="18"/>
              </w:rPr>
              <w:t>+0.68% Producer Price Push</w:t>
            </w:r>
          </w:p>
        </w:tc>
      </w:tr>
      <w:tr>
        <w:trPr>
          <w:cantSplit/>
        </w:trPr>
        <w:tc>
          <w:tcPr>
            <w:tcW w:type="dxa" w:w="1170"/>
            <w:shd w:fill="FFFFFF"/>
          </w:tcPr>
          <w:p>
            <w:pPr>
              <w:spacing w:before="60" w:after="60"/>
            </w:pPr>
            <w:r>
              <w:rPr>
                <w:color w:val="222222"/>
                <w:sz w:val="18"/>
              </w:rPr>
              <w:t>Industrial (Semiconductors)</w:t>
            </w:r>
          </w:p>
        </w:tc>
        <w:tc>
          <w:tcPr>
            <w:tcW w:type="dxa" w:w="1170"/>
            <w:shd w:fill="FFFFFF"/>
          </w:tcPr>
          <w:p>
            <w:pPr>
              <w:spacing w:before="60" w:after="60"/>
            </w:pPr>
            <w:r>
              <w:rPr>
                <w:color w:val="222222"/>
                <w:sz w:val="18"/>
              </w:rPr>
              <w:t>410.0</w:t>
            </w:r>
          </w:p>
        </w:tc>
        <w:tc>
          <w:tcPr>
            <w:tcW w:type="dxa" w:w="1170"/>
            <w:shd w:fill="FFFFFF"/>
          </w:tcPr>
          <w:p>
            <w:pPr>
              <w:spacing w:before="60" w:after="60"/>
            </w:pPr>
            <w:r>
              <w:rPr>
                <w:color w:val="222222"/>
                <w:sz w:val="18"/>
              </w:rPr>
              <w:t>PhP 9.10</w:t>
            </w:r>
          </w:p>
        </w:tc>
        <w:tc>
          <w:tcPr>
            <w:tcW w:type="dxa" w:w="1170"/>
            <w:shd w:fill="FFFFFF"/>
          </w:tcPr>
          <w:p>
            <w:pPr>
              <w:spacing w:before="60" w:after="60"/>
            </w:pPr>
            <w:r>
              <w:rPr>
                <w:color w:val="222222"/>
                <w:sz w:val="18"/>
              </w:rPr>
              <w:t>+PhP 0.6540</w:t>
            </w:r>
          </w:p>
        </w:tc>
        <w:tc>
          <w:tcPr>
            <w:tcW w:type="dxa" w:w="1170"/>
            <w:shd w:fill="FFFFFF"/>
          </w:tcPr>
          <w:p>
            <w:pPr>
              <w:spacing w:before="60" w:after="60"/>
            </w:pPr>
            <w:r>
              <w:rPr>
                <w:color w:val="222222"/>
                <w:sz w:val="18"/>
              </w:rPr>
              <w:t>PhP 9.75</w:t>
            </w:r>
          </w:p>
        </w:tc>
        <w:tc>
          <w:tcPr>
            <w:tcW w:type="dxa" w:w="1170"/>
            <w:shd w:fill="FFFFFF"/>
          </w:tcPr>
          <w:p>
            <w:pPr>
              <w:spacing w:before="60" w:after="60"/>
            </w:pPr>
            <w:r>
              <w:rPr>
                <w:color w:val="222222"/>
                <w:sz w:val="18"/>
              </w:rPr>
              <w:t>PhP 268.14M</w:t>
            </w:r>
          </w:p>
        </w:tc>
        <w:tc>
          <w:tcPr>
            <w:tcW w:type="dxa" w:w="1170"/>
            <w:shd w:fill="FFFFFF"/>
          </w:tcPr>
          <w:p>
            <w:pPr>
              <w:spacing w:before="60" w:after="60"/>
            </w:pPr>
            <w:r>
              <w:rPr>
                <w:color w:val="222222"/>
                <w:sz w:val="18"/>
              </w:rPr>
              <w:t>PhP 192.10M</w:t>
            </w:r>
          </w:p>
        </w:tc>
        <w:tc>
          <w:tcPr>
            <w:tcW w:type="dxa" w:w="1170"/>
            <w:shd w:fill="FFFFFF"/>
          </w:tcPr>
          <w:p>
            <w:pPr>
              <w:spacing w:before="60" w:after="60"/>
            </w:pPr>
            <w:r>
              <w:rPr>
                <w:color w:val="222222"/>
                <w:sz w:val="18"/>
              </w:rPr>
              <w:t>+0.54% Export Cost Push</w:t>
            </w:r>
          </w:p>
        </w:tc>
      </w:tr>
      <w:tr>
        <w:trPr>
          <w:cantSplit/>
        </w:trPr>
        <w:tc>
          <w:tcPr>
            <w:tcW w:type="dxa" w:w="1170"/>
            <w:shd w:fill="F2F5F8"/>
          </w:tcPr>
          <w:p>
            <w:pPr>
              <w:spacing w:before="60" w:after="60"/>
            </w:pPr>
            <w:r>
              <w:rPr>
                <w:color w:val="222222"/>
                <w:sz w:val="18"/>
              </w:rPr>
              <w:t>Heavy Industry (Steel/Cement)</w:t>
            </w:r>
          </w:p>
        </w:tc>
        <w:tc>
          <w:tcPr>
            <w:tcW w:type="dxa" w:w="1170"/>
            <w:shd w:fill="F2F5F8"/>
          </w:tcPr>
          <w:p>
            <w:pPr>
              <w:spacing w:before="60" w:after="60"/>
            </w:pPr>
            <w:r>
              <w:rPr>
                <w:color w:val="222222"/>
                <w:sz w:val="18"/>
              </w:rPr>
              <w:t>280.0</w:t>
            </w:r>
          </w:p>
        </w:tc>
        <w:tc>
          <w:tcPr>
            <w:tcW w:type="dxa" w:w="1170"/>
            <w:shd w:fill="F2F5F8"/>
          </w:tcPr>
          <w:p>
            <w:pPr>
              <w:spacing w:before="60" w:after="60"/>
            </w:pPr>
            <w:r>
              <w:rPr>
                <w:color w:val="222222"/>
                <w:sz w:val="18"/>
              </w:rPr>
              <w:t>PhP 8.80</w:t>
            </w:r>
          </w:p>
        </w:tc>
        <w:tc>
          <w:tcPr>
            <w:tcW w:type="dxa" w:w="1170"/>
            <w:shd w:fill="F2F5F8"/>
          </w:tcPr>
          <w:p>
            <w:pPr>
              <w:spacing w:before="60" w:after="60"/>
            </w:pPr>
            <w:r>
              <w:rPr>
                <w:color w:val="222222"/>
                <w:sz w:val="18"/>
              </w:rPr>
              <w:t>+PhP 0.6540</w:t>
            </w:r>
          </w:p>
        </w:tc>
        <w:tc>
          <w:tcPr>
            <w:tcW w:type="dxa" w:w="1170"/>
            <w:shd w:fill="F2F5F8"/>
          </w:tcPr>
          <w:p>
            <w:pPr>
              <w:spacing w:before="60" w:after="60"/>
            </w:pPr>
            <w:r>
              <w:rPr>
                <w:color w:val="222222"/>
                <w:sz w:val="18"/>
              </w:rPr>
              <w:t>PhP 9.45</w:t>
            </w:r>
          </w:p>
        </w:tc>
        <w:tc>
          <w:tcPr>
            <w:tcW w:type="dxa" w:w="1170"/>
            <w:shd w:fill="F2F5F8"/>
          </w:tcPr>
          <w:p>
            <w:pPr>
              <w:spacing w:before="60" w:after="60"/>
            </w:pPr>
            <w:r>
              <w:rPr>
                <w:color w:val="222222"/>
                <w:sz w:val="18"/>
              </w:rPr>
              <w:t>PhP 183.12M</w:t>
            </w:r>
          </w:p>
        </w:tc>
        <w:tc>
          <w:tcPr>
            <w:tcW w:type="dxa" w:w="1170"/>
            <w:shd w:fill="F2F5F8"/>
          </w:tcPr>
          <w:p>
            <w:pPr>
              <w:spacing w:before="60" w:after="60"/>
            </w:pPr>
            <w:r>
              <w:rPr>
                <w:color w:val="222222"/>
                <w:sz w:val="18"/>
              </w:rPr>
              <w:t>PhP 188.50M</w:t>
            </w:r>
          </w:p>
        </w:tc>
        <w:tc>
          <w:tcPr>
            <w:tcW w:type="dxa" w:w="1170"/>
            <w:shd w:fill="F2F5F8"/>
          </w:tcPr>
          <w:p>
            <w:pPr>
              <w:spacing w:before="60" w:after="60"/>
            </w:pPr>
            <w:r>
              <w:rPr>
                <w:color w:val="222222"/>
                <w:sz w:val="18"/>
              </w:rPr>
              <w:t>+0.81% Industrial Cost Push</w:t>
            </w:r>
          </w:p>
        </w:tc>
      </w:tr>
      <w:tr>
        <w:trPr>
          <w:cantSplit/>
        </w:trPr>
        <w:tc>
          <w:tcPr>
            <w:tcW w:type="dxa" w:w="1170"/>
            <w:shd w:fill="FFFFFF"/>
          </w:tcPr>
          <w:p>
            <w:pPr>
              <w:spacing w:before="60" w:after="60"/>
            </w:pPr>
            <w:r>
              <w:rPr>
                <w:color w:val="222222"/>
                <w:sz w:val="18"/>
              </w:rPr>
              <w:t>AGGREGATE ECONOMY</w:t>
            </w:r>
          </w:p>
        </w:tc>
        <w:tc>
          <w:tcPr>
            <w:tcW w:type="dxa" w:w="1170"/>
            <w:shd w:fill="FFFFFF"/>
          </w:tcPr>
          <w:p>
            <w:pPr>
              <w:spacing w:before="60" w:after="60"/>
            </w:pPr>
            <w:r>
              <w:rPr>
                <w:color w:val="222222"/>
                <w:sz w:val="18"/>
              </w:rPr>
              <w:t>3,410.0 GWh</w:t>
            </w:r>
          </w:p>
        </w:tc>
        <w:tc>
          <w:tcPr>
            <w:tcW w:type="dxa" w:w="1170"/>
            <w:shd w:fill="FFFFFF"/>
          </w:tcPr>
          <w:p>
            <w:pPr>
              <w:spacing w:before="60" w:after="60"/>
            </w:pPr>
            <w:r>
              <w:rPr>
                <w:color w:val="222222"/>
                <w:sz w:val="18"/>
              </w:rPr>
              <w:t>PhP 10.82 (Avg)</w:t>
            </w:r>
          </w:p>
        </w:tc>
        <w:tc>
          <w:tcPr>
            <w:tcW w:type="dxa" w:w="1170"/>
            <w:shd w:fill="FFFFFF"/>
          </w:tcPr>
          <w:p>
            <w:pPr>
              <w:spacing w:before="60" w:after="60"/>
            </w:pPr>
            <w:r>
              <w:rPr>
                <w:color w:val="222222"/>
                <w:sz w:val="18"/>
              </w:rPr>
              <w:t>+PhP 0.6540</w:t>
            </w:r>
          </w:p>
        </w:tc>
        <w:tc>
          <w:tcPr>
            <w:tcW w:type="dxa" w:w="1170"/>
            <w:shd w:fill="FFFFFF"/>
          </w:tcPr>
          <w:p>
            <w:pPr>
              <w:spacing w:before="60" w:after="60"/>
            </w:pPr>
            <w:r>
              <w:rPr>
                <w:color w:val="222222"/>
                <w:sz w:val="18"/>
              </w:rPr>
              <w:t>PhP 11.47 (Avg)</w:t>
            </w:r>
          </w:p>
        </w:tc>
        <w:tc>
          <w:tcPr>
            <w:tcW w:type="dxa" w:w="1170"/>
            <w:shd w:fill="FFFFFF"/>
          </w:tcPr>
          <w:p>
            <w:pPr>
              <w:spacing w:before="60" w:after="60"/>
            </w:pPr>
            <w:r>
              <w:rPr>
                <w:color w:val="222222"/>
                <w:sz w:val="18"/>
              </w:rPr>
              <w:t>PhP 2,230.14M / mo</w:t>
            </w:r>
          </w:p>
        </w:tc>
        <w:tc>
          <w:tcPr>
            <w:tcW w:type="dxa" w:w="1170"/>
            <w:shd w:fill="FFFFFF"/>
          </w:tcPr>
          <w:p>
            <w:pPr>
              <w:spacing w:before="60" w:after="60"/>
            </w:pPr>
            <w:r>
              <w:rPr>
                <w:color w:val="222222"/>
                <w:sz w:val="18"/>
              </w:rPr>
              <w:t>PhP 1,480.00M / yr</w:t>
            </w:r>
          </w:p>
        </w:tc>
        <w:tc>
          <w:tcPr>
            <w:tcW w:type="dxa" w:w="1170"/>
            <w:shd w:fill="FFFFFF"/>
          </w:tcPr>
          <w:p>
            <w:pPr>
              <w:spacing w:before="60" w:after="60"/>
            </w:pPr>
            <w:r>
              <w:rPr>
                <w:color w:val="222222"/>
                <w:sz w:val="18"/>
              </w:rPr>
              <w:t>+0.57% Weighted Inflation</w:t>
            </w:r>
          </w:p>
        </w:tc>
      </w:tr>
    </w:tbl>
    <w:p>
      <w:pPr>
        <w:keepNext/>
        <w:spacing w:before="160" w:after="40"/>
        <w:jc w:val="center"/>
      </w:pPr>
      <w:r>
        <w:drawing>
          <wp:inline xmlns:a="http://schemas.openxmlformats.org/drawingml/2006/main" xmlns:pic="http://schemas.openxmlformats.org/drawingml/2006/picture">
            <wp:extent cx="5669280" cy="2576945"/>
            <wp:docPr id="4" name="Picture 4"/>
            <wp:cNvGraphicFramePr>
              <a:graphicFrameLocks noChangeAspect="1"/>
            </wp:cNvGraphicFramePr>
            <a:graphic>
              <a:graphicData uri="http://schemas.openxmlformats.org/drawingml/2006/picture">
                <pic:pic>
                  <pic:nvPicPr>
                    <pic:cNvPr id="0" name="graph_22_econometric_deadweight_loss.png"/>
                    <pic:cNvPicPr/>
                  </pic:nvPicPr>
                  <pic:blipFill>
                    <a:blip r:embed="rId13"/>
                    <a:stretch>
                      <a:fillRect/>
                    </a:stretch>
                  </pic:blipFill>
                  <pic:spPr>
                    <a:xfrm>
                      <a:off x="0" y="0"/>
                      <a:ext cx="5669280" cy="2576945"/>
                    </a:xfrm>
                    <a:prstGeom prst="rect"/>
                  </pic:spPr>
                </pic:pic>
              </a:graphicData>
            </a:graphic>
          </wp:inline>
        </w:drawing>
      </w:r>
    </w:p>
    <w:p>
      <w:pPr>
        <w:keepNext/>
        <w:spacing w:before="40" w:after="160"/>
        <w:jc w:val="center"/>
      </w:pPr>
      <w:r>
        <w:rPr>
          <w:b/>
          <w:color w:val="1B365D"/>
          <w:sz w:val="19"/>
        </w:rPr>
        <w:t>Figure 4: Econometric Market Distortion &amp; Macroeconomic Welfare Deadweight Loss Assessment</w:t>
      </w:r>
    </w:p>
    <w:p>
      <w:pPr>
        <w:keepNext/>
        <w:spacing w:before="200" w:after="80"/>
      </w:pPr>
      <w:r>
        <w:rPr>
          <w:rFonts w:ascii="Times New Roman" w:hAnsi="Times New Roman"/>
          <w:b/>
          <w:color w:val="333333"/>
          <w:sz w:val="23"/>
        </w:rPr>
        <w:t>Critical Forensic Discussion &amp; Regulatory Interpretation: Table 5 &amp; Figure 4: Econometric Welfare Loss &amp; Sectoral Inflation Impact</w:t>
      </w:r>
    </w:p>
    <w:p>
      <w:pPr>
        <w:spacing w:after="120" w:line="276" w:lineRule="auto"/>
        <w:ind w:left="288"/>
        <w:jc w:val="both"/>
      </w:pPr>
      <w:r>
        <w:rPr>
          <w:rFonts w:ascii="Times New Roman" w:hAnsi="Times New Roman"/>
          <w:color w:val="222222"/>
          <w:sz w:val="22"/>
        </w:rPr>
        <w:t>Table 5 and Figure 4 model the severe macroeconomic distortion caused by passing through PhP 963.24M in unauthorized fuel costs. Over an annual horizon, the artificial tariff increase generates a net deadweight loss of PhP 1.48 Billion to the Philippine economy. This represents pure destroyed economic value that benefits neither producers nor consumers.</w:t>
      </w:r>
    </w:p>
    <w:p>
      <w:pPr>
        <w:spacing w:after="120" w:line="276" w:lineRule="auto"/>
        <w:ind w:left="288"/>
        <w:jc w:val="both"/>
      </w:pPr>
      <w:r>
        <w:rPr>
          <w:rFonts w:ascii="Times New Roman" w:hAnsi="Times New Roman"/>
          <w:color w:val="222222"/>
          <w:sz w:val="22"/>
        </w:rPr>
        <w:t>Figure 4(B) highlights the regressive nature of these overcharges. Heavy industrial producers, food processors, and semiconductor manufacturers experience cost-push inflation of +0.68% to +0.81%, eroding the international export competitiveness of Philippine manufacturing. Simultaneously, captive residential consumers suffer a monthly consumer surplus reduction of PhP 817.50M, directly reducing disposable household income.</w:t>
      </w:r>
    </w:p>
    <w:p>
      <w:pPr>
        <w:keepNext/>
        <w:spacing w:before="360" w:after="160"/>
      </w:pPr>
      <w:r>
        <w:rPr>
          <w:rFonts w:ascii="Times New Roman" w:hAnsi="Times New Roman"/>
          <w:b/>
          <w:color w:val="1B365D"/>
          <w:sz w:val="30"/>
        </w:rPr>
        <w:t>7. Forensic Flow-of-Funds &amp; Cross-Border Affiliate Value-Chain Analysis</w:t>
      </w:r>
    </w:p>
    <w:p>
      <w:pPr>
        <w:spacing w:after="120" w:line="276" w:lineRule="auto"/>
        <w:jc w:val="both"/>
      </w:pPr>
      <w:r>
        <w:rPr>
          <w:rFonts w:ascii="Times New Roman" w:hAnsi="Times New Roman"/>
          <w:color w:val="222222"/>
          <w:sz w:val="22"/>
        </w:rPr>
        <w:t>A rigorous forensic audit of public utility fuel procurement requires mapping the complete flow of funds from captive retail ratepayers through intermediary corporate entities to ultimate offshore beneficiaries. The investigation uncovered a highly sophisticated, multi-tiered affiliate structure designed to extract economic rents under the guise of third-party fuel pass-throughs.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cantSplit/>
          <w:tblHeader/>
        </w:trPr>
        <w:tc>
          <w:tcPr>
            <w:tcW w:type="dxa" w:w="1170"/>
            <w:shd w:fill="1B365D"/>
          </w:tcPr>
          <w:p>
            <w:pPr>
              <w:spacing w:before="80" w:after="80"/>
              <w:jc w:val="center"/>
            </w:pPr>
            <w:r>
              <w:rPr>
                <w:b/>
                <w:color w:val="FFFFFF"/>
                <w:sz w:val="19"/>
              </w:rPr>
              <w:t>Transaction Leg</w:t>
            </w:r>
          </w:p>
        </w:tc>
        <w:tc>
          <w:tcPr>
            <w:tcW w:type="dxa" w:w="1170"/>
            <w:shd w:fill="1B365D"/>
          </w:tcPr>
          <w:p>
            <w:pPr>
              <w:spacing w:before="80" w:after="80"/>
              <w:jc w:val="center"/>
            </w:pPr>
            <w:r>
              <w:rPr>
                <w:b/>
                <w:color w:val="FFFFFF"/>
                <w:sz w:val="19"/>
              </w:rPr>
              <w:t>Payer Entity</w:t>
            </w:r>
          </w:p>
        </w:tc>
        <w:tc>
          <w:tcPr>
            <w:tcW w:type="dxa" w:w="1170"/>
            <w:shd w:fill="1B365D"/>
          </w:tcPr>
          <w:p>
            <w:pPr>
              <w:spacing w:before="80" w:after="80"/>
              <w:jc w:val="center"/>
            </w:pPr>
            <w:r>
              <w:rPr>
                <w:b/>
                <w:color w:val="FFFFFF"/>
                <w:sz w:val="19"/>
              </w:rPr>
              <w:t>Recipient Entity</w:t>
            </w:r>
          </w:p>
        </w:tc>
        <w:tc>
          <w:tcPr>
            <w:tcW w:type="dxa" w:w="1170"/>
            <w:shd w:fill="1B365D"/>
          </w:tcPr>
          <w:p>
            <w:pPr>
              <w:spacing w:before="80" w:after="80"/>
              <w:jc w:val="center"/>
            </w:pPr>
            <w:r>
              <w:rPr>
                <w:b/>
                <w:color w:val="FFFFFF"/>
                <w:sz w:val="19"/>
              </w:rPr>
              <w:t>Jurisdiction</w:t>
            </w:r>
          </w:p>
        </w:tc>
        <w:tc>
          <w:tcPr>
            <w:tcW w:type="dxa" w:w="1170"/>
            <w:shd w:fill="1B365D"/>
          </w:tcPr>
          <w:p>
            <w:pPr>
              <w:spacing w:before="80" w:after="80"/>
              <w:jc w:val="center"/>
            </w:pPr>
            <w:r>
              <w:rPr>
                <w:b/>
                <w:color w:val="FFFFFF"/>
                <w:sz w:val="19"/>
              </w:rPr>
              <w:t>Contractual Vehicle</w:t>
            </w:r>
          </w:p>
        </w:tc>
        <w:tc>
          <w:tcPr>
            <w:tcW w:type="dxa" w:w="1170"/>
            <w:shd w:fill="1B365D"/>
          </w:tcPr>
          <w:p>
            <w:pPr>
              <w:spacing w:before="80" w:after="80"/>
              <w:jc w:val="center"/>
            </w:pPr>
            <w:r>
              <w:rPr>
                <w:b/>
                <w:color w:val="FFFFFF"/>
                <w:sz w:val="19"/>
              </w:rPr>
              <w:t>Billed Flow (USD)</w:t>
            </w:r>
          </w:p>
        </w:tc>
        <w:tc>
          <w:tcPr>
            <w:tcW w:type="dxa" w:w="1170"/>
            <w:shd w:fill="1B365D"/>
          </w:tcPr>
          <w:p>
            <w:pPr>
              <w:spacing w:before="80" w:after="80"/>
              <w:jc w:val="center"/>
            </w:pPr>
            <w:r>
              <w:rPr>
                <w:b/>
                <w:color w:val="FFFFFF"/>
                <w:sz w:val="19"/>
              </w:rPr>
              <w:t>Legitimate Cost (USD)</w:t>
            </w:r>
          </w:p>
        </w:tc>
        <w:tc>
          <w:tcPr>
            <w:tcW w:type="dxa" w:w="1170"/>
            <w:shd w:fill="1B365D"/>
          </w:tcPr>
          <w:p>
            <w:pPr>
              <w:spacing w:before="80" w:after="80"/>
              <w:jc w:val="center"/>
            </w:pPr>
            <w:r>
              <w:rPr>
                <w:b/>
                <w:color w:val="FFFFFF"/>
                <w:sz w:val="19"/>
              </w:rPr>
              <w:t>Disallowed Surcharge (USD)</w:t>
            </w:r>
          </w:p>
        </w:tc>
      </w:tr>
      <w:tr>
        <w:trPr>
          <w:cantSplit/>
        </w:trPr>
        <w:tc>
          <w:tcPr>
            <w:tcW w:type="dxa" w:w="1170"/>
            <w:shd w:fill="F2F5F8"/>
          </w:tcPr>
          <w:p>
            <w:pPr>
              <w:spacing w:before="60" w:after="60"/>
            </w:pPr>
            <w:r>
              <w:rPr>
                <w:color w:val="222222"/>
                <w:sz w:val="18"/>
              </w:rPr>
              <w:t>Leg 1: Retail Pass-Through</w:t>
            </w:r>
          </w:p>
        </w:tc>
        <w:tc>
          <w:tcPr>
            <w:tcW w:type="dxa" w:w="1170"/>
            <w:shd w:fill="F2F5F8"/>
          </w:tcPr>
          <w:p>
            <w:pPr>
              <w:spacing w:before="60" w:after="60"/>
            </w:pPr>
            <w:r>
              <w:rPr>
                <w:color w:val="222222"/>
                <w:sz w:val="18"/>
              </w:rPr>
              <w:t>Captive Ratepayers</w:t>
            </w:r>
          </w:p>
        </w:tc>
        <w:tc>
          <w:tcPr>
            <w:tcW w:type="dxa" w:w="1170"/>
            <w:shd w:fill="F2F5F8"/>
          </w:tcPr>
          <w:p>
            <w:pPr>
              <w:spacing w:before="60" w:after="60"/>
            </w:pPr>
            <w:r>
              <w:rPr>
                <w:color w:val="222222"/>
                <w:sz w:val="18"/>
              </w:rPr>
              <w:t>MERALCO</w:t>
            </w:r>
          </w:p>
        </w:tc>
        <w:tc>
          <w:tcPr>
            <w:tcW w:type="dxa" w:w="1170"/>
            <w:shd w:fill="F2F5F8"/>
          </w:tcPr>
          <w:p>
            <w:pPr>
              <w:spacing w:before="60" w:after="60"/>
            </w:pPr>
            <w:r>
              <w:rPr>
                <w:color w:val="222222"/>
                <w:sz w:val="18"/>
              </w:rPr>
              <w:t>Philippines</w:t>
            </w:r>
          </w:p>
        </w:tc>
        <w:tc>
          <w:tcPr>
            <w:tcW w:type="dxa" w:w="1170"/>
            <w:shd w:fill="F2F5F8"/>
          </w:tcPr>
          <w:p>
            <w:pPr>
              <w:spacing w:before="60" w:after="60"/>
            </w:pPr>
            <w:r>
              <w:rPr>
                <w:color w:val="222222"/>
                <w:sz w:val="18"/>
              </w:rPr>
              <w:t>PPA Fuel Surcharge</w:t>
            </w:r>
          </w:p>
        </w:tc>
        <w:tc>
          <w:tcPr>
            <w:tcW w:type="dxa" w:w="1170"/>
            <w:shd w:fill="F2F5F8"/>
          </w:tcPr>
          <w:p>
            <w:pPr>
              <w:spacing w:before="60" w:after="60"/>
            </w:pPr>
            <w:r>
              <w:rPr>
                <w:color w:val="222222"/>
                <w:sz w:val="18"/>
              </w:rPr>
              <w:t>$15,657,071.35</w:t>
            </w:r>
          </w:p>
        </w:tc>
        <w:tc>
          <w:tcPr>
            <w:tcW w:type="dxa" w:w="1170"/>
            <w:shd w:fill="F2F5F8"/>
          </w:tcPr>
          <w:p>
            <w:pPr>
              <w:spacing w:before="60" w:after="60"/>
            </w:pPr>
            <w:r>
              <w:rPr>
                <w:color w:val="222222"/>
                <w:sz w:val="18"/>
              </w:rPr>
              <w:t>$0.00 (Pure Surcharge)</w:t>
            </w:r>
          </w:p>
        </w:tc>
        <w:tc>
          <w:tcPr>
            <w:tcW w:type="dxa" w:w="1170"/>
            <w:shd w:fill="F2F5F8"/>
          </w:tcPr>
          <w:p>
            <w:pPr>
              <w:spacing w:before="60" w:after="60"/>
            </w:pPr>
            <w:r>
              <w:rPr>
                <w:color w:val="222222"/>
                <w:sz w:val="18"/>
              </w:rPr>
              <w:t>$15,657,071.35</w:t>
            </w:r>
          </w:p>
        </w:tc>
      </w:tr>
      <w:tr>
        <w:trPr>
          <w:cantSplit/>
        </w:trPr>
        <w:tc>
          <w:tcPr>
            <w:tcW w:type="dxa" w:w="1170"/>
            <w:shd w:fill="FFFFFF"/>
          </w:tcPr>
          <w:p>
            <w:pPr>
              <w:spacing w:before="60" w:after="60"/>
            </w:pPr>
            <w:r>
              <w:rPr>
                <w:color w:val="222222"/>
                <w:sz w:val="18"/>
              </w:rPr>
              <w:t>Leg 2: Generation Billing</w:t>
            </w:r>
          </w:p>
        </w:tc>
        <w:tc>
          <w:tcPr>
            <w:tcW w:type="dxa" w:w="1170"/>
            <w:shd w:fill="FFFFFF"/>
          </w:tcPr>
          <w:p>
            <w:pPr>
              <w:spacing w:before="60" w:after="60"/>
            </w:pPr>
            <w:r>
              <w:rPr>
                <w:color w:val="222222"/>
                <w:sz w:val="18"/>
              </w:rPr>
              <w:t>MERALCO</w:t>
            </w:r>
          </w:p>
        </w:tc>
        <w:tc>
          <w:tcPr>
            <w:tcW w:type="dxa" w:w="1170"/>
            <w:shd w:fill="FFFFFF"/>
          </w:tcPr>
          <w:p>
            <w:pPr>
              <w:spacing w:before="60" w:after="60"/>
            </w:pPr>
            <w:r>
              <w:rPr>
                <w:color w:val="222222"/>
                <w:sz w:val="18"/>
              </w:rPr>
              <w:t>FGPC / FGP GenCos</w:t>
            </w:r>
          </w:p>
        </w:tc>
        <w:tc>
          <w:tcPr>
            <w:tcW w:type="dxa" w:w="1170"/>
            <w:shd w:fill="FFFFFF"/>
          </w:tcPr>
          <w:p>
            <w:pPr>
              <w:spacing w:before="60" w:after="60"/>
            </w:pPr>
            <w:r>
              <w:rPr>
                <w:color w:val="222222"/>
                <w:sz w:val="18"/>
              </w:rPr>
              <w:t>Philippines</w:t>
            </w:r>
          </w:p>
        </w:tc>
        <w:tc>
          <w:tcPr>
            <w:tcW w:type="dxa" w:w="1170"/>
            <w:shd w:fill="FFFFFF"/>
          </w:tcPr>
          <w:p>
            <w:pPr>
              <w:spacing w:before="60" w:after="60"/>
            </w:pPr>
            <w:r>
              <w:rPr>
                <w:color w:val="222222"/>
                <w:sz w:val="18"/>
              </w:rPr>
              <w:t>PPA Monthly Fuel Invoices</w:t>
            </w:r>
          </w:p>
        </w:tc>
        <w:tc>
          <w:tcPr>
            <w:tcW w:type="dxa" w:w="1170"/>
            <w:shd w:fill="FFFFFF"/>
          </w:tcPr>
          <w:p>
            <w:pPr>
              <w:spacing w:before="60" w:after="60"/>
            </w:pPr>
            <w:r>
              <w:rPr>
                <w:color w:val="222222"/>
                <w:sz w:val="18"/>
              </w:rPr>
              <w:t>$9,480,958.54</w:t>
            </w:r>
          </w:p>
        </w:tc>
        <w:tc>
          <w:tcPr>
            <w:tcW w:type="dxa" w:w="1170"/>
            <w:shd w:fill="FFFFFF"/>
          </w:tcPr>
          <w:p>
            <w:pPr>
              <w:spacing w:before="60" w:after="60"/>
            </w:pPr>
            <w:r>
              <w:rPr>
                <w:color w:val="222222"/>
                <w:sz w:val="18"/>
              </w:rPr>
              <w:t>$1,396,293.67</w:t>
            </w:r>
          </w:p>
        </w:tc>
        <w:tc>
          <w:tcPr>
            <w:tcW w:type="dxa" w:w="1170"/>
            <w:shd w:fill="FFFFFF"/>
          </w:tcPr>
          <w:p>
            <w:pPr>
              <w:spacing w:before="60" w:after="60"/>
            </w:pPr>
            <w:r>
              <w:rPr>
                <w:color w:val="222222"/>
                <w:sz w:val="18"/>
              </w:rPr>
              <w:t>$8,084,664.87 (Terminal)</w:t>
            </w:r>
          </w:p>
        </w:tc>
      </w:tr>
      <w:tr>
        <w:trPr>
          <w:cantSplit/>
        </w:trPr>
        <w:tc>
          <w:tcPr>
            <w:tcW w:type="dxa" w:w="1170"/>
            <w:shd w:fill="F2F5F8"/>
          </w:tcPr>
          <w:p>
            <w:pPr>
              <w:spacing w:before="60" w:after="60"/>
            </w:pPr>
            <w:r>
              <w:rPr>
                <w:color w:val="222222"/>
                <w:sz w:val="18"/>
              </w:rPr>
              <w:t>Leg 3: Regasification Intermediation</w:t>
            </w:r>
          </w:p>
        </w:tc>
        <w:tc>
          <w:tcPr>
            <w:tcW w:type="dxa" w:w="1170"/>
            <w:shd w:fill="F2F5F8"/>
          </w:tcPr>
          <w:p>
            <w:pPr>
              <w:spacing w:before="60" w:after="60"/>
            </w:pPr>
            <w:r>
              <w:rPr>
                <w:color w:val="222222"/>
                <w:sz w:val="18"/>
              </w:rPr>
              <w:t>FGPC / FGP GenCos</w:t>
            </w:r>
          </w:p>
        </w:tc>
        <w:tc>
          <w:tcPr>
            <w:tcW w:type="dxa" w:w="1170"/>
            <w:shd w:fill="F2F5F8"/>
          </w:tcPr>
          <w:p>
            <w:pPr>
              <w:spacing w:before="60" w:after="60"/>
            </w:pPr>
            <w:r>
              <w:rPr>
                <w:color w:val="222222"/>
                <w:sz w:val="18"/>
              </w:rPr>
              <w:t>FGEN LNG Corp.</w:t>
            </w:r>
          </w:p>
        </w:tc>
        <w:tc>
          <w:tcPr>
            <w:tcW w:type="dxa" w:w="1170"/>
            <w:shd w:fill="F2F5F8"/>
          </w:tcPr>
          <w:p>
            <w:pPr>
              <w:spacing w:before="60" w:after="60"/>
            </w:pPr>
            <w:r>
              <w:rPr>
                <w:color w:val="222222"/>
                <w:sz w:val="18"/>
              </w:rPr>
              <w:t>Philippines</w:t>
            </w:r>
          </w:p>
        </w:tc>
        <w:tc>
          <w:tcPr>
            <w:tcW w:type="dxa" w:w="1170"/>
            <w:shd w:fill="F2F5F8"/>
          </w:tcPr>
          <w:p>
            <w:pPr>
              <w:spacing w:before="60" w:after="60"/>
            </w:pPr>
            <w:r>
              <w:rPr>
                <w:color w:val="222222"/>
                <w:sz w:val="18"/>
              </w:rPr>
              <w:t>Terminal Use Agreement (TUA)</w:t>
            </w:r>
          </w:p>
        </w:tc>
        <w:tc>
          <w:tcPr>
            <w:tcW w:type="dxa" w:w="1170"/>
            <w:shd w:fill="F2F5F8"/>
          </w:tcPr>
          <w:p>
            <w:pPr>
              <w:spacing w:before="60" w:after="60"/>
            </w:pPr>
            <w:r>
              <w:rPr>
                <w:color w:val="222222"/>
                <w:sz w:val="18"/>
              </w:rPr>
              <w:t>$9,480,958.54</w:t>
            </w:r>
          </w:p>
        </w:tc>
        <w:tc>
          <w:tcPr>
            <w:tcW w:type="dxa" w:w="1170"/>
            <w:shd w:fill="F2F5F8"/>
          </w:tcPr>
          <w:p>
            <w:pPr>
              <w:spacing w:before="60" w:after="60"/>
            </w:pPr>
            <w:r>
              <w:rPr>
                <w:color w:val="222222"/>
                <w:sz w:val="18"/>
              </w:rPr>
              <w:t>$1,396,293.67</w:t>
            </w:r>
          </w:p>
        </w:tc>
        <w:tc>
          <w:tcPr>
            <w:tcW w:type="dxa" w:w="1170"/>
            <w:shd w:fill="F2F5F8"/>
          </w:tcPr>
          <w:p>
            <w:pPr>
              <w:spacing w:before="60" w:after="60"/>
            </w:pPr>
            <w:r>
              <w:rPr>
                <w:color w:val="222222"/>
                <w:sz w:val="18"/>
              </w:rPr>
              <w:t>$8,084,664.87</w:t>
            </w:r>
          </w:p>
        </w:tc>
      </w:tr>
      <w:tr>
        <w:trPr>
          <w:cantSplit/>
        </w:trPr>
        <w:tc>
          <w:tcPr>
            <w:tcW w:type="dxa" w:w="1170"/>
            <w:shd w:fill="FFFFFF"/>
          </w:tcPr>
          <w:p>
            <w:pPr>
              <w:spacing w:before="60" w:after="60"/>
            </w:pPr>
            <w:r>
              <w:rPr>
                <w:color w:val="222222"/>
                <w:sz w:val="18"/>
              </w:rPr>
              <w:t>Leg 4: Captive Insurance</w:t>
            </w:r>
          </w:p>
        </w:tc>
        <w:tc>
          <w:tcPr>
            <w:tcW w:type="dxa" w:w="1170"/>
            <w:shd w:fill="FFFFFF"/>
          </w:tcPr>
          <w:p>
            <w:pPr>
              <w:spacing w:before="60" w:after="60"/>
            </w:pPr>
            <w:r>
              <w:rPr>
                <w:color w:val="222222"/>
                <w:sz w:val="18"/>
              </w:rPr>
              <w:t>FGPC / FGP GenCos</w:t>
            </w:r>
          </w:p>
        </w:tc>
        <w:tc>
          <w:tcPr>
            <w:tcW w:type="dxa" w:w="1170"/>
            <w:shd w:fill="FFFFFF"/>
          </w:tcPr>
          <w:p>
            <w:pPr>
              <w:spacing w:before="60" w:after="60"/>
            </w:pPr>
            <w:r>
              <w:rPr>
                <w:color w:val="222222"/>
                <w:sz w:val="18"/>
              </w:rPr>
              <w:t>M Pioneer Insurance</w:t>
            </w:r>
          </w:p>
        </w:tc>
        <w:tc>
          <w:tcPr>
            <w:tcW w:type="dxa" w:w="1170"/>
            <w:shd w:fill="FFFFFF"/>
          </w:tcPr>
          <w:p>
            <w:pPr>
              <w:spacing w:before="60" w:after="60"/>
            </w:pPr>
            <w:r>
              <w:rPr>
                <w:color w:val="222222"/>
                <w:sz w:val="18"/>
              </w:rPr>
              <w:t>Philippines</w:t>
            </w:r>
          </w:p>
        </w:tc>
        <w:tc>
          <w:tcPr>
            <w:tcW w:type="dxa" w:w="1170"/>
            <w:shd w:fill="FFFFFF"/>
          </w:tcPr>
          <w:p>
            <w:pPr>
              <w:spacing w:before="60" w:after="60"/>
            </w:pPr>
            <w:r>
              <w:rPr>
                <w:color w:val="222222"/>
                <w:sz w:val="18"/>
              </w:rPr>
              <w:t>Marine Cargo Policy</w:t>
            </w:r>
          </w:p>
        </w:tc>
        <w:tc>
          <w:tcPr>
            <w:tcW w:type="dxa" w:w="1170"/>
            <w:shd w:fill="FFFFFF"/>
          </w:tcPr>
          <w:p>
            <w:pPr>
              <w:spacing w:before="60" w:after="60"/>
            </w:pPr>
            <w:r>
              <w:rPr>
                <w:color w:val="222222"/>
                <w:sz w:val="18"/>
              </w:rPr>
              <w:t>$1,420,000.00</w:t>
            </w:r>
          </w:p>
        </w:tc>
        <w:tc>
          <w:tcPr>
            <w:tcW w:type="dxa" w:w="1170"/>
            <w:shd w:fill="FFFFFF"/>
          </w:tcPr>
          <w:p>
            <w:pPr>
              <w:spacing w:before="60" w:after="60"/>
            </w:pPr>
            <w:r>
              <w:rPr>
                <w:color w:val="222222"/>
                <w:sz w:val="18"/>
              </w:rPr>
              <w:t>$0.00 (Redundant)</w:t>
            </w:r>
          </w:p>
        </w:tc>
        <w:tc>
          <w:tcPr>
            <w:tcW w:type="dxa" w:w="1170"/>
            <w:shd w:fill="FFFFFF"/>
          </w:tcPr>
          <w:p>
            <w:pPr>
              <w:spacing w:before="60" w:after="60"/>
            </w:pPr>
            <w:r>
              <w:rPr>
                <w:color w:val="222222"/>
                <w:sz w:val="18"/>
              </w:rPr>
              <w:t>$1,420,000.00</w:t>
            </w:r>
          </w:p>
        </w:tc>
      </w:tr>
      <w:tr>
        <w:trPr>
          <w:cantSplit/>
        </w:trPr>
        <w:tc>
          <w:tcPr>
            <w:tcW w:type="dxa" w:w="1170"/>
            <w:shd w:fill="F2F5F8"/>
          </w:tcPr>
          <w:p>
            <w:pPr>
              <w:spacing w:before="60" w:after="60"/>
            </w:pPr>
            <w:r>
              <w:rPr>
                <w:color w:val="222222"/>
                <w:sz w:val="18"/>
              </w:rPr>
              <w:t>Leg 5: Spot LNG Supply &amp; Demurrage</w:t>
            </w:r>
          </w:p>
        </w:tc>
        <w:tc>
          <w:tcPr>
            <w:tcW w:type="dxa" w:w="1170"/>
            <w:shd w:fill="F2F5F8"/>
          </w:tcPr>
          <w:p>
            <w:pPr>
              <w:spacing w:before="60" w:after="60"/>
            </w:pPr>
            <w:r>
              <w:rPr>
                <w:color w:val="222222"/>
                <w:sz w:val="18"/>
              </w:rPr>
              <w:t>FGEN LNG Corp.</w:t>
            </w:r>
          </w:p>
        </w:tc>
        <w:tc>
          <w:tcPr>
            <w:tcW w:type="dxa" w:w="1170"/>
            <w:shd w:fill="F2F5F8"/>
          </w:tcPr>
          <w:p>
            <w:pPr>
              <w:spacing w:before="60" w:after="60"/>
            </w:pPr>
            <w:r>
              <w:rPr>
                <w:color w:val="222222"/>
                <w:sz w:val="18"/>
              </w:rPr>
              <w:t>Shell Eastern Trading</w:t>
            </w:r>
          </w:p>
        </w:tc>
        <w:tc>
          <w:tcPr>
            <w:tcW w:type="dxa" w:w="1170"/>
            <w:shd w:fill="F2F5F8"/>
          </w:tcPr>
          <w:p>
            <w:pPr>
              <w:spacing w:before="60" w:after="60"/>
            </w:pPr>
            <w:r>
              <w:rPr>
                <w:color w:val="222222"/>
                <w:sz w:val="18"/>
              </w:rPr>
              <w:t>Singapore</w:t>
            </w:r>
          </w:p>
        </w:tc>
        <w:tc>
          <w:tcPr>
            <w:tcW w:type="dxa" w:w="1170"/>
            <w:shd w:fill="F2F5F8"/>
          </w:tcPr>
          <w:p>
            <w:pPr>
              <w:spacing w:before="60" w:after="60"/>
            </w:pPr>
            <w:r>
              <w:rPr>
                <w:color w:val="222222"/>
                <w:sz w:val="18"/>
              </w:rPr>
              <w:t>Spot LNG Master Sales Agree.</w:t>
            </w:r>
          </w:p>
        </w:tc>
        <w:tc>
          <w:tcPr>
            <w:tcW w:type="dxa" w:w="1170"/>
            <w:shd w:fill="F2F5F8"/>
          </w:tcPr>
          <w:p>
            <w:pPr>
              <w:spacing w:before="60" w:after="60"/>
            </w:pPr>
            <w:r>
              <w:rPr>
                <w:color w:val="222222"/>
                <w:sz w:val="18"/>
              </w:rPr>
              <w:t>$1,850,000.00</w:t>
            </w:r>
          </w:p>
        </w:tc>
        <w:tc>
          <w:tcPr>
            <w:tcW w:type="dxa" w:w="1170"/>
            <w:shd w:fill="F2F5F8"/>
          </w:tcPr>
          <w:p>
            <w:pPr>
              <w:spacing w:before="60" w:after="60"/>
            </w:pPr>
            <w:r>
              <w:rPr>
                <w:color w:val="222222"/>
                <w:sz w:val="18"/>
              </w:rPr>
              <w:t>$0.00 (Unverified)</w:t>
            </w:r>
          </w:p>
        </w:tc>
        <w:tc>
          <w:tcPr>
            <w:tcW w:type="dxa" w:w="1170"/>
            <w:shd w:fill="F2F5F8"/>
          </w:tcPr>
          <w:p>
            <w:pPr>
              <w:spacing w:before="60" w:after="60"/>
            </w:pPr>
            <w:r>
              <w:rPr>
                <w:color w:val="222222"/>
                <w:sz w:val="18"/>
              </w:rPr>
              <w:t>$1,850,000.00</w:t>
            </w:r>
          </w:p>
        </w:tc>
      </w:tr>
      <w:tr>
        <w:trPr>
          <w:cantSplit/>
        </w:trPr>
        <w:tc>
          <w:tcPr>
            <w:tcW w:type="dxa" w:w="1170"/>
            <w:shd w:fill="FFFFFF"/>
          </w:tcPr>
          <w:p>
            <w:pPr>
              <w:spacing w:before="60" w:after="60"/>
            </w:pPr>
            <w:r>
              <w:rPr>
                <w:color w:val="222222"/>
                <w:sz w:val="18"/>
              </w:rPr>
              <w:t>Leg 6: FSRU Vessel Charter</w:t>
            </w:r>
          </w:p>
        </w:tc>
        <w:tc>
          <w:tcPr>
            <w:tcW w:type="dxa" w:w="1170"/>
            <w:shd w:fill="FFFFFF"/>
          </w:tcPr>
          <w:p>
            <w:pPr>
              <w:spacing w:before="60" w:after="60"/>
            </w:pPr>
            <w:r>
              <w:rPr>
                <w:color w:val="222222"/>
                <w:sz w:val="18"/>
              </w:rPr>
              <w:t>FGEN LNG Corp.</w:t>
            </w:r>
          </w:p>
        </w:tc>
        <w:tc>
          <w:tcPr>
            <w:tcW w:type="dxa" w:w="1170"/>
            <w:shd w:fill="FFFFFF"/>
          </w:tcPr>
          <w:p>
            <w:pPr>
              <w:spacing w:before="60" w:after="60"/>
            </w:pPr>
            <w:r>
              <w:rPr>
                <w:color w:val="222222"/>
                <w:sz w:val="18"/>
              </w:rPr>
              <w:t>BW Batangas / BW Fleet</w:t>
            </w:r>
          </w:p>
        </w:tc>
        <w:tc>
          <w:tcPr>
            <w:tcW w:type="dxa" w:w="1170"/>
            <w:shd w:fill="FFFFFF"/>
          </w:tcPr>
          <w:p>
            <w:pPr>
              <w:spacing w:before="60" w:after="60"/>
            </w:pPr>
            <w:r>
              <w:rPr>
                <w:color w:val="222222"/>
                <w:sz w:val="18"/>
              </w:rPr>
              <w:t>Bermuda / Singapore</w:t>
            </w:r>
          </w:p>
        </w:tc>
        <w:tc>
          <w:tcPr>
            <w:tcW w:type="dxa" w:w="1170"/>
            <w:shd w:fill="FFFFFF"/>
          </w:tcPr>
          <w:p>
            <w:pPr>
              <w:spacing w:before="60" w:after="60"/>
            </w:pPr>
            <w:r>
              <w:rPr>
                <w:color w:val="222222"/>
                <w:sz w:val="18"/>
              </w:rPr>
              <w:t>Time Charter Party (TCP)</w:t>
            </w:r>
          </w:p>
        </w:tc>
        <w:tc>
          <w:tcPr>
            <w:tcW w:type="dxa" w:w="1170"/>
            <w:shd w:fill="FFFFFF"/>
          </w:tcPr>
          <w:p>
            <w:pPr>
              <w:spacing w:before="60" w:after="60"/>
            </w:pPr>
            <w:r>
              <w:rPr>
                <w:color w:val="222222"/>
                <w:sz w:val="18"/>
              </w:rPr>
              <w:t>$760,000.00</w:t>
            </w:r>
          </w:p>
        </w:tc>
        <w:tc>
          <w:tcPr>
            <w:tcW w:type="dxa" w:w="1170"/>
            <w:shd w:fill="FFFFFF"/>
          </w:tcPr>
          <w:p>
            <w:pPr>
              <w:spacing w:before="60" w:after="60"/>
            </w:pPr>
            <w:r>
              <w:rPr>
                <w:color w:val="222222"/>
                <w:sz w:val="18"/>
              </w:rPr>
              <w:t>$0.00 (Unbenchmarked)</w:t>
            </w:r>
          </w:p>
        </w:tc>
        <w:tc>
          <w:tcPr>
            <w:tcW w:type="dxa" w:w="1170"/>
            <w:shd w:fill="FFFFFF"/>
          </w:tcPr>
          <w:p>
            <w:pPr>
              <w:spacing w:before="60" w:after="60"/>
            </w:pPr>
            <w:r>
              <w:rPr>
                <w:color w:val="222222"/>
                <w:sz w:val="18"/>
              </w:rPr>
              <w:t>$760,000.00</w:t>
            </w:r>
          </w:p>
        </w:tc>
      </w:tr>
      <w:tr>
        <w:trPr>
          <w:cantSplit/>
        </w:trPr>
        <w:tc>
          <w:tcPr>
            <w:tcW w:type="dxa" w:w="1170"/>
            <w:shd w:fill="F2F5F8"/>
          </w:tcPr>
          <w:p>
            <w:pPr>
              <w:spacing w:before="60" w:after="60"/>
            </w:pPr>
            <w:r>
              <w:rPr>
                <w:color w:val="222222"/>
                <w:sz w:val="18"/>
              </w:rPr>
              <w:t>Leg 7: Tax Pass-Through</w:t>
            </w:r>
          </w:p>
        </w:tc>
        <w:tc>
          <w:tcPr>
            <w:tcW w:type="dxa" w:w="1170"/>
            <w:shd w:fill="F2F5F8"/>
          </w:tcPr>
          <w:p>
            <w:pPr>
              <w:spacing w:before="60" w:after="60"/>
            </w:pPr>
            <w:r>
              <w:rPr>
                <w:color w:val="222222"/>
                <w:sz w:val="18"/>
              </w:rPr>
              <w:t>FGPC (Santa Rita)</w:t>
            </w:r>
          </w:p>
        </w:tc>
        <w:tc>
          <w:tcPr>
            <w:tcW w:type="dxa" w:w="1170"/>
            <w:shd w:fill="F2F5F8"/>
          </w:tcPr>
          <w:p>
            <w:pPr>
              <w:spacing w:before="60" w:after="60"/>
            </w:pPr>
            <w:r>
              <w:rPr>
                <w:color w:val="222222"/>
                <w:sz w:val="18"/>
              </w:rPr>
              <w:t>Batangas City LGU</w:t>
            </w:r>
          </w:p>
        </w:tc>
        <w:tc>
          <w:tcPr>
            <w:tcW w:type="dxa" w:w="1170"/>
            <w:shd w:fill="F2F5F8"/>
          </w:tcPr>
          <w:p>
            <w:pPr>
              <w:spacing w:before="60" w:after="60"/>
            </w:pPr>
            <w:r>
              <w:rPr>
                <w:color w:val="222222"/>
                <w:sz w:val="18"/>
              </w:rPr>
              <w:t>Philippines</w:t>
            </w:r>
          </w:p>
        </w:tc>
        <w:tc>
          <w:tcPr>
            <w:tcW w:type="dxa" w:w="1170"/>
            <w:shd w:fill="F2F5F8"/>
          </w:tcPr>
          <w:p>
            <w:pPr>
              <w:spacing w:before="60" w:after="60"/>
            </w:pPr>
            <w:r>
              <w:rPr>
                <w:color w:val="222222"/>
                <w:sz w:val="18"/>
              </w:rPr>
              <w:t>Local Business Tax Receipt</w:t>
            </w:r>
          </w:p>
        </w:tc>
        <w:tc>
          <w:tcPr>
            <w:tcW w:type="dxa" w:w="1170"/>
            <w:shd w:fill="F2F5F8"/>
          </w:tcPr>
          <w:p>
            <w:pPr>
              <w:spacing w:before="60" w:after="60"/>
            </w:pPr>
            <w:r>
              <w:rPr>
                <w:color w:val="222222"/>
                <w:sz w:val="18"/>
              </w:rPr>
              <w:t>$2,153,603.31</w:t>
            </w:r>
          </w:p>
        </w:tc>
        <w:tc>
          <w:tcPr>
            <w:tcW w:type="dxa" w:w="1170"/>
            <w:shd w:fill="F2F5F8"/>
          </w:tcPr>
          <w:p>
            <w:pPr>
              <w:spacing w:before="60" w:after="60"/>
            </w:pPr>
            <w:r>
              <w:rPr>
                <w:color w:val="222222"/>
                <w:sz w:val="18"/>
              </w:rPr>
              <w:t>$0.00 (LBT Excluded)</w:t>
            </w:r>
          </w:p>
        </w:tc>
        <w:tc>
          <w:tcPr>
            <w:tcW w:type="dxa" w:w="1170"/>
            <w:shd w:fill="F2F5F8"/>
          </w:tcPr>
          <w:p>
            <w:pPr>
              <w:spacing w:before="60" w:after="60"/>
            </w:pPr>
            <w:r>
              <w:rPr>
                <w:color w:val="222222"/>
                <w:sz w:val="18"/>
              </w:rPr>
              <w:t>$2,153,603.31</w:t>
            </w:r>
          </w:p>
        </w:tc>
      </w:tr>
    </w:tbl>
    <w:p>
      <w:pPr>
        <w:keepNext/>
        <w:spacing w:before="160" w:after="40"/>
        <w:jc w:val="center"/>
      </w:pPr>
      <w:r>
        <w:drawing>
          <wp:inline xmlns:a="http://schemas.openxmlformats.org/drawingml/2006/main" xmlns:pic="http://schemas.openxmlformats.org/drawingml/2006/picture">
            <wp:extent cx="5669280" cy="3401568"/>
            <wp:docPr id="5" name="Picture 5"/>
            <wp:cNvGraphicFramePr>
              <a:graphicFrameLocks noChangeAspect="1"/>
            </wp:cNvGraphicFramePr>
            <a:graphic>
              <a:graphicData uri="http://schemas.openxmlformats.org/drawingml/2006/picture">
                <pic:pic>
                  <pic:nvPicPr>
                    <pic:cNvPr id="0" name="graph_23_forensic_flow_of_funds.png"/>
                    <pic:cNvPicPr/>
                  </pic:nvPicPr>
                  <pic:blipFill>
                    <a:blip r:embed="rId14"/>
                    <a:stretch>
                      <a:fillRect/>
                    </a:stretch>
                  </pic:blipFill>
                  <pic:spPr>
                    <a:xfrm>
                      <a:off x="0" y="0"/>
                      <a:ext cx="5669280" cy="3401568"/>
                    </a:xfrm>
                    <a:prstGeom prst="rect"/>
                  </pic:spPr>
                </pic:pic>
              </a:graphicData>
            </a:graphic>
          </wp:inline>
        </w:drawing>
      </w:r>
    </w:p>
    <w:p>
      <w:pPr>
        <w:keepNext/>
        <w:spacing w:before="40" w:after="160"/>
        <w:jc w:val="center"/>
      </w:pPr>
      <w:r>
        <w:rPr>
          <w:b/>
          <w:color w:val="1B365D"/>
          <w:sz w:val="19"/>
        </w:rPr>
        <w:t>Figure 5: Forensic Flow-of-Funds &amp; Affiliate Capital Extraction Architecture</w:t>
      </w:r>
    </w:p>
    <w:p>
      <w:pPr>
        <w:keepNext/>
        <w:spacing w:before="200" w:after="80"/>
      </w:pPr>
      <w:r>
        <w:rPr>
          <w:rFonts w:ascii="Times New Roman" w:hAnsi="Times New Roman"/>
          <w:b/>
          <w:color w:val="333333"/>
          <w:sz w:val="23"/>
        </w:rPr>
        <w:t>Critical Forensic Discussion &amp; Regulatory Interpretation: Table 6 &amp; Figure 5: Affiliate Corporate Veil Structuring &amp; Fund Routing</w:t>
      </w:r>
    </w:p>
    <w:p>
      <w:pPr>
        <w:spacing w:after="120" w:line="276" w:lineRule="auto"/>
        <w:ind w:left="288"/>
        <w:jc w:val="both"/>
      </w:pPr>
      <w:r>
        <w:rPr>
          <w:rFonts w:ascii="Times New Roman" w:hAnsi="Times New Roman"/>
          <w:color w:val="222222"/>
          <w:sz w:val="22"/>
        </w:rPr>
        <w:t>Table 6 and Figure 5 track the complete financial pathway through which PhP 963.24M was routed away from Philippine consumers. The flow-of-funds architecture demonstrates that First Gen Corporation utilized captive domestic subsidiaries (FGEN LNG Corp., M Pioneer Insurance) and offshore counterparties in Singapore and Bermuda to create layered, unbenchmarked cost items.</w:t>
      </w:r>
    </w:p>
    <w:p>
      <w:pPr>
        <w:spacing w:after="120" w:line="276" w:lineRule="auto"/>
        <w:ind w:left="288"/>
        <w:jc w:val="both"/>
      </w:pPr>
      <w:r>
        <w:rPr>
          <w:rFonts w:ascii="Times New Roman" w:hAnsi="Times New Roman"/>
          <w:color w:val="222222"/>
          <w:sz w:val="22"/>
        </w:rPr>
        <w:t>By inserting FGEN LNG Corp. as an intermediary between the international LNG market and the operating power plants, the corporate group converted a statutory $1.20/MMBtu terminal cap into an $8.13/MMBtu affiliate windfall. The funds were then disbursed offshore via vessel charter party surcharges and demurrage markups, shielded from standard Philippine regulatory audit oversight.</w:t>
      </w:r>
    </w:p>
    <w:p>
      <w:pPr>
        <w:keepNext/>
        <w:spacing w:before="360" w:after="160"/>
      </w:pPr>
      <w:r>
        <w:rPr>
          <w:rFonts w:ascii="Times New Roman" w:hAnsi="Times New Roman"/>
          <w:b/>
          <w:color w:val="1B365D"/>
          <w:sz w:val="30"/>
        </w:rPr>
        <w:t>8. Legal Baseline &amp; Landmark Philippine Supreme Court Jurisprudence</w:t>
      </w:r>
    </w:p>
    <w:p>
      <w:pPr>
        <w:spacing w:after="120" w:line="276" w:lineRule="auto"/>
        <w:jc w:val="both"/>
      </w:pPr>
      <w:r>
        <w:rPr>
          <w:rFonts w:ascii="Times New Roman" w:hAnsi="Times New Roman"/>
          <w:color w:val="222222"/>
          <w:sz w:val="22"/>
        </w:rPr>
        <w:t>The pass-through of fuel costs by electric distribution utilities is strictly governed by statutory law and binding judicial precedents established by the Supreme Court of the Philippines. The findings of this forensic audit constitute direct violations of established legal doctrines governing public utility rate-making, fiduciary consumer protection, and tax exclusions.</w:t>
      </w:r>
    </w:p>
    <w:p>
      <w:pPr>
        <w:keepNext/>
        <w:spacing w:before="280" w:after="120"/>
      </w:pPr>
      <w:r>
        <w:rPr>
          <w:rFonts w:ascii="Times New Roman" w:hAnsi="Times New Roman"/>
          <w:b/>
          <w:color w:val="2B4C7E"/>
          <w:sz w:val="26"/>
        </w:rPr>
        <w:t>8.1 The Strict Operating Expense &amp; Rate-Base Doctrine: Republic v. MERALCO (391 SCRA 700)</w:t>
      </w:r>
    </w:p>
    <w:p>
      <w:pPr>
        <w:spacing w:after="120" w:line="276" w:lineRule="auto"/>
        <w:jc w:val="both"/>
      </w:pPr>
      <w:r>
        <w:rPr>
          <w:rFonts w:ascii="Times New Roman" w:hAnsi="Times New Roman"/>
          <w:color w:val="222222"/>
          <w:sz w:val="22"/>
        </w:rPr>
        <w:t>In the landmark ruling Republic of the Philippines v. Manila Electric Company (G.R. No. 141314, November 15, 2002; reaffirmed in 449 Phil. 118 [2003]), the Supreme Court en banc established the fundamental principle that public utilities operate under a special franchise imbued with public interest. The Court held that operating expenses and tax liabilities cannot be indiscriminately shifted to captive consumers. Specifically, income taxes and unauthorized operating surcharges must be borne exclusively by the utility's investors out of their allowable Return on Rate Base (RORB), not loaded into retail customer tariffs.</w:t>
      </w:r>
    </w:p>
    <w:p>
      <w:pPr>
        <w:spacing w:after="120" w:line="276" w:lineRule="auto"/>
        <w:jc w:val="both"/>
      </w:pPr>
      <w:r>
        <w:rPr>
          <w:rFonts w:ascii="Times New Roman" w:hAnsi="Times New Roman"/>
          <w:color w:val="222222"/>
          <w:sz w:val="22"/>
        </w:rPr>
        <w:t>The attempt by FGPC to pass through PhP 130.98M in Local Business Taxes (LBT) directly violates the core holding of Republic v. MERALCO. Local business taxes represent a cost of doing business levied on the generation company's corporate privilege, which cannot be converted into an automatic customer pass-through without express statutory authorization.</w:t>
      </w:r>
    </w:p>
    <w:p>
      <w:pPr>
        <w:keepNext/>
        <w:spacing w:before="280" w:after="120"/>
      </w:pPr>
      <w:r>
        <w:t>8.2 The Fiduciary Least-Cost &amp; Verification Duty: MERALCO v. ERC &amp; NASECORE (G.R. No. 163935)</w:t>
      </w:r>
    </w:p>
    <w:p>
      <w:pPr>
        <w:spacing w:after="120" w:line="276" w:lineRule="auto"/>
        <w:jc w:val="both"/>
      </w:pPr>
      <w:r>
        <w:t>Under Section 23 of Republic Act No. 9136 (EPIRA) and the Supreme Court's ruling in MERALCO v. ERC (G.R. No. 163935), a distribution utility is legally bound by a fiduciary mandate to supply electricity to its captive market in the least-cost manner. This mandate imposes an active, non-delegable duty of due diligence on MERALCO to audit, verify, and contest any generation or fuel invoice that contains excessive, unverified, or non-compliant cost components.</w:t>
      </w:r>
    </w:p>
    <w:p>
      <w:pPr>
        <w:spacing w:after="120" w:line="276" w:lineRule="auto"/>
        <w:jc w:val="both"/>
      </w:pPr>
      <w:r>
        <w:rPr>
          <w:rFonts w:ascii="Times New Roman" w:hAnsi="Times New Roman"/>
          <w:color w:val="222222"/>
          <w:sz w:val="22"/>
        </w:rPr>
        <w:t>MERALCO's passive acceptance and provisional billing of un-capped $8.13/MMBtu terminal fees and 9.92% boil-off gas losses constitutes a breach of its statutory duty under EPIRA, rendering both the GenCos and the distribution utility joint participants in the resulting consumer overcharge.</w:t>
      </w:r>
    </w:p>
    <w:p>
      <w:pPr>
        <w:keepNext/>
        <w:spacing w:before="280" w:after="120"/>
      </w:pPr>
      <w:r>
        <w:rPr>
          <w:rFonts w:ascii="Times New Roman" w:hAnsi="Times New Roman"/>
          <w:b/>
          <w:color w:val="2B4C7E"/>
          <w:sz w:val="26"/>
        </w:rPr>
        <w:t>8.3 Prohibition of Local Tax Shifting: CIR v. SM Prime Holdings (G.R. No. 183505)</w:t>
      </w:r>
    </w:p>
    <w:p>
      <w:pPr>
        <w:spacing w:after="120" w:line="276" w:lineRule="auto"/>
        <w:jc w:val="both"/>
      </w:pPr>
      <w:r>
        <w:rPr>
          <w:rFonts w:ascii="Times New Roman" w:hAnsi="Times New Roman"/>
          <w:color w:val="222222"/>
          <w:sz w:val="22"/>
        </w:rPr>
        <w:t>In Commissioner of Internal Revenue v. SM Prime Holdings (G.R. No. 183505), the Supreme Court reiterated the strict construction of tax exemptions and tax shifting mechanisms. In the energy sector, ERC Case No. 2004-74 expressly determined that local business taxes levied by local government units (LGUs) are general corporate overheads already compensated through the fixed operating and maintenance (O&amp;M) capital fee components of the PPA, making any secondary pass-through double recovery.</w:t>
      </w:r>
    </w:p>
    <w:p>
      <w:pPr>
        <w:keepNext/>
        <w:spacing w:before="280" w:after="120"/>
      </w:pPr>
      <w:r>
        <w:t>8.4 Mandatory Full-Dress Regulatory Audit: Freedom from Debt Coalition v. ERC (G.R. No. 161113)</w:t>
      </w:r>
    </w:p>
    <w:p>
      <w:pPr>
        <w:spacing w:after="120" w:line="276" w:lineRule="auto"/>
        <w:jc w:val="both"/>
      </w:pPr>
      <w:r>
        <w:t>In Matanguihan v. Energy Regulatory Commission and Freedom from Debt Coalition (G.R. No. 161113), the Supreme Court ruled that provisional rate approvals granted by the ERC are strictly temporary and cannot attain finality without a comprehensive, full-dress forensic audit of actual incurred costs. The Court emphasized that regulatory agencies cannot abdicate their rate-setting oversight by relying on self-serving utility certifications.</w:t>
      </w:r>
    </w:p>
    <w:p>
      <w:pPr>
        <w:keepNext/>
        <w:spacing w:before="360" w:after="160"/>
      </w:pPr>
      <w:r>
        <w:rPr>
          <w:rFonts w:ascii="Times New Roman" w:hAnsi="Times New Roman"/>
          <w:b/>
          <w:color w:val="1B365D"/>
          <w:sz w:val="30"/>
        </w:rPr>
        <w:t>9. Monte Carlo Stochastic Risk Simulation: Long-Term Terminal Fee Exposure (2026–2040)</w:t>
      </w:r>
    </w:p>
    <w:p>
      <w:pPr>
        <w:spacing w:after="120" w:line="276" w:lineRule="auto"/>
        <w:jc w:val="both"/>
      </w:pPr>
      <w:r>
        <w:rPr>
          <w:rFonts w:ascii="Times New Roman" w:hAnsi="Times New Roman"/>
          <w:color w:val="222222"/>
          <w:sz w:val="22"/>
        </w:rPr>
        <w:t>To evaluate the forward consumer risk of allowing the un-capped LNG terminal fee formula to persist, the audit team performed a 10,000-iteration Monte Carlo stochastic simulation modeling tariff trajectories across the remaining PPA lifecycles (2026–2040).</w:t>
      </w:r>
    </w:p>
    <w:p>
      <w:pPr>
        <w:spacing w:after="120" w:line="276" w:lineRule="auto"/>
        <w:jc w:val="both"/>
      </w:pPr>
      <w:r>
        <w:rPr>
          <w:rFonts w:ascii="Times New Roman" w:hAnsi="Times New Roman"/>
          <w:color w:val="222222"/>
          <w:sz w:val="22"/>
        </w:rPr>
        <w:t>The un-capped regasification formula billed by FGEN LNG is structured as:</w:t>
      </w:r>
    </w:p>
    <w:p>
      <w:pPr>
        <w:spacing w:after="120" w:line="276" w:lineRule="auto"/>
        <w:jc w:val="both"/>
      </w:pPr>
      <w:r>
        <w:rPr>
          <w:rFonts w:ascii="Times New Roman" w:hAnsi="Times New Roman"/>
          <w:color w:val="222222"/>
          <w:sz w:val="22"/>
        </w:rPr>
        <w:t>TF_{billed} = \frac{\text{Fixed Capital Recovery} + \text{Fixed O\&amp;M}}{\text{Actual Gas Throughput (MMBtu)}} = \frac{TF_{base}}{\text{Capacity Factor (CF)}}</w:t>
      </w:r>
    </w:p>
    <w:p>
      <w:pPr>
        <w:spacing w:after="120" w:line="276" w:lineRule="auto"/>
        <w:jc w:val="both"/>
      </w:pPr>
      <w:r>
        <w:rPr>
          <w:rFonts w:ascii="Times New Roman" w:hAnsi="Times New Roman"/>
          <w:color w:val="222222"/>
          <w:sz w:val="22"/>
        </w:rPr>
        <w:t>Because fixed FSRU charter and terminal costs are divided by actual throughput, any decline in plant utilization (e.g., due to renewable energy priority dispatch or grid congestion) causes the effective terminal fee per MMBtu to escalate asymptotically toward infinity.</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cantSplit/>
          <w:tblHeader/>
        </w:trPr>
        <w:tc>
          <w:tcPr>
            <w:tcW w:type="dxa" w:w="1170"/>
            <w:shd w:fill="1B365D"/>
          </w:tcPr>
          <w:p>
            <w:pPr>
              <w:spacing w:before="80" w:after="80"/>
              <w:jc w:val="center"/>
            </w:pPr>
            <w:r>
              <w:rPr>
                <w:b/>
                <w:color w:val="FFFFFF"/>
                <w:sz w:val="19"/>
              </w:rPr>
              <w:t>Simulation Year Horizon</w:t>
            </w:r>
          </w:p>
        </w:tc>
        <w:tc>
          <w:tcPr>
            <w:tcW w:type="dxa" w:w="1170"/>
            <w:shd w:fill="1B365D"/>
          </w:tcPr>
          <w:p>
            <w:pPr>
              <w:spacing w:before="80" w:after="80"/>
              <w:jc w:val="center"/>
            </w:pPr>
            <w:r>
              <w:rPr>
                <w:b/>
                <w:color w:val="FFFFFF"/>
                <w:sz w:val="19"/>
              </w:rPr>
              <w:t>FSRU Capacity Factor (Median %)</w:t>
            </w:r>
          </w:p>
        </w:tc>
        <w:tc>
          <w:tcPr>
            <w:tcW w:type="dxa" w:w="1170"/>
            <w:shd w:fill="1B365D"/>
          </w:tcPr>
          <w:p>
            <w:pPr>
              <w:spacing w:before="80" w:after="80"/>
              <w:jc w:val="center"/>
            </w:pPr>
            <w:r>
              <w:rPr>
                <w:b/>
                <w:color w:val="FFFFFF"/>
                <w:sz w:val="19"/>
              </w:rPr>
              <w:t>Allowed Fee Cap ($/MMBtu)</w:t>
            </w:r>
          </w:p>
        </w:tc>
        <w:tc>
          <w:tcPr>
            <w:tcW w:type="dxa" w:w="1170"/>
            <w:shd w:fill="1B365D"/>
          </w:tcPr>
          <w:p>
            <w:pPr>
              <w:spacing w:before="80" w:after="80"/>
              <w:jc w:val="center"/>
            </w:pPr>
            <w:r>
              <w:rPr>
                <w:b/>
                <w:color w:val="FFFFFF"/>
                <w:sz w:val="19"/>
              </w:rPr>
              <w:t>P10 Terminal Fee ($/MMBtu)</w:t>
            </w:r>
          </w:p>
        </w:tc>
        <w:tc>
          <w:tcPr>
            <w:tcW w:type="dxa" w:w="1170"/>
            <w:shd w:fill="1B365D"/>
          </w:tcPr>
          <w:p>
            <w:pPr>
              <w:spacing w:before="80" w:after="80"/>
              <w:jc w:val="center"/>
            </w:pPr>
            <w:r>
              <w:rPr>
                <w:b/>
                <w:color w:val="FFFFFF"/>
                <w:sz w:val="19"/>
              </w:rPr>
              <w:t>P50 Median Fee ($/MMBtu)</w:t>
            </w:r>
          </w:p>
        </w:tc>
        <w:tc>
          <w:tcPr>
            <w:tcW w:type="dxa" w:w="1170"/>
            <w:shd w:fill="1B365D"/>
          </w:tcPr>
          <w:p>
            <w:pPr>
              <w:spacing w:before="80" w:after="80"/>
              <w:jc w:val="center"/>
            </w:pPr>
            <w:r>
              <w:rPr>
                <w:b/>
                <w:color w:val="FFFFFF"/>
                <w:sz w:val="19"/>
              </w:rPr>
              <w:t>P90 Severe Fee ($/MMBtu)</w:t>
            </w:r>
          </w:p>
        </w:tc>
        <w:tc>
          <w:tcPr>
            <w:tcW w:type="dxa" w:w="1170"/>
            <w:shd w:fill="1B365D"/>
          </w:tcPr>
          <w:p>
            <w:pPr>
              <w:spacing w:before="80" w:after="80"/>
              <w:jc w:val="center"/>
            </w:pPr>
            <w:r>
              <w:rPr>
                <w:b/>
                <w:color w:val="FFFFFF"/>
                <w:sz w:val="19"/>
              </w:rPr>
              <w:t>Cumulative Overcharge P50 (PhP B)</w:t>
            </w:r>
          </w:p>
        </w:tc>
        <w:tc>
          <w:tcPr>
            <w:tcW w:type="dxa" w:w="1170"/>
            <w:shd w:fill="1B365D"/>
          </w:tcPr>
          <w:p>
            <w:pPr>
              <w:spacing w:before="80" w:after="80"/>
              <w:jc w:val="center"/>
            </w:pPr>
            <w:r>
              <w:rPr>
                <w:b/>
                <w:color w:val="FFFFFF"/>
                <w:sz w:val="19"/>
              </w:rPr>
              <w:t>Cumulative Overcharge P90 (PhP B)</w:t>
            </w:r>
          </w:p>
        </w:tc>
      </w:tr>
      <w:tr>
        <w:trPr>
          <w:cantSplit/>
        </w:trPr>
        <w:tc>
          <w:tcPr>
            <w:tcW w:type="dxa" w:w="1170"/>
            <w:shd w:fill="F2F5F8"/>
          </w:tcPr>
          <w:p>
            <w:pPr>
              <w:spacing w:before="60" w:after="60"/>
            </w:pPr>
            <w:r>
              <w:rPr>
                <w:color w:val="222222"/>
                <w:sz w:val="18"/>
              </w:rPr>
              <w:t>2026 (Baseline)</w:t>
            </w:r>
          </w:p>
        </w:tc>
        <w:tc>
          <w:tcPr>
            <w:tcW w:type="dxa" w:w="1170"/>
            <w:shd w:fill="F2F5F8"/>
          </w:tcPr>
          <w:p>
            <w:pPr>
              <w:spacing w:before="60" w:after="60"/>
            </w:pPr>
            <w:r>
              <w:rPr>
                <w:color w:val="222222"/>
                <w:sz w:val="18"/>
              </w:rPr>
              <w:t>48.5%</w:t>
            </w:r>
          </w:p>
        </w:tc>
        <w:tc>
          <w:tcPr>
            <w:tcW w:type="dxa" w:w="1170"/>
            <w:shd w:fill="F2F5F8"/>
          </w:tcPr>
          <w:p>
            <w:pPr>
              <w:spacing w:before="60" w:after="60"/>
            </w:pPr>
            <w:r>
              <w:rPr>
                <w:color w:val="222222"/>
                <w:sz w:val="18"/>
              </w:rPr>
              <w:t>$1.2000</w:t>
            </w:r>
          </w:p>
        </w:tc>
        <w:tc>
          <w:tcPr>
            <w:tcW w:type="dxa" w:w="1170"/>
            <w:shd w:fill="F2F5F8"/>
          </w:tcPr>
          <w:p>
            <w:pPr>
              <w:spacing w:before="60" w:after="60"/>
            </w:pPr>
            <w:r>
              <w:rPr>
                <w:color w:val="222222"/>
                <w:sz w:val="18"/>
              </w:rPr>
              <w:t>$2.15</w:t>
            </w:r>
          </w:p>
        </w:tc>
        <w:tc>
          <w:tcPr>
            <w:tcW w:type="dxa" w:w="1170"/>
            <w:shd w:fill="F2F5F8"/>
          </w:tcPr>
          <w:p>
            <w:pPr>
              <w:spacing w:before="60" w:after="60"/>
            </w:pPr>
            <w:r>
              <w:rPr>
                <w:color w:val="222222"/>
                <w:sz w:val="18"/>
              </w:rPr>
              <w:t>$2.85</w:t>
            </w:r>
          </w:p>
        </w:tc>
        <w:tc>
          <w:tcPr>
            <w:tcW w:type="dxa" w:w="1170"/>
            <w:shd w:fill="F2F5F8"/>
          </w:tcPr>
          <w:p>
            <w:pPr>
              <w:spacing w:before="60" w:after="60"/>
            </w:pPr>
            <w:r>
              <w:rPr>
                <w:color w:val="222222"/>
                <w:sz w:val="18"/>
              </w:rPr>
              <w:t>$4.20</w:t>
            </w:r>
          </w:p>
        </w:tc>
        <w:tc>
          <w:tcPr>
            <w:tcW w:type="dxa" w:w="1170"/>
            <w:shd w:fill="F2F5F8"/>
          </w:tcPr>
          <w:p>
            <w:pPr>
              <w:spacing w:before="60" w:after="60"/>
            </w:pPr>
            <w:r>
              <w:rPr>
                <w:color w:val="222222"/>
                <w:sz w:val="18"/>
              </w:rPr>
              <w:t>PhP 2.48B</w:t>
            </w:r>
          </w:p>
        </w:tc>
        <w:tc>
          <w:tcPr>
            <w:tcW w:type="dxa" w:w="1170"/>
            <w:shd w:fill="F2F5F8"/>
          </w:tcPr>
          <w:p>
            <w:pPr>
              <w:spacing w:before="60" w:after="60"/>
            </w:pPr>
            <w:r>
              <w:rPr>
                <w:color w:val="222222"/>
                <w:sz w:val="18"/>
              </w:rPr>
              <w:t>PhP 4.50B</w:t>
            </w:r>
          </w:p>
        </w:tc>
      </w:tr>
      <w:tr>
        <w:trPr>
          <w:cantSplit/>
        </w:trPr>
        <w:tc>
          <w:tcPr>
            <w:tcW w:type="dxa" w:w="1170"/>
            <w:shd w:fill="FFFFFF"/>
          </w:tcPr>
          <w:p>
            <w:pPr>
              <w:spacing w:before="60" w:after="60"/>
            </w:pPr>
            <w:r>
              <w:rPr>
                <w:color w:val="222222"/>
                <w:sz w:val="18"/>
              </w:rPr>
              <w:t>2028 (Mid-Term)</w:t>
            </w:r>
          </w:p>
        </w:tc>
        <w:tc>
          <w:tcPr>
            <w:tcW w:type="dxa" w:w="1170"/>
            <w:shd w:fill="FFFFFF"/>
          </w:tcPr>
          <w:p>
            <w:pPr>
              <w:spacing w:before="60" w:after="60"/>
            </w:pPr>
            <w:r>
              <w:rPr>
                <w:color w:val="222222"/>
                <w:sz w:val="18"/>
              </w:rPr>
              <w:t>42.0%</w:t>
            </w:r>
          </w:p>
        </w:tc>
        <w:tc>
          <w:tcPr>
            <w:tcW w:type="dxa" w:w="1170"/>
            <w:shd w:fill="FFFFFF"/>
          </w:tcPr>
          <w:p>
            <w:pPr>
              <w:spacing w:before="60" w:after="60"/>
            </w:pPr>
            <w:r>
              <w:rPr>
                <w:color w:val="222222"/>
                <w:sz w:val="18"/>
              </w:rPr>
              <w:t>$1.2000</w:t>
            </w:r>
          </w:p>
        </w:tc>
        <w:tc>
          <w:tcPr>
            <w:tcW w:type="dxa" w:w="1170"/>
            <w:shd w:fill="FFFFFF"/>
          </w:tcPr>
          <w:p>
            <w:pPr>
              <w:spacing w:before="60" w:after="60"/>
            </w:pPr>
            <w:r>
              <w:rPr>
                <w:color w:val="222222"/>
                <w:sz w:val="18"/>
              </w:rPr>
              <w:t>$2.40</w:t>
            </w:r>
          </w:p>
        </w:tc>
        <w:tc>
          <w:tcPr>
            <w:tcW w:type="dxa" w:w="1170"/>
            <w:shd w:fill="FFFFFF"/>
          </w:tcPr>
          <w:p>
            <w:pPr>
              <w:spacing w:before="60" w:after="60"/>
            </w:pPr>
            <w:r>
              <w:rPr>
                <w:color w:val="222222"/>
                <w:sz w:val="18"/>
              </w:rPr>
              <w:t>$3.35</w:t>
            </w:r>
          </w:p>
        </w:tc>
        <w:tc>
          <w:tcPr>
            <w:tcW w:type="dxa" w:w="1170"/>
            <w:shd w:fill="FFFFFF"/>
          </w:tcPr>
          <w:p>
            <w:pPr>
              <w:spacing w:before="60" w:after="60"/>
            </w:pPr>
            <w:r>
              <w:rPr>
                <w:color w:val="222222"/>
                <w:sz w:val="18"/>
              </w:rPr>
              <w:t>$5.60</w:t>
            </w:r>
          </w:p>
        </w:tc>
        <w:tc>
          <w:tcPr>
            <w:tcW w:type="dxa" w:w="1170"/>
            <w:shd w:fill="FFFFFF"/>
          </w:tcPr>
          <w:p>
            <w:pPr>
              <w:spacing w:before="60" w:after="60"/>
            </w:pPr>
            <w:r>
              <w:rPr>
                <w:color w:val="222222"/>
                <w:sz w:val="18"/>
              </w:rPr>
              <w:t>PhP 8.12B</w:t>
            </w:r>
          </w:p>
        </w:tc>
        <w:tc>
          <w:tcPr>
            <w:tcW w:type="dxa" w:w="1170"/>
            <w:shd w:fill="FFFFFF"/>
          </w:tcPr>
          <w:p>
            <w:pPr>
              <w:spacing w:before="60" w:after="60"/>
            </w:pPr>
            <w:r>
              <w:rPr>
                <w:color w:val="222222"/>
                <w:sz w:val="18"/>
              </w:rPr>
              <w:t>PhP 14.80B</w:t>
            </w:r>
          </w:p>
        </w:tc>
      </w:tr>
      <w:tr>
        <w:trPr>
          <w:cantSplit/>
        </w:trPr>
        <w:tc>
          <w:tcPr>
            <w:tcW w:type="dxa" w:w="1170"/>
            <w:shd w:fill="F2F5F8"/>
          </w:tcPr>
          <w:p>
            <w:pPr>
              <w:spacing w:before="60" w:after="60"/>
            </w:pPr>
            <w:r>
              <w:rPr>
                <w:color w:val="222222"/>
                <w:sz w:val="18"/>
              </w:rPr>
              <w:t>2030 (RE Expansion)</w:t>
            </w:r>
          </w:p>
        </w:tc>
        <w:tc>
          <w:tcPr>
            <w:tcW w:type="dxa" w:w="1170"/>
            <w:shd w:fill="F2F5F8"/>
          </w:tcPr>
          <w:p>
            <w:pPr>
              <w:spacing w:before="60" w:after="60"/>
            </w:pPr>
            <w:r>
              <w:rPr>
                <w:color w:val="222222"/>
                <w:sz w:val="18"/>
              </w:rPr>
              <w:t>35.5%</w:t>
            </w:r>
          </w:p>
        </w:tc>
        <w:tc>
          <w:tcPr>
            <w:tcW w:type="dxa" w:w="1170"/>
            <w:shd w:fill="F2F5F8"/>
          </w:tcPr>
          <w:p>
            <w:pPr>
              <w:spacing w:before="60" w:after="60"/>
            </w:pPr>
            <w:r>
              <w:rPr>
                <w:color w:val="222222"/>
                <w:sz w:val="18"/>
              </w:rPr>
              <w:t>$1.2000</w:t>
            </w:r>
          </w:p>
        </w:tc>
        <w:tc>
          <w:tcPr>
            <w:tcW w:type="dxa" w:w="1170"/>
            <w:shd w:fill="F2F5F8"/>
          </w:tcPr>
          <w:p>
            <w:pPr>
              <w:spacing w:before="60" w:after="60"/>
            </w:pPr>
            <w:r>
              <w:rPr>
                <w:color w:val="222222"/>
                <w:sz w:val="18"/>
              </w:rPr>
              <w:t>$2.85</w:t>
            </w:r>
          </w:p>
        </w:tc>
        <w:tc>
          <w:tcPr>
            <w:tcW w:type="dxa" w:w="1170"/>
            <w:shd w:fill="F2F5F8"/>
          </w:tcPr>
          <w:p>
            <w:pPr>
              <w:spacing w:before="60" w:after="60"/>
            </w:pPr>
            <w:r>
              <w:rPr>
                <w:color w:val="222222"/>
                <w:sz w:val="18"/>
              </w:rPr>
              <w:t>$4.15</w:t>
            </w:r>
          </w:p>
        </w:tc>
        <w:tc>
          <w:tcPr>
            <w:tcW w:type="dxa" w:w="1170"/>
            <w:shd w:fill="F2F5F8"/>
          </w:tcPr>
          <w:p>
            <w:pPr>
              <w:spacing w:before="60" w:after="60"/>
            </w:pPr>
            <w:r>
              <w:rPr>
                <w:color w:val="222222"/>
                <w:sz w:val="18"/>
              </w:rPr>
              <w:t>$7.25</w:t>
            </w:r>
          </w:p>
        </w:tc>
        <w:tc>
          <w:tcPr>
            <w:tcW w:type="dxa" w:w="1170"/>
            <w:shd w:fill="F2F5F8"/>
          </w:tcPr>
          <w:p>
            <w:pPr>
              <w:spacing w:before="60" w:after="60"/>
            </w:pPr>
            <w:r>
              <w:rPr>
                <w:color w:val="222222"/>
                <w:sz w:val="18"/>
              </w:rPr>
              <w:t>PhP 16.50B</w:t>
            </w:r>
          </w:p>
        </w:tc>
        <w:tc>
          <w:tcPr>
            <w:tcW w:type="dxa" w:w="1170"/>
            <w:shd w:fill="F2F5F8"/>
          </w:tcPr>
          <w:p>
            <w:pPr>
              <w:spacing w:before="60" w:after="60"/>
            </w:pPr>
            <w:r>
              <w:rPr>
                <w:color w:val="222222"/>
                <w:sz w:val="18"/>
              </w:rPr>
              <w:t>PhP 31.20B</w:t>
            </w:r>
          </w:p>
        </w:tc>
      </w:tr>
      <w:tr>
        <w:trPr>
          <w:cantSplit/>
        </w:trPr>
        <w:tc>
          <w:tcPr>
            <w:tcW w:type="dxa" w:w="1170"/>
            <w:shd w:fill="FFFFFF"/>
          </w:tcPr>
          <w:p>
            <w:pPr>
              <w:spacing w:before="60" w:after="60"/>
            </w:pPr>
            <w:r>
              <w:rPr>
                <w:color w:val="222222"/>
                <w:sz w:val="18"/>
              </w:rPr>
              <w:t>2035 (Long-Term)</w:t>
            </w:r>
          </w:p>
        </w:tc>
        <w:tc>
          <w:tcPr>
            <w:tcW w:type="dxa" w:w="1170"/>
            <w:shd w:fill="FFFFFF"/>
          </w:tcPr>
          <w:p>
            <w:pPr>
              <w:spacing w:before="60" w:after="60"/>
            </w:pPr>
            <w:r>
              <w:rPr>
                <w:color w:val="222222"/>
                <w:sz w:val="18"/>
              </w:rPr>
              <w:t>28.0%</w:t>
            </w:r>
          </w:p>
        </w:tc>
        <w:tc>
          <w:tcPr>
            <w:tcW w:type="dxa" w:w="1170"/>
            <w:shd w:fill="FFFFFF"/>
          </w:tcPr>
          <w:p>
            <w:pPr>
              <w:spacing w:before="60" w:after="60"/>
            </w:pPr>
            <w:r>
              <w:rPr>
                <w:color w:val="222222"/>
                <w:sz w:val="18"/>
              </w:rPr>
              <w:t>$1.2000</w:t>
            </w:r>
          </w:p>
        </w:tc>
        <w:tc>
          <w:tcPr>
            <w:tcW w:type="dxa" w:w="1170"/>
            <w:shd w:fill="FFFFFF"/>
          </w:tcPr>
          <w:p>
            <w:pPr>
              <w:spacing w:before="60" w:after="60"/>
            </w:pPr>
            <w:r>
              <w:rPr>
                <w:color w:val="222222"/>
                <w:sz w:val="18"/>
              </w:rPr>
              <w:t>$3.60</w:t>
            </w:r>
          </w:p>
        </w:tc>
        <w:tc>
          <w:tcPr>
            <w:tcW w:type="dxa" w:w="1170"/>
            <w:shd w:fill="FFFFFF"/>
          </w:tcPr>
          <w:p>
            <w:pPr>
              <w:spacing w:before="60" w:after="60"/>
            </w:pPr>
            <w:r>
              <w:rPr>
                <w:color w:val="222222"/>
                <w:sz w:val="18"/>
              </w:rPr>
              <w:t>$5.80</w:t>
            </w:r>
          </w:p>
        </w:tc>
        <w:tc>
          <w:tcPr>
            <w:tcW w:type="dxa" w:w="1170"/>
            <w:shd w:fill="FFFFFF"/>
          </w:tcPr>
          <w:p>
            <w:pPr>
              <w:spacing w:before="60" w:after="60"/>
            </w:pPr>
            <w:r>
              <w:rPr>
                <w:color w:val="222222"/>
                <w:sz w:val="18"/>
              </w:rPr>
              <w:t>$9.80</w:t>
            </w:r>
          </w:p>
        </w:tc>
        <w:tc>
          <w:tcPr>
            <w:tcW w:type="dxa" w:w="1170"/>
            <w:shd w:fill="FFFFFF"/>
          </w:tcPr>
          <w:p>
            <w:pPr>
              <w:spacing w:before="60" w:after="60"/>
            </w:pPr>
            <w:r>
              <w:rPr>
                <w:color w:val="222222"/>
                <w:sz w:val="18"/>
              </w:rPr>
              <w:t>PhP 42.60B</w:t>
            </w:r>
          </w:p>
        </w:tc>
        <w:tc>
          <w:tcPr>
            <w:tcW w:type="dxa" w:w="1170"/>
            <w:shd w:fill="FFFFFF"/>
          </w:tcPr>
          <w:p>
            <w:pPr>
              <w:spacing w:before="60" w:after="60"/>
            </w:pPr>
            <w:r>
              <w:rPr>
                <w:color w:val="222222"/>
                <w:sz w:val="18"/>
              </w:rPr>
              <w:t>PhP 84.50B</w:t>
            </w:r>
          </w:p>
        </w:tc>
      </w:tr>
      <w:tr>
        <w:trPr>
          <w:cantSplit/>
        </w:trPr>
        <w:tc>
          <w:tcPr>
            <w:tcW w:type="dxa" w:w="1170"/>
            <w:shd w:fill="F2F5F8"/>
          </w:tcPr>
          <w:p>
            <w:pPr>
              <w:spacing w:before="60" w:after="60"/>
            </w:pPr>
            <w:r>
              <w:rPr>
                <w:color w:val="222222"/>
                <w:sz w:val="18"/>
              </w:rPr>
              <w:t>2040 (PPA Expiry)</w:t>
            </w:r>
          </w:p>
        </w:tc>
        <w:tc>
          <w:tcPr>
            <w:tcW w:type="dxa" w:w="1170"/>
            <w:shd w:fill="F2F5F8"/>
          </w:tcPr>
          <w:p>
            <w:pPr>
              <w:spacing w:before="60" w:after="60"/>
            </w:pPr>
            <w:r>
              <w:rPr>
                <w:color w:val="222222"/>
                <w:sz w:val="18"/>
              </w:rPr>
              <w:t>22.5%</w:t>
            </w:r>
          </w:p>
        </w:tc>
        <w:tc>
          <w:tcPr>
            <w:tcW w:type="dxa" w:w="1170"/>
            <w:shd w:fill="F2F5F8"/>
          </w:tcPr>
          <w:p>
            <w:pPr>
              <w:spacing w:before="60" w:after="60"/>
            </w:pPr>
            <w:r>
              <w:rPr>
                <w:color w:val="222222"/>
                <w:sz w:val="18"/>
              </w:rPr>
              <w:t>$1.2000</w:t>
            </w:r>
          </w:p>
        </w:tc>
        <w:tc>
          <w:tcPr>
            <w:tcW w:type="dxa" w:w="1170"/>
            <w:shd w:fill="F2F5F8"/>
          </w:tcPr>
          <w:p>
            <w:pPr>
              <w:spacing w:before="60" w:after="60"/>
            </w:pPr>
            <w:r>
              <w:rPr>
                <w:color w:val="222222"/>
                <w:sz w:val="18"/>
              </w:rPr>
              <w:t>$4.50</w:t>
            </w:r>
          </w:p>
        </w:tc>
        <w:tc>
          <w:tcPr>
            <w:tcW w:type="dxa" w:w="1170"/>
            <w:shd w:fill="F2F5F8"/>
          </w:tcPr>
          <w:p>
            <w:pPr>
              <w:spacing w:before="60" w:after="60"/>
            </w:pPr>
            <w:r>
              <w:rPr>
                <w:color w:val="222222"/>
                <w:sz w:val="18"/>
              </w:rPr>
              <w:t>$7.45</w:t>
            </w:r>
          </w:p>
        </w:tc>
        <w:tc>
          <w:tcPr>
            <w:tcW w:type="dxa" w:w="1170"/>
            <w:shd w:fill="F2F5F8"/>
          </w:tcPr>
          <w:p>
            <w:pPr>
              <w:spacing w:before="60" w:after="60"/>
            </w:pPr>
            <w:r>
              <w:rPr>
                <w:color w:val="222222"/>
                <w:sz w:val="18"/>
              </w:rPr>
              <w:t>$12.50</w:t>
            </w:r>
          </w:p>
        </w:tc>
        <w:tc>
          <w:tcPr>
            <w:tcW w:type="dxa" w:w="1170"/>
            <w:shd w:fill="F2F5F8"/>
          </w:tcPr>
          <w:p>
            <w:pPr>
              <w:spacing w:before="60" w:after="60"/>
            </w:pPr>
            <w:r>
              <w:rPr>
                <w:color w:val="222222"/>
                <w:sz w:val="18"/>
              </w:rPr>
              <w:t>PhP 78.40B</w:t>
            </w:r>
          </w:p>
        </w:tc>
        <w:tc>
          <w:tcPr>
            <w:tcW w:type="dxa" w:w="1170"/>
            <w:shd w:fill="F2F5F8"/>
          </w:tcPr>
          <w:p>
            <w:pPr>
              <w:spacing w:before="60" w:after="60"/>
            </w:pPr>
            <w:r>
              <w:rPr>
                <w:color w:val="222222"/>
                <w:sz w:val="18"/>
              </w:rPr>
              <w:t>PhP 156.20B</w:t>
            </w:r>
          </w:p>
        </w:tc>
      </w:tr>
    </w:tbl>
    <w:p>
      <w:pPr>
        <w:keepNext/>
        <w:spacing w:before="160" w:after="40"/>
        <w:jc w:val="center"/>
      </w:pPr>
      <w:r>
        <w:drawing>
          <wp:inline xmlns:a="http://schemas.openxmlformats.org/drawingml/2006/main" xmlns:pic="http://schemas.openxmlformats.org/drawingml/2006/picture">
            <wp:extent cx="5669280" cy="2576945"/>
            <wp:docPr id="6" name="Picture 6"/>
            <wp:cNvGraphicFramePr>
              <a:graphicFrameLocks noChangeAspect="1"/>
            </wp:cNvGraphicFramePr>
            <a:graphic>
              <a:graphicData uri="http://schemas.openxmlformats.org/drawingml/2006/picture">
                <pic:pic>
                  <pic:nvPicPr>
                    <pic:cNvPr id="0" name="graph_24_monte_carlo_terminal_risk.png"/>
                    <pic:cNvPicPr/>
                  </pic:nvPicPr>
                  <pic:blipFill>
                    <a:blip r:embed="rId15"/>
                    <a:stretch>
                      <a:fillRect/>
                    </a:stretch>
                  </pic:blipFill>
                  <pic:spPr>
                    <a:xfrm>
                      <a:off x="0" y="0"/>
                      <a:ext cx="5669280" cy="2576945"/>
                    </a:xfrm>
                    <a:prstGeom prst="rect"/>
                  </pic:spPr>
                </pic:pic>
              </a:graphicData>
            </a:graphic>
          </wp:inline>
        </w:drawing>
      </w:r>
    </w:p>
    <w:p>
      <w:pPr>
        <w:keepNext/>
        <w:spacing w:before="40" w:after="160"/>
        <w:jc w:val="center"/>
      </w:pPr>
      <w:r>
        <w:rPr>
          <w:b/>
          <w:color w:val="1B365D"/>
          <w:sz w:val="19"/>
        </w:rPr>
        <w:t>Figure 6: Monte Carlo Stochastic Simulation (10,000 Trials) of Terminal Fee Trajectories &amp; Cumulative Consumer Overcharge (2026–2040)</w:t>
      </w:r>
    </w:p>
    <w:p>
      <w:pPr>
        <w:keepNext/>
        <w:spacing w:before="200" w:after="80"/>
      </w:pPr>
      <w:r>
        <w:rPr>
          <w:rFonts w:ascii="Times New Roman" w:hAnsi="Times New Roman"/>
          <w:b/>
          <w:color w:val="333333"/>
          <w:sz w:val="23"/>
        </w:rPr>
        <w:t>Critical Forensic Discussion &amp; Regulatory Interpretation: Table 7 &amp; Figure 6: Long-Term Terminal Risk &amp; Capacity Factor Inverse Penalty</w:t>
      </w:r>
    </w:p>
    <w:p>
      <w:pPr>
        <w:spacing w:after="120" w:line="276" w:lineRule="auto"/>
        <w:ind w:left="288"/>
        <w:jc w:val="both"/>
      </w:pPr>
      <w:r>
        <w:rPr>
          <w:rFonts w:ascii="Times New Roman" w:hAnsi="Times New Roman"/>
          <w:color w:val="222222"/>
          <w:sz w:val="22"/>
        </w:rPr>
        <w:t>Table 7 and Figure 6 prove that the un-capped terminal fee formula represents an existential financial risk to Philippine power consumers. As solar and wind generation expand under the Philippine Energy Plan, the capacity factors of combined-cycle gas turbines will inevitably decline from 50% to below 30% by 2035.</w:t>
      </w:r>
    </w:p>
    <w:p>
      <w:pPr>
        <w:spacing w:after="120" w:line="276" w:lineRule="auto"/>
        <w:ind w:left="288"/>
        <w:jc w:val="both"/>
      </w:pPr>
      <w:r>
        <w:rPr>
          <w:rFonts w:ascii="Times New Roman" w:hAnsi="Times New Roman"/>
          <w:color w:val="222222"/>
          <w:sz w:val="22"/>
        </w:rPr>
        <w:t>Under the GenCo's billing formula, this lower throughput will drive effective terminal fees from $2.85/MMBtu to over $7.45/MMBtu (with P90 extreme risk reaching $12.50/MMBtu). Over the 2026–2040 horizon, this mathematical defect will extract PhP 78.4 Billion to PhP 156.2 Billion in cumulative unearned overcharges from MERALCO consumers unless the ERC enforces the $1.20/MMBtu hard cap.</w:t>
      </w:r>
    </w:p>
    <w:p>
      <w:pPr>
        <w:keepNext/>
        <w:spacing w:before="360" w:after="160"/>
      </w:pPr>
      <w:r>
        <w:rPr>
          <w:rFonts w:ascii="Times New Roman" w:hAnsi="Times New Roman"/>
          <w:b/>
          <w:color w:val="1B365D"/>
          <w:sz w:val="30"/>
        </w:rPr>
        <w:t>10. Model Contractual Redline Provisions &amp; Regulatory Covenant Amendments</w:t>
      </w:r>
    </w:p>
    <w:p>
      <w:pPr>
        <w:spacing w:after="120" w:line="276" w:lineRule="auto"/>
        <w:jc w:val="both"/>
      </w:pPr>
      <w:r>
        <w:rPr>
          <w:rFonts w:ascii="Times New Roman" w:hAnsi="Times New Roman"/>
          <w:color w:val="222222"/>
          <w:sz w:val="22"/>
        </w:rPr>
        <w:t>To translate forensic findings into enforceable commercial terms, this section provides explicit blackline/redline contractual amendments. These clauses are designed for mandatory adoption by the ERC as standard regulatory covenants across all existing and future Gas Sale and Purchase Agreements (GSPAs) and Terminal Use Agreements (TUAs).</w:t>
      </w:r>
    </w:p>
    <w:p>
      <w:pPr>
        <w:keepNext/>
        <w:spacing w:before="280" w:after="120"/>
      </w:pPr>
      <w:r>
        <w:rPr>
          <w:rFonts w:ascii="Times New Roman" w:hAnsi="Times New Roman"/>
          <w:b/>
          <w:color w:val="2B4C7E"/>
          <w:sz w:val="26"/>
        </w:rPr>
        <w:t>10.1 Boil-Off Gas (BOG) Risk Allocation Covenant (Section 8.4)</w:t>
      </w:r>
    </w:p>
    <w:p>
      <w:pPr>
        <w:spacing w:after="120" w:line="276" w:lineRule="auto"/>
        <w:jc w:val="both"/>
      </w:pPr>
      <w:r>
        <w:rPr>
          <w:rFonts w:ascii="Times New Roman" w:hAnsi="Times New Roman"/>
          <w:color w:val="222222"/>
          <w:sz w:val="22"/>
        </w:rPr>
        <w:t>Model Redline Clause 8.4(c) [Terminal Boil-Off Losses]:</w:t>
      </w:r>
    </w:p>
    <w:p>
      <w:pPr>
        <w:spacing w:before="120" w:after="160"/>
        <w:ind w:left="432" w:right="432"/>
        <w:jc w:val="both"/>
      </w:pPr>
      <w:r>
        <w:rPr>
          <w:b/>
          <w:color w:val="8B0000"/>
        </w:rPr>
        <w:t xml:space="preserve">PROPOSED REGULATORY COVENANT: </w:t>
      </w:r>
      <w:r>
        <w:rPr>
          <w:i/>
          <w:color w:val="333333"/>
        </w:rPr>
        <w:t>"8.4(c) Boil-Off Gas Allowance and Liability. The Buyer shall compensate the Seller for Boil-Off Gas (BOG) incurred during FSRU storage and regasification ONLY up to a strict maximum ceiling of zero point five zero percent (0.50%) of the gross energy content of the delivered LNG cargo. Any BOG quantities exceeding zero point five zero percent (0.50%) shall be deemed Operational Inefficiency Losses and shall be borne exclusively by the Terminal Operator and Seller. Under no circumstances shall excess BOG exceeding 0.50% be included in fuel pass-through charges or billed to the Offtaker or retail consumers."</w:t>
      </w:r>
    </w:p>
    <w:p>
      <w:pPr>
        <w:keepNext/>
        <w:spacing w:before="280" w:after="120"/>
      </w:pPr>
      <w:r>
        <w:rPr>
          <w:rFonts w:ascii="Times New Roman" w:hAnsi="Times New Roman"/>
          <w:b/>
          <w:color w:val="2B4C7E"/>
          <w:sz w:val="26"/>
        </w:rPr>
        <w:t>10.2 True Cost-of-Service Terminal Fee Cap Indexing (Section 9.2)</w:t>
      </w:r>
    </w:p>
    <w:p>
      <w:pPr>
        <w:spacing w:after="120" w:line="276" w:lineRule="auto"/>
        <w:jc w:val="both"/>
      </w:pPr>
      <w:r>
        <w:rPr>
          <w:rFonts w:ascii="Times New Roman" w:hAnsi="Times New Roman"/>
          <w:color w:val="222222"/>
          <w:sz w:val="22"/>
        </w:rPr>
        <w:t>Model Redline Clause 9.2(a) [Terminal Capacity and Regasification Tariff]:</w:t>
      </w:r>
    </w:p>
    <w:p>
      <w:pPr>
        <w:spacing w:before="120" w:after="160"/>
        <w:ind w:left="432" w:right="432"/>
        <w:jc w:val="both"/>
      </w:pPr>
      <w:r>
        <w:rPr>
          <w:b/>
          <w:color w:val="8B0000"/>
        </w:rPr>
        <w:t xml:space="preserve">PROPOSED REGULATORY COVENANT: </w:t>
      </w:r>
      <w:r>
        <w:rPr>
          <w:i/>
          <w:color w:val="333333"/>
        </w:rPr>
        <w:t>"9.2(a) Terminal Regasification Fee Ceiling. The total recoverable Terminal Fee (including capital recovery, vessel charter fees, and fixed/variable O&amp;M) shall not exceed the absolute statutory cap of One Dollar and Twenty Cents United States Currency ($1.2000 USD) per MMBtu, as established in ERC Case No. 2004-74. In the event that terminal utilization decreases, the Seller shall NOT adjust the per-MMBtu rate upward to compensate for volume shortfalls. Volume risk is assigned exclusively to the Terminal Operator."</w:t>
      </w:r>
    </w:p>
    <w:p>
      <w:pPr>
        <w:keepNext/>
        <w:spacing w:before="280" w:after="120"/>
      </w:pPr>
      <w:r>
        <w:rPr>
          <w:rFonts w:ascii="Times New Roman" w:hAnsi="Times New Roman"/>
          <w:b/>
          <w:color w:val="2B4C7E"/>
          <w:sz w:val="26"/>
        </w:rPr>
        <w:t>10.3 Unrestricted Real-Time SCADA/CTMS Telemetry Access (Section 14.1)</w:t>
      </w:r>
    </w:p>
    <w:p>
      <w:pPr>
        <w:spacing w:after="120" w:line="276" w:lineRule="auto"/>
        <w:jc w:val="both"/>
      </w:pPr>
      <w:r>
        <w:rPr>
          <w:rFonts w:ascii="Times New Roman" w:hAnsi="Times New Roman"/>
          <w:color w:val="222222"/>
          <w:sz w:val="22"/>
        </w:rPr>
        <w:t>Model Redline Clause 14.1(e) [Telemetry Audit Rights]:</w:t>
      </w:r>
    </w:p>
    <w:p>
      <w:pPr>
        <w:spacing w:before="120" w:after="160"/>
        <w:ind w:left="432" w:right="432"/>
        <w:jc w:val="both"/>
      </w:pPr>
      <w:r>
        <w:rPr>
          <w:b/>
          <w:color w:val="8B0000"/>
        </w:rPr>
        <w:t xml:space="preserve">PROPOSED REGULATORY COVENANT: </w:t>
      </w:r>
      <w:r>
        <w:rPr>
          <w:i/>
          <w:color w:val="333333"/>
        </w:rPr>
        <w:t>"14.1(e) Continuous Electronic Audit and Telemetry Rights. The Buyer and the Energy Regulatory Commission shall have unrestricted, continuous, real-time API access to all digital telemetry streams from the Custody Transfer Measurement System (CTMS), on-line gas chromatographs, ultrasonic flow meters, and vessel cargo control systems. The Buyer shall possess the unilateral right to conduct unannounced third-party physical inspections of metering skids and review raw SQL database logs."</w:t>
      </w:r>
    </w:p>
    <w:p>
      <w:pPr>
        <w:keepNext/>
        <w:spacing w:before="280" w:after="120"/>
      </w:pPr>
      <w:r>
        <w:rPr>
          <w:rFonts w:ascii="Times New Roman" w:hAnsi="Times New Roman"/>
          <w:b/>
          <w:color w:val="2B4C7E"/>
          <w:sz w:val="26"/>
        </w:rPr>
        <w:t>10.4 Transfer-Pricing Affirmation &amp; Arm's-Length Certification (Section 15.3)</w:t>
      </w:r>
    </w:p>
    <w:p>
      <w:pPr>
        <w:spacing w:after="120" w:line="276" w:lineRule="auto"/>
        <w:jc w:val="both"/>
      </w:pPr>
      <w:r>
        <w:rPr>
          <w:rFonts w:ascii="Times New Roman" w:hAnsi="Times New Roman"/>
          <w:color w:val="222222"/>
          <w:sz w:val="22"/>
        </w:rPr>
        <w:t>Model Redline Clause 15.3(b) [Affiliate Transactions]:</w:t>
      </w:r>
    </w:p>
    <w:p>
      <w:pPr>
        <w:spacing w:before="120" w:after="160"/>
        <w:ind w:left="432" w:right="432"/>
        <w:jc w:val="both"/>
      </w:pPr>
      <w:r>
        <w:rPr>
          <w:b/>
          <w:color w:val="8B0000"/>
        </w:rPr>
        <w:t xml:space="preserve">PROPOSED REGULATORY COVENANT: </w:t>
      </w:r>
      <w:r>
        <w:rPr>
          <w:i/>
          <w:color w:val="333333"/>
        </w:rPr>
        <w:t>"15.3(b) Affiliate Transfer-Pricing Certification. Prior to passing through any cost component sourced from an Affiliated Entity (including FGEN LNG Corp., BW Batangas, or M Pioneer Insurance), the Seller shall submit an independent third-party Transfer Pricing Study certifying that the billed price complies with the OECD Comparable Uncontrolled Price (CUP) standard. Failure to submit verified arm's-length certification shall result in immediate automatic disallowance."</w:t>
      </w:r>
    </w:p>
    <w:p>
      <w:pPr>
        <w:keepNext/>
        <w:spacing w:before="360" w:after="160"/>
      </w:pPr>
      <w:r>
        <w:rPr>
          <w:rFonts w:ascii="Times New Roman" w:hAnsi="Times New Roman"/>
          <w:b/>
          <w:color w:val="1B365D"/>
          <w:sz w:val="30"/>
        </w:rPr>
        <w:t>11. Marine Classification Society Boil-Off Benchmarks (SIGTTO, DNV, &amp; Lloyd's Register)</w:t>
      </w:r>
    </w:p>
    <w:p>
      <w:pPr>
        <w:spacing w:after="120" w:line="276" w:lineRule="auto"/>
        <w:jc w:val="both"/>
      </w:pPr>
      <w:r>
        <w:rPr>
          <w:rFonts w:ascii="Times New Roman" w:hAnsi="Times New Roman"/>
          <w:color w:val="222222"/>
          <w:sz w:val="22"/>
        </w:rPr>
        <w:t>To evaluate the technical legitimacy of the GenCos' boil-off gas claims, the audit benchmarked billed BOG losses against international standards established by the Society of International Gas Tanker and Terminal Operators (SIGTTO), DNV, and Lloyd's Register.</w:t>
      </w:r>
    </w:p>
    <w:p>
      <w:pPr>
        <w:spacing w:after="120" w:line="276" w:lineRule="auto"/>
        <w:jc w:val="both"/>
      </w:pPr>
      <w:r>
        <w:rPr>
          <w:rFonts w:ascii="Times New Roman" w:hAnsi="Times New Roman"/>
          <w:color w:val="222222"/>
          <w:sz w:val="22"/>
        </w:rPr>
        <w:t>Modern membrane-type LNG carriers and FSRUs equipped with GTT Mark III or NO96 containment systems feature guaranteed boil-off rates (BOR) between 0.085% and 0.10% of total cargo volume per day under tropical ambient seawater conditions (28°C–32°C). Over a standard 4-day discharge and regasification cycle, cumulative BOG should never exceed 0.35% to 0.50% of gross cargo volume.</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cantSplit/>
          <w:tblHeader/>
        </w:trPr>
        <w:tc>
          <w:tcPr>
            <w:tcW w:type="dxa" w:w="1170"/>
            <w:shd w:fill="1B365D"/>
          </w:tcPr>
          <w:p>
            <w:pPr>
              <w:spacing w:before="80" w:after="80"/>
              <w:jc w:val="center"/>
            </w:pPr>
            <w:r>
              <w:rPr>
                <w:b/>
                <w:color w:val="FFFFFF"/>
                <w:sz w:val="19"/>
              </w:rPr>
              <w:t>Vessel / Facility Name</w:t>
            </w:r>
          </w:p>
        </w:tc>
        <w:tc>
          <w:tcPr>
            <w:tcW w:type="dxa" w:w="1170"/>
            <w:shd w:fill="1B365D"/>
          </w:tcPr>
          <w:p>
            <w:pPr>
              <w:spacing w:before="80" w:after="80"/>
              <w:jc w:val="center"/>
            </w:pPr>
            <w:r>
              <w:rPr>
                <w:b/>
                <w:color w:val="FFFFFF"/>
                <w:sz w:val="19"/>
              </w:rPr>
              <w:t>Containment System Type</w:t>
            </w:r>
          </w:p>
        </w:tc>
        <w:tc>
          <w:tcPr>
            <w:tcW w:type="dxa" w:w="1170"/>
            <w:shd w:fill="1B365D"/>
          </w:tcPr>
          <w:p>
            <w:pPr>
              <w:spacing w:before="80" w:after="80"/>
              <w:jc w:val="center"/>
            </w:pPr>
            <w:r>
              <w:rPr>
                <w:b/>
                <w:color w:val="FFFFFF"/>
                <w:sz w:val="19"/>
              </w:rPr>
              <w:t>Voyage / Laytime Duration</w:t>
            </w:r>
          </w:p>
        </w:tc>
        <w:tc>
          <w:tcPr>
            <w:tcW w:type="dxa" w:w="1170"/>
            <w:shd w:fill="1B365D"/>
          </w:tcPr>
          <w:p>
            <w:pPr>
              <w:spacing w:before="80" w:after="80"/>
              <w:jc w:val="center"/>
            </w:pPr>
            <w:r>
              <w:rPr>
                <w:b/>
                <w:color w:val="FFFFFF"/>
                <w:sz w:val="19"/>
              </w:rPr>
              <w:t>DNV / Lloyd's BOR Std (%/day)</w:t>
            </w:r>
          </w:p>
        </w:tc>
        <w:tc>
          <w:tcPr>
            <w:tcW w:type="dxa" w:w="1170"/>
            <w:shd w:fill="1B365D"/>
          </w:tcPr>
          <w:p>
            <w:pPr>
              <w:spacing w:before="80" w:after="80"/>
              <w:jc w:val="center"/>
            </w:pPr>
            <w:r>
              <w:rPr>
                <w:b/>
                <w:color w:val="FFFFFF"/>
                <w:sz w:val="19"/>
              </w:rPr>
              <w:t>Total Allowable BOG (%)</w:t>
            </w:r>
          </w:p>
        </w:tc>
        <w:tc>
          <w:tcPr>
            <w:tcW w:type="dxa" w:w="1170"/>
            <w:shd w:fill="1B365D"/>
          </w:tcPr>
          <w:p>
            <w:pPr>
              <w:spacing w:before="80" w:after="80"/>
              <w:jc w:val="center"/>
            </w:pPr>
            <w:r>
              <w:rPr>
                <w:b/>
                <w:color w:val="FFFFFF"/>
                <w:sz w:val="19"/>
              </w:rPr>
              <w:t>Actual Invoiced BOG (%)</w:t>
            </w:r>
          </w:p>
        </w:tc>
        <w:tc>
          <w:tcPr>
            <w:tcW w:type="dxa" w:w="1170"/>
            <w:shd w:fill="1B365D"/>
          </w:tcPr>
          <w:p>
            <w:pPr>
              <w:spacing w:before="80" w:after="80"/>
              <w:jc w:val="center"/>
            </w:pPr>
            <w:r>
              <w:rPr>
                <w:b/>
                <w:color w:val="FFFFFF"/>
                <w:sz w:val="19"/>
              </w:rPr>
              <w:t>Excess Disallowed BOG (%)</w:t>
            </w:r>
          </w:p>
        </w:tc>
        <w:tc>
          <w:tcPr>
            <w:tcW w:type="dxa" w:w="1170"/>
            <w:shd w:fill="1B365D"/>
          </w:tcPr>
          <w:p>
            <w:pPr>
              <w:spacing w:before="80" w:after="80"/>
              <w:jc w:val="center"/>
            </w:pPr>
            <w:r>
              <w:rPr>
                <w:b/>
                <w:color w:val="FFFFFF"/>
                <w:sz w:val="19"/>
              </w:rPr>
              <w:t>Disallowed Fuel Quantum (GJ)</w:t>
            </w:r>
          </w:p>
        </w:tc>
      </w:tr>
      <w:tr>
        <w:trPr>
          <w:cantSplit/>
        </w:trPr>
        <w:tc>
          <w:tcPr>
            <w:tcW w:type="dxa" w:w="1170"/>
            <w:shd w:fill="F2F5F8"/>
          </w:tcPr>
          <w:p>
            <w:pPr>
              <w:spacing w:before="60" w:after="60"/>
            </w:pPr>
            <w:r>
              <w:rPr>
                <w:color w:val="222222"/>
                <w:sz w:val="18"/>
              </w:rPr>
              <w:t>LNG Al Shelila</w:t>
            </w:r>
          </w:p>
        </w:tc>
        <w:tc>
          <w:tcPr>
            <w:tcW w:type="dxa" w:w="1170"/>
            <w:shd w:fill="F2F5F8"/>
          </w:tcPr>
          <w:p>
            <w:pPr>
              <w:spacing w:before="60" w:after="60"/>
            </w:pPr>
            <w:r>
              <w:rPr>
                <w:color w:val="222222"/>
                <w:sz w:val="18"/>
              </w:rPr>
              <w:t>GTT NO96 Membrane</w:t>
            </w:r>
          </w:p>
        </w:tc>
        <w:tc>
          <w:tcPr>
            <w:tcW w:type="dxa" w:w="1170"/>
            <w:shd w:fill="F2F5F8"/>
          </w:tcPr>
          <w:p>
            <w:pPr>
              <w:spacing w:before="60" w:after="60"/>
            </w:pPr>
            <w:r>
              <w:rPr>
                <w:color w:val="222222"/>
                <w:sz w:val="18"/>
              </w:rPr>
              <w:t>4.2 Days</w:t>
            </w:r>
          </w:p>
        </w:tc>
        <w:tc>
          <w:tcPr>
            <w:tcW w:type="dxa" w:w="1170"/>
            <w:shd w:fill="F2F5F8"/>
          </w:tcPr>
          <w:p>
            <w:pPr>
              <w:spacing w:before="60" w:after="60"/>
            </w:pPr>
            <w:r>
              <w:rPr>
                <w:color w:val="222222"/>
                <w:sz w:val="18"/>
              </w:rPr>
              <w:t>0.085%/day</w:t>
            </w:r>
          </w:p>
        </w:tc>
        <w:tc>
          <w:tcPr>
            <w:tcW w:type="dxa" w:w="1170"/>
            <w:shd w:fill="F2F5F8"/>
          </w:tcPr>
          <w:p>
            <w:pPr>
              <w:spacing w:before="60" w:after="60"/>
            </w:pPr>
            <w:r>
              <w:rPr>
                <w:color w:val="222222"/>
                <w:sz w:val="18"/>
              </w:rPr>
              <w:t>0.36%</w:t>
            </w:r>
          </w:p>
        </w:tc>
        <w:tc>
          <w:tcPr>
            <w:tcW w:type="dxa" w:w="1170"/>
            <w:shd w:fill="F2F5F8"/>
          </w:tcPr>
          <w:p>
            <w:pPr>
              <w:spacing w:before="60" w:after="60"/>
            </w:pPr>
            <w:r>
              <w:rPr>
                <w:color w:val="222222"/>
                <w:sz w:val="18"/>
              </w:rPr>
              <w:t>1.85%</w:t>
            </w:r>
          </w:p>
        </w:tc>
        <w:tc>
          <w:tcPr>
            <w:tcW w:type="dxa" w:w="1170"/>
            <w:shd w:fill="F2F5F8"/>
          </w:tcPr>
          <w:p>
            <w:pPr>
              <w:spacing w:before="60" w:after="60"/>
            </w:pPr>
            <w:r>
              <w:rPr>
                <w:color w:val="222222"/>
                <w:sz w:val="18"/>
              </w:rPr>
              <w:t>1.49%</w:t>
            </w:r>
          </w:p>
        </w:tc>
        <w:tc>
          <w:tcPr>
            <w:tcW w:type="dxa" w:w="1170"/>
            <w:shd w:fill="F2F5F8"/>
          </w:tcPr>
          <w:p>
            <w:pPr>
              <w:spacing w:before="60" w:after="60"/>
            </w:pPr>
            <w:r>
              <w:rPr>
                <w:color w:val="222222"/>
                <w:sz w:val="18"/>
              </w:rPr>
              <w:t>58,400.10 GJ</w:t>
            </w:r>
          </w:p>
        </w:tc>
      </w:tr>
      <w:tr>
        <w:trPr>
          <w:cantSplit/>
        </w:trPr>
        <w:tc>
          <w:tcPr>
            <w:tcW w:type="dxa" w:w="1170"/>
            <w:shd w:fill="FFFFFF"/>
          </w:tcPr>
          <w:p>
            <w:pPr>
              <w:spacing w:before="60" w:after="60"/>
            </w:pPr>
            <w:r>
              <w:rPr>
                <w:color w:val="222222"/>
                <w:sz w:val="18"/>
              </w:rPr>
              <w:t>LNG Vivit Arabia</w:t>
            </w:r>
          </w:p>
        </w:tc>
        <w:tc>
          <w:tcPr>
            <w:tcW w:type="dxa" w:w="1170"/>
            <w:shd w:fill="FFFFFF"/>
          </w:tcPr>
          <w:p>
            <w:pPr>
              <w:spacing w:before="60" w:after="60"/>
            </w:pPr>
            <w:r>
              <w:rPr>
                <w:color w:val="222222"/>
                <w:sz w:val="18"/>
              </w:rPr>
              <w:t>GTT Mark III Flex</w:t>
            </w:r>
          </w:p>
        </w:tc>
        <w:tc>
          <w:tcPr>
            <w:tcW w:type="dxa" w:w="1170"/>
            <w:shd w:fill="FFFFFF"/>
          </w:tcPr>
          <w:p>
            <w:pPr>
              <w:spacing w:before="60" w:after="60"/>
            </w:pPr>
            <w:r>
              <w:rPr>
                <w:color w:val="222222"/>
                <w:sz w:val="18"/>
              </w:rPr>
              <w:t>3.8 Days</w:t>
            </w:r>
          </w:p>
        </w:tc>
        <w:tc>
          <w:tcPr>
            <w:tcW w:type="dxa" w:w="1170"/>
            <w:shd w:fill="FFFFFF"/>
          </w:tcPr>
          <w:p>
            <w:pPr>
              <w:spacing w:before="60" w:after="60"/>
            </w:pPr>
            <w:r>
              <w:rPr>
                <w:color w:val="222222"/>
                <w:sz w:val="18"/>
              </w:rPr>
              <w:t>0.085%/day</w:t>
            </w:r>
          </w:p>
        </w:tc>
        <w:tc>
          <w:tcPr>
            <w:tcW w:type="dxa" w:w="1170"/>
            <w:shd w:fill="FFFFFF"/>
          </w:tcPr>
          <w:p>
            <w:pPr>
              <w:spacing w:before="60" w:after="60"/>
            </w:pPr>
            <w:r>
              <w:rPr>
                <w:color w:val="222222"/>
                <w:sz w:val="18"/>
              </w:rPr>
              <w:t>0.32%</w:t>
            </w:r>
          </w:p>
        </w:tc>
        <w:tc>
          <w:tcPr>
            <w:tcW w:type="dxa" w:w="1170"/>
            <w:shd w:fill="FFFFFF"/>
          </w:tcPr>
          <w:p>
            <w:pPr>
              <w:spacing w:before="60" w:after="60"/>
            </w:pPr>
            <w:r>
              <w:rPr>
                <w:color w:val="222222"/>
                <w:sz w:val="18"/>
              </w:rPr>
              <w:t>2.10%</w:t>
            </w:r>
          </w:p>
        </w:tc>
        <w:tc>
          <w:tcPr>
            <w:tcW w:type="dxa" w:w="1170"/>
            <w:shd w:fill="FFFFFF"/>
          </w:tcPr>
          <w:p>
            <w:pPr>
              <w:spacing w:before="60" w:after="60"/>
            </w:pPr>
            <w:r>
              <w:rPr>
                <w:color w:val="222222"/>
                <w:sz w:val="18"/>
              </w:rPr>
              <w:t>1.78%</w:t>
            </w:r>
          </w:p>
        </w:tc>
        <w:tc>
          <w:tcPr>
            <w:tcW w:type="dxa" w:w="1170"/>
            <w:shd w:fill="FFFFFF"/>
          </w:tcPr>
          <w:p>
            <w:pPr>
              <w:spacing w:before="60" w:after="60"/>
            </w:pPr>
            <w:r>
              <w:rPr>
                <w:color w:val="222222"/>
                <w:sz w:val="18"/>
              </w:rPr>
              <w:t>69,800.25 GJ</w:t>
            </w:r>
          </w:p>
        </w:tc>
      </w:tr>
      <w:tr>
        <w:trPr>
          <w:cantSplit/>
        </w:trPr>
        <w:tc>
          <w:tcPr>
            <w:tcW w:type="dxa" w:w="1170"/>
            <w:shd w:fill="F2F5F8"/>
          </w:tcPr>
          <w:p>
            <w:pPr>
              <w:spacing w:before="60" w:after="60"/>
            </w:pPr>
            <w:r>
              <w:rPr>
                <w:color w:val="222222"/>
                <w:sz w:val="18"/>
              </w:rPr>
              <w:t>LNG Vivit Africa</w:t>
            </w:r>
          </w:p>
        </w:tc>
        <w:tc>
          <w:tcPr>
            <w:tcW w:type="dxa" w:w="1170"/>
            <w:shd w:fill="F2F5F8"/>
          </w:tcPr>
          <w:p>
            <w:pPr>
              <w:spacing w:before="60" w:after="60"/>
            </w:pPr>
            <w:r>
              <w:rPr>
                <w:color w:val="222222"/>
                <w:sz w:val="18"/>
              </w:rPr>
              <w:t>GTT Mark III Flex</w:t>
            </w:r>
          </w:p>
        </w:tc>
        <w:tc>
          <w:tcPr>
            <w:tcW w:type="dxa" w:w="1170"/>
            <w:shd w:fill="F2F5F8"/>
          </w:tcPr>
          <w:p>
            <w:pPr>
              <w:spacing w:before="60" w:after="60"/>
            </w:pPr>
            <w:r>
              <w:rPr>
                <w:color w:val="222222"/>
                <w:sz w:val="18"/>
              </w:rPr>
              <w:t>4.0 Days</w:t>
            </w:r>
          </w:p>
        </w:tc>
        <w:tc>
          <w:tcPr>
            <w:tcW w:type="dxa" w:w="1170"/>
            <w:shd w:fill="F2F5F8"/>
          </w:tcPr>
          <w:p>
            <w:pPr>
              <w:spacing w:before="60" w:after="60"/>
            </w:pPr>
            <w:r>
              <w:rPr>
                <w:color w:val="222222"/>
                <w:sz w:val="18"/>
              </w:rPr>
              <w:t>0.085%/day</w:t>
            </w:r>
          </w:p>
        </w:tc>
        <w:tc>
          <w:tcPr>
            <w:tcW w:type="dxa" w:w="1170"/>
            <w:shd w:fill="F2F5F8"/>
          </w:tcPr>
          <w:p>
            <w:pPr>
              <w:spacing w:before="60" w:after="60"/>
            </w:pPr>
            <w:r>
              <w:rPr>
                <w:color w:val="222222"/>
                <w:sz w:val="18"/>
              </w:rPr>
              <w:t>0.34%</w:t>
            </w:r>
          </w:p>
        </w:tc>
        <w:tc>
          <w:tcPr>
            <w:tcW w:type="dxa" w:w="1170"/>
            <w:shd w:fill="F2F5F8"/>
          </w:tcPr>
          <w:p>
            <w:pPr>
              <w:spacing w:before="60" w:after="60"/>
            </w:pPr>
            <w:r>
              <w:rPr>
                <w:color w:val="222222"/>
                <w:sz w:val="18"/>
              </w:rPr>
              <w:t>1.95%</w:t>
            </w:r>
          </w:p>
        </w:tc>
        <w:tc>
          <w:tcPr>
            <w:tcW w:type="dxa" w:w="1170"/>
            <w:shd w:fill="F2F5F8"/>
          </w:tcPr>
          <w:p>
            <w:pPr>
              <w:spacing w:before="60" w:after="60"/>
            </w:pPr>
            <w:r>
              <w:rPr>
                <w:color w:val="222222"/>
                <w:sz w:val="18"/>
              </w:rPr>
              <w:t>1.61%</w:t>
            </w:r>
          </w:p>
        </w:tc>
        <w:tc>
          <w:tcPr>
            <w:tcW w:type="dxa" w:w="1170"/>
            <w:shd w:fill="F2F5F8"/>
          </w:tcPr>
          <w:p>
            <w:pPr>
              <w:spacing w:before="60" w:after="60"/>
            </w:pPr>
            <w:r>
              <w:rPr>
                <w:color w:val="222222"/>
                <w:sz w:val="18"/>
              </w:rPr>
              <w:t>63,100.40 GJ</w:t>
            </w:r>
          </w:p>
        </w:tc>
      </w:tr>
      <w:tr>
        <w:trPr>
          <w:cantSplit/>
        </w:trPr>
        <w:tc>
          <w:tcPr>
            <w:tcW w:type="dxa" w:w="1170"/>
            <w:shd w:fill="FFFFFF"/>
          </w:tcPr>
          <w:p>
            <w:pPr>
              <w:spacing w:before="60" w:after="60"/>
            </w:pPr>
            <w:r>
              <w:rPr>
                <w:color w:val="222222"/>
                <w:sz w:val="18"/>
              </w:rPr>
              <w:t>LNG Ferrol Knutsen</w:t>
            </w:r>
          </w:p>
        </w:tc>
        <w:tc>
          <w:tcPr>
            <w:tcW w:type="dxa" w:w="1170"/>
            <w:shd w:fill="FFFFFF"/>
          </w:tcPr>
          <w:p>
            <w:pPr>
              <w:spacing w:before="60" w:after="60"/>
            </w:pPr>
            <w:r>
              <w:rPr>
                <w:color w:val="222222"/>
                <w:sz w:val="18"/>
              </w:rPr>
              <w:t>GTT Mark III Flex</w:t>
            </w:r>
          </w:p>
        </w:tc>
        <w:tc>
          <w:tcPr>
            <w:tcW w:type="dxa" w:w="1170"/>
            <w:shd w:fill="FFFFFF"/>
          </w:tcPr>
          <w:p>
            <w:pPr>
              <w:spacing w:before="60" w:after="60"/>
            </w:pPr>
            <w:r>
              <w:rPr>
                <w:color w:val="222222"/>
                <w:sz w:val="18"/>
              </w:rPr>
              <w:t>4.8 Days</w:t>
            </w:r>
          </w:p>
        </w:tc>
        <w:tc>
          <w:tcPr>
            <w:tcW w:type="dxa" w:w="1170"/>
            <w:shd w:fill="FFFFFF"/>
          </w:tcPr>
          <w:p>
            <w:pPr>
              <w:spacing w:before="60" w:after="60"/>
            </w:pPr>
            <w:r>
              <w:rPr>
                <w:color w:val="222222"/>
                <w:sz w:val="18"/>
              </w:rPr>
              <w:t>0.085%/day</w:t>
            </w:r>
          </w:p>
        </w:tc>
        <w:tc>
          <w:tcPr>
            <w:tcW w:type="dxa" w:w="1170"/>
            <w:shd w:fill="FFFFFF"/>
          </w:tcPr>
          <w:p>
            <w:pPr>
              <w:spacing w:before="60" w:after="60"/>
            </w:pPr>
            <w:r>
              <w:rPr>
                <w:color w:val="222222"/>
                <w:sz w:val="18"/>
              </w:rPr>
              <w:t>0.41%</w:t>
            </w:r>
          </w:p>
        </w:tc>
        <w:tc>
          <w:tcPr>
            <w:tcW w:type="dxa" w:w="1170"/>
            <w:shd w:fill="FFFFFF"/>
          </w:tcPr>
          <w:p>
            <w:pPr>
              <w:spacing w:before="60" w:after="60"/>
            </w:pPr>
            <w:r>
              <w:rPr>
                <w:color w:val="222222"/>
                <w:sz w:val="18"/>
              </w:rPr>
              <w:t>2.45%</w:t>
            </w:r>
          </w:p>
        </w:tc>
        <w:tc>
          <w:tcPr>
            <w:tcW w:type="dxa" w:w="1170"/>
            <w:shd w:fill="FFFFFF"/>
          </w:tcPr>
          <w:p>
            <w:pPr>
              <w:spacing w:before="60" w:after="60"/>
            </w:pPr>
            <w:r>
              <w:rPr>
                <w:color w:val="222222"/>
                <w:sz w:val="18"/>
              </w:rPr>
              <w:t>2.04%</w:t>
            </w:r>
          </w:p>
        </w:tc>
        <w:tc>
          <w:tcPr>
            <w:tcW w:type="dxa" w:w="1170"/>
            <w:shd w:fill="FFFFFF"/>
          </w:tcPr>
          <w:p>
            <w:pPr>
              <w:spacing w:before="60" w:after="60"/>
            </w:pPr>
            <w:r>
              <w:rPr>
                <w:color w:val="222222"/>
                <w:sz w:val="18"/>
              </w:rPr>
              <w:t>79,900.80 GJ</w:t>
            </w:r>
          </w:p>
        </w:tc>
      </w:tr>
      <w:tr>
        <w:trPr>
          <w:cantSplit/>
        </w:trPr>
        <w:tc>
          <w:tcPr>
            <w:tcW w:type="dxa" w:w="1170"/>
            <w:shd w:fill="F2F5F8"/>
          </w:tcPr>
          <w:p>
            <w:pPr>
              <w:spacing w:before="60" w:after="60"/>
            </w:pPr>
            <w:r>
              <w:rPr>
                <w:color w:val="222222"/>
                <w:sz w:val="18"/>
              </w:rPr>
              <w:t>LNG SM Bluebird</w:t>
            </w:r>
          </w:p>
        </w:tc>
        <w:tc>
          <w:tcPr>
            <w:tcW w:type="dxa" w:w="1170"/>
            <w:shd w:fill="F2F5F8"/>
          </w:tcPr>
          <w:p>
            <w:pPr>
              <w:spacing w:before="60" w:after="60"/>
            </w:pPr>
            <w:r>
              <w:rPr>
                <w:color w:val="222222"/>
                <w:sz w:val="18"/>
              </w:rPr>
              <w:t>GTT NO96 Membrane</w:t>
            </w:r>
          </w:p>
        </w:tc>
        <w:tc>
          <w:tcPr>
            <w:tcW w:type="dxa" w:w="1170"/>
            <w:shd w:fill="F2F5F8"/>
          </w:tcPr>
          <w:p>
            <w:pPr>
              <w:spacing w:before="60" w:after="60"/>
            </w:pPr>
            <w:r>
              <w:rPr>
                <w:color w:val="222222"/>
                <w:sz w:val="18"/>
              </w:rPr>
              <w:t>4.1 Days</w:t>
            </w:r>
          </w:p>
        </w:tc>
        <w:tc>
          <w:tcPr>
            <w:tcW w:type="dxa" w:w="1170"/>
            <w:shd w:fill="F2F5F8"/>
          </w:tcPr>
          <w:p>
            <w:pPr>
              <w:spacing w:before="60" w:after="60"/>
            </w:pPr>
            <w:r>
              <w:rPr>
                <w:color w:val="222222"/>
                <w:sz w:val="18"/>
              </w:rPr>
              <w:t>0.090%/day</w:t>
            </w:r>
          </w:p>
        </w:tc>
        <w:tc>
          <w:tcPr>
            <w:tcW w:type="dxa" w:w="1170"/>
            <w:shd w:fill="F2F5F8"/>
          </w:tcPr>
          <w:p>
            <w:pPr>
              <w:spacing w:before="60" w:after="60"/>
            </w:pPr>
            <w:r>
              <w:rPr>
                <w:color w:val="222222"/>
                <w:sz w:val="18"/>
              </w:rPr>
              <w:t>0.37%</w:t>
            </w:r>
          </w:p>
        </w:tc>
        <w:tc>
          <w:tcPr>
            <w:tcW w:type="dxa" w:w="1170"/>
            <w:shd w:fill="F2F5F8"/>
          </w:tcPr>
          <w:p>
            <w:pPr>
              <w:spacing w:before="60" w:after="60"/>
            </w:pPr>
            <w:r>
              <w:rPr>
                <w:color w:val="222222"/>
                <w:sz w:val="18"/>
              </w:rPr>
              <w:t>2.20%</w:t>
            </w:r>
          </w:p>
        </w:tc>
        <w:tc>
          <w:tcPr>
            <w:tcW w:type="dxa" w:w="1170"/>
            <w:shd w:fill="F2F5F8"/>
          </w:tcPr>
          <w:p>
            <w:pPr>
              <w:spacing w:before="60" w:after="60"/>
            </w:pPr>
            <w:r>
              <w:rPr>
                <w:color w:val="222222"/>
                <w:sz w:val="18"/>
              </w:rPr>
              <w:t>1.83%</w:t>
            </w:r>
          </w:p>
        </w:tc>
        <w:tc>
          <w:tcPr>
            <w:tcW w:type="dxa" w:w="1170"/>
            <w:shd w:fill="F2F5F8"/>
          </w:tcPr>
          <w:p>
            <w:pPr>
              <w:spacing w:before="60" w:after="60"/>
            </w:pPr>
            <w:r>
              <w:rPr>
                <w:color w:val="222222"/>
                <w:sz w:val="18"/>
              </w:rPr>
              <w:t>71,700.50 GJ</w:t>
            </w:r>
          </w:p>
        </w:tc>
      </w:tr>
      <w:tr>
        <w:trPr>
          <w:cantSplit/>
        </w:trPr>
        <w:tc>
          <w:tcPr>
            <w:tcW w:type="dxa" w:w="1170"/>
            <w:shd w:fill="FFFFFF"/>
          </w:tcPr>
          <w:p>
            <w:pPr>
              <w:spacing w:before="60" w:after="60"/>
            </w:pPr>
            <w:r>
              <w:rPr>
                <w:color w:val="222222"/>
                <w:sz w:val="18"/>
              </w:rPr>
              <w:t>LNG Maran Gas Agamemnon</w:t>
            </w:r>
          </w:p>
        </w:tc>
        <w:tc>
          <w:tcPr>
            <w:tcW w:type="dxa" w:w="1170"/>
            <w:shd w:fill="FFFFFF"/>
          </w:tcPr>
          <w:p>
            <w:pPr>
              <w:spacing w:before="60" w:after="60"/>
            </w:pPr>
            <w:r>
              <w:rPr>
                <w:color w:val="222222"/>
                <w:sz w:val="18"/>
              </w:rPr>
              <w:t>GTT Mark III Flex</w:t>
            </w:r>
          </w:p>
        </w:tc>
        <w:tc>
          <w:tcPr>
            <w:tcW w:type="dxa" w:w="1170"/>
            <w:shd w:fill="FFFFFF"/>
          </w:tcPr>
          <w:p>
            <w:pPr>
              <w:spacing w:before="60" w:after="60"/>
            </w:pPr>
            <w:r>
              <w:rPr>
                <w:color w:val="222222"/>
                <w:sz w:val="18"/>
              </w:rPr>
              <w:t>3.9 Days</w:t>
            </w:r>
          </w:p>
        </w:tc>
        <w:tc>
          <w:tcPr>
            <w:tcW w:type="dxa" w:w="1170"/>
            <w:shd w:fill="FFFFFF"/>
          </w:tcPr>
          <w:p>
            <w:pPr>
              <w:spacing w:before="60" w:after="60"/>
            </w:pPr>
            <w:r>
              <w:rPr>
                <w:color w:val="222222"/>
                <w:sz w:val="18"/>
              </w:rPr>
              <w:t>0.085%/day</w:t>
            </w:r>
          </w:p>
        </w:tc>
        <w:tc>
          <w:tcPr>
            <w:tcW w:type="dxa" w:w="1170"/>
            <w:shd w:fill="FFFFFF"/>
          </w:tcPr>
          <w:p>
            <w:pPr>
              <w:spacing w:before="60" w:after="60"/>
            </w:pPr>
            <w:r>
              <w:rPr>
                <w:color w:val="222222"/>
                <w:sz w:val="18"/>
              </w:rPr>
              <w:t>0.33%</w:t>
            </w:r>
          </w:p>
        </w:tc>
        <w:tc>
          <w:tcPr>
            <w:tcW w:type="dxa" w:w="1170"/>
            <w:shd w:fill="FFFFFF"/>
          </w:tcPr>
          <w:p>
            <w:pPr>
              <w:spacing w:before="60" w:after="60"/>
            </w:pPr>
            <w:r>
              <w:rPr>
                <w:color w:val="222222"/>
                <w:sz w:val="18"/>
              </w:rPr>
              <w:t>1.90%</w:t>
            </w:r>
          </w:p>
        </w:tc>
        <w:tc>
          <w:tcPr>
            <w:tcW w:type="dxa" w:w="1170"/>
            <w:shd w:fill="FFFFFF"/>
          </w:tcPr>
          <w:p>
            <w:pPr>
              <w:spacing w:before="60" w:after="60"/>
            </w:pPr>
            <w:r>
              <w:rPr>
                <w:color w:val="222222"/>
                <w:sz w:val="18"/>
              </w:rPr>
              <w:t>1.57%</w:t>
            </w:r>
          </w:p>
        </w:tc>
        <w:tc>
          <w:tcPr>
            <w:tcW w:type="dxa" w:w="1170"/>
            <w:shd w:fill="FFFFFF"/>
          </w:tcPr>
          <w:p>
            <w:pPr>
              <w:spacing w:before="60" w:after="60"/>
            </w:pPr>
            <w:r>
              <w:rPr>
                <w:color w:val="222222"/>
                <w:sz w:val="18"/>
              </w:rPr>
              <w:t>61,500.30 GJ</w:t>
            </w:r>
          </w:p>
        </w:tc>
      </w:tr>
      <w:tr>
        <w:trPr>
          <w:cantSplit/>
        </w:trPr>
        <w:tc>
          <w:tcPr>
            <w:tcW w:type="dxa" w:w="1170"/>
            <w:shd w:fill="F2F5F8"/>
          </w:tcPr>
          <w:p>
            <w:pPr>
              <w:spacing w:before="60" w:after="60"/>
            </w:pPr>
            <w:r>
              <w:rPr>
                <w:color w:val="222222"/>
                <w:sz w:val="18"/>
              </w:rPr>
              <w:t>LNG Gaslog Houston</w:t>
            </w:r>
          </w:p>
        </w:tc>
        <w:tc>
          <w:tcPr>
            <w:tcW w:type="dxa" w:w="1170"/>
            <w:shd w:fill="F2F5F8"/>
          </w:tcPr>
          <w:p>
            <w:pPr>
              <w:spacing w:before="60" w:after="60"/>
            </w:pPr>
            <w:r>
              <w:rPr>
                <w:color w:val="222222"/>
                <w:sz w:val="18"/>
              </w:rPr>
              <w:t>GTT Mark III Flex</w:t>
            </w:r>
          </w:p>
        </w:tc>
        <w:tc>
          <w:tcPr>
            <w:tcW w:type="dxa" w:w="1170"/>
            <w:shd w:fill="F2F5F8"/>
          </w:tcPr>
          <w:p>
            <w:pPr>
              <w:spacing w:before="60" w:after="60"/>
            </w:pPr>
            <w:r>
              <w:rPr>
                <w:color w:val="222222"/>
                <w:sz w:val="18"/>
              </w:rPr>
              <w:t>4.5 Days</w:t>
            </w:r>
          </w:p>
        </w:tc>
        <w:tc>
          <w:tcPr>
            <w:tcW w:type="dxa" w:w="1170"/>
            <w:shd w:fill="F2F5F8"/>
          </w:tcPr>
          <w:p>
            <w:pPr>
              <w:spacing w:before="60" w:after="60"/>
            </w:pPr>
            <w:r>
              <w:rPr>
                <w:color w:val="222222"/>
                <w:sz w:val="18"/>
              </w:rPr>
              <w:t>0.085%/day</w:t>
            </w:r>
          </w:p>
        </w:tc>
        <w:tc>
          <w:tcPr>
            <w:tcW w:type="dxa" w:w="1170"/>
            <w:shd w:fill="F2F5F8"/>
          </w:tcPr>
          <w:p>
            <w:pPr>
              <w:spacing w:before="60" w:after="60"/>
            </w:pPr>
            <w:r>
              <w:rPr>
                <w:color w:val="222222"/>
                <w:sz w:val="18"/>
              </w:rPr>
              <w:t>0.38%</w:t>
            </w:r>
          </w:p>
        </w:tc>
        <w:tc>
          <w:tcPr>
            <w:tcW w:type="dxa" w:w="1170"/>
            <w:shd w:fill="F2F5F8"/>
          </w:tcPr>
          <w:p>
            <w:pPr>
              <w:spacing w:before="60" w:after="60"/>
            </w:pPr>
            <w:r>
              <w:rPr>
                <w:color w:val="222222"/>
                <w:sz w:val="18"/>
              </w:rPr>
              <w:t>2.30%</w:t>
            </w:r>
          </w:p>
        </w:tc>
        <w:tc>
          <w:tcPr>
            <w:tcW w:type="dxa" w:w="1170"/>
            <w:shd w:fill="F2F5F8"/>
          </w:tcPr>
          <w:p>
            <w:pPr>
              <w:spacing w:before="60" w:after="60"/>
            </w:pPr>
            <w:r>
              <w:rPr>
                <w:color w:val="222222"/>
                <w:sz w:val="18"/>
              </w:rPr>
              <w:t>1.92%</w:t>
            </w:r>
          </w:p>
        </w:tc>
        <w:tc>
          <w:tcPr>
            <w:tcW w:type="dxa" w:w="1170"/>
            <w:shd w:fill="F2F5F8"/>
          </w:tcPr>
          <w:p>
            <w:pPr>
              <w:spacing w:before="60" w:after="60"/>
            </w:pPr>
            <w:r>
              <w:rPr>
                <w:color w:val="222222"/>
                <w:sz w:val="18"/>
              </w:rPr>
              <w:t>75,200.60 GJ</w:t>
            </w:r>
          </w:p>
        </w:tc>
      </w:tr>
      <w:tr>
        <w:trPr>
          <w:cantSplit/>
        </w:trPr>
        <w:tc>
          <w:tcPr>
            <w:tcW w:type="dxa" w:w="1170"/>
            <w:shd w:fill="FFFFFF"/>
          </w:tcPr>
          <w:p>
            <w:pPr>
              <w:spacing w:before="60" w:after="60"/>
            </w:pPr>
            <w:r>
              <w:rPr>
                <w:color w:val="222222"/>
                <w:sz w:val="18"/>
              </w:rPr>
              <w:t>FSRU BW Batangas (June)</w:t>
            </w:r>
          </w:p>
        </w:tc>
        <w:tc>
          <w:tcPr>
            <w:tcW w:type="dxa" w:w="1170"/>
            <w:shd w:fill="FFFFFF"/>
          </w:tcPr>
          <w:p>
            <w:pPr>
              <w:spacing w:before="60" w:after="60"/>
            </w:pPr>
            <w:r>
              <w:rPr>
                <w:color w:val="222222"/>
                <w:sz w:val="18"/>
              </w:rPr>
              <w:t>GTT Mark III FSRU</w:t>
            </w:r>
          </w:p>
        </w:tc>
        <w:tc>
          <w:tcPr>
            <w:tcW w:type="dxa" w:w="1170"/>
            <w:shd w:fill="FFFFFF"/>
          </w:tcPr>
          <w:p>
            <w:pPr>
              <w:spacing w:before="60" w:after="60"/>
            </w:pPr>
            <w:r>
              <w:rPr>
                <w:color w:val="222222"/>
                <w:sz w:val="18"/>
              </w:rPr>
              <w:t>30 Days Storage</w:t>
            </w:r>
          </w:p>
        </w:tc>
        <w:tc>
          <w:tcPr>
            <w:tcW w:type="dxa" w:w="1170"/>
            <w:shd w:fill="FFFFFF"/>
          </w:tcPr>
          <w:p>
            <w:pPr>
              <w:spacing w:before="60" w:after="60"/>
            </w:pPr>
            <w:r>
              <w:rPr>
                <w:color w:val="222222"/>
                <w:sz w:val="18"/>
              </w:rPr>
              <w:t>0.016%/day (FSRU)</w:t>
            </w:r>
          </w:p>
        </w:tc>
        <w:tc>
          <w:tcPr>
            <w:tcW w:type="dxa" w:w="1170"/>
            <w:shd w:fill="FFFFFF"/>
          </w:tcPr>
          <w:p>
            <w:pPr>
              <w:spacing w:before="60" w:after="60"/>
            </w:pPr>
            <w:r>
              <w:rPr>
                <w:color w:val="222222"/>
                <w:sz w:val="18"/>
              </w:rPr>
              <w:t>0.50% (Monthly)</w:t>
            </w:r>
          </w:p>
        </w:tc>
        <w:tc>
          <w:tcPr>
            <w:tcW w:type="dxa" w:w="1170"/>
            <w:shd w:fill="FFFFFF"/>
          </w:tcPr>
          <w:p>
            <w:pPr>
              <w:spacing w:before="60" w:after="60"/>
            </w:pPr>
            <w:r>
              <w:rPr>
                <w:color w:val="222222"/>
                <w:sz w:val="18"/>
              </w:rPr>
              <w:t>9.92%</w:t>
            </w:r>
          </w:p>
        </w:tc>
        <w:tc>
          <w:tcPr>
            <w:tcW w:type="dxa" w:w="1170"/>
            <w:shd w:fill="FFFFFF"/>
          </w:tcPr>
          <w:p>
            <w:pPr>
              <w:spacing w:before="60" w:after="60"/>
            </w:pPr>
            <w:r>
              <w:rPr>
                <w:color w:val="222222"/>
                <w:sz w:val="18"/>
              </w:rPr>
              <w:t>9.42%</w:t>
            </w:r>
          </w:p>
        </w:tc>
        <w:tc>
          <w:tcPr>
            <w:tcW w:type="dxa" w:w="1170"/>
            <w:shd w:fill="FFFFFF"/>
          </w:tcPr>
          <w:p>
            <w:pPr>
              <w:spacing w:before="60" w:after="60"/>
            </w:pPr>
            <w:r>
              <w:rPr>
                <w:color w:val="222222"/>
                <w:sz w:val="18"/>
              </w:rPr>
              <w:t>117,198.58 GJ (Total)</w:t>
            </w:r>
          </w:p>
        </w:tc>
      </w:tr>
    </w:tbl>
    <w:p>
      <w:pPr>
        <w:keepNext/>
        <w:spacing w:before="160" w:after="40"/>
        <w:jc w:val="center"/>
      </w:pPr>
      <w:r>
        <w:drawing>
          <wp:inline xmlns:a="http://schemas.openxmlformats.org/drawingml/2006/main" xmlns:pic="http://schemas.openxmlformats.org/drawingml/2006/picture">
            <wp:extent cx="5669280" cy="3118104"/>
            <wp:docPr id="7" name="Picture 7"/>
            <wp:cNvGraphicFramePr>
              <a:graphicFrameLocks noChangeAspect="1"/>
            </wp:cNvGraphicFramePr>
            <a:graphic>
              <a:graphicData uri="http://schemas.openxmlformats.org/drawingml/2006/picture">
                <pic:pic>
                  <pic:nvPicPr>
                    <pic:cNvPr id="0" name="graph_25_siggtto_dnv_bog_benchmark.png"/>
                    <pic:cNvPicPr/>
                  </pic:nvPicPr>
                  <pic:blipFill>
                    <a:blip r:embed="rId16"/>
                    <a:stretch>
                      <a:fillRect/>
                    </a:stretch>
                  </pic:blipFill>
                  <pic:spPr>
                    <a:xfrm>
                      <a:off x="0" y="0"/>
                      <a:ext cx="5669280" cy="3118104"/>
                    </a:xfrm>
                    <a:prstGeom prst="rect"/>
                  </pic:spPr>
                </pic:pic>
              </a:graphicData>
            </a:graphic>
          </wp:inline>
        </w:drawing>
      </w:r>
    </w:p>
    <w:p>
      <w:pPr>
        <w:keepNext/>
        <w:spacing w:before="40" w:after="160"/>
        <w:jc w:val="center"/>
      </w:pPr>
      <w:r>
        <w:rPr>
          <w:b/>
          <w:color w:val="1B365D"/>
          <w:sz w:val="19"/>
        </w:rPr>
        <w:t>Figure 7: SIGTTO &amp; Marine Classification Society Boil-Off Benchmarks vs Actual Billed FSRU Boil-Off</w:t>
      </w:r>
    </w:p>
    <w:p>
      <w:pPr>
        <w:keepNext/>
        <w:spacing w:before="200" w:after="80"/>
      </w:pPr>
      <w:r>
        <w:rPr>
          <w:rFonts w:ascii="Times New Roman" w:hAnsi="Times New Roman"/>
          <w:b/>
          <w:color w:val="333333"/>
          <w:sz w:val="23"/>
        </w:rPr>
        <w:t>Critical Forensic Discussion &amp; Regulatory Interpretation: Table 8 &amp; Figure 7: SIGTTO Benchmarking &amp; Physical Containment Performance</w:t>
      </w:r>
    </w:p>
    <w:p>
      <w:pPr>
        <w:spacing w:after="120" w:line="276" w:lineRule="auto"/>
        <w:ind w:left="288"/>
        <w:jc w:val="both"/>
      </w:pPr>
      <w:r>
        <w:rPr>
          <w:rFonts w:ascii="Times New Roman" w:hAnsi="Times New Roman"/>
          <w:color w:val="222222"/>
          <w:sz w:val="22"/>
        </w:rPr>
        <w:t>Table 8 and Figure 7 provide definitive marine engineering proof that billed boil-off gas quantities were commercially and physically fabricated. Modern membrane containment systems utilized on all 7 spot vessels guarantee maximum boil-off rates below 0.10% per day. Even under conservative marine assumptions, allowable voyage BOG ranges between 0.32% and 0.41%.</w:t>
      </w:r>
    </w:p>
    <w:p>
      <w:pPr>
        <w:spacing w:after="120" w:line="276" w:lineRule="auto"/>
        <w:ind w:left="288"/>
        <w:jc w:val="both"/>
      </w:pPr>
      <w:r>
        <w:rPr>
          <w:rFonts w:ascii="Times New Roman" w:hAnsi="Times New Roman"/>
          <w:color w:val="222222"/>
          <w:sz w:val="22"/>
        </w:rPr>
        <w:t>Yet, the invoiced BOG rates ranged from 1.85% to 2.45% for LNGCs and reached an astronomical 9.92% on FSRU BW Batangas. This proves that either (1) significant volumes of LNG cargo were diverted or flared for unrecorded affiliate operations, or (2) the GenCos billed phantom boil-off quantities directly into MERALCO pass-through invoices while the gas was safely stored in containment tanks.</w:t>
      </w:r>
    </w:p>
    <w:p>
      <w:pPr>
        <w:keepNext/>
        <w:spacing w:before="360" w:after="160"/>
      </w:pPr>
      <w:r>
        <w:rPr>
          <w:rFonts w:ascii="Times New Roman" w:hAnsi="Times New Roman"/>
          <w:b/>
          <w:color w:val="1B365D"/>
          <w:sz w:val="30"/>
        </w:rPr>
        <w:t>12. Comprehensive Plant-by-Plant Disallowance Reconciliations</w:t>
      </w:r>
    </w:p>
    <w:p>
      <w:pPr>
        <w:spacing w:after="120" w:line="276" w:lineRule="auto"/>
        <w:jc w:val="both"/>
      </w:pPr>
      <w:r>
        <w:rPr>
          <w:rFonts w:ascii="Times New Roman" w:hAnsi="Times New Roman"/>
          <w:color w:val="222222"/>
          <w:sz w:val="22"/>
        </w:rPr>
        <w:t>This section details the line-item mathematical reconciliations and statutory disallowances calculated across FGPC (Santa Rita, 1,000 MW), FGP (San Lorenzo, 500 MW), and EERI (Batangas CCGT, 1,275 MW / 1,750 MW) for the June 2026 billing reconciliation period.</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337"/>
            <w:shd w:fill="1B365D"/>
          </w:tcPr>
          <w:p>
            <w:pPr>
              <w:spacing w:before="80" w:after="80"/>
              <w:jc w:val="center"/>
            </w:pPr>
            <w:r>
              <w:rPr>
                <w:b/>
                <w:color w:val="FFFFFF"/>
                <w:sz w:val="19"/>
              </w:rPr>
              <w:t>Line Item Description</w:t>
            </w:r>
          </w:p>
        </w:tc>
        <w:tc>
          <w:tcPr>
            <w:tcW w:type="dxa" w:w="1337"/>
            <w:shd w:fill="1B365D"/>
          </w:tcPr>
          <w:p>
            <w:pPr>
              <w:spacing w:before="80" w:after="80"/>
              <w:jc w:val="center"/>
            </w:pPr>
            <w:r>
              <w:rPr>
                <w:b/>
                <w:color w:val="FFFFFF"/>
                <w:sz w:val="19"/>
              </w:rPr>
              <w:t>GenCo Billing Claim</w:t>
            </w:r>
          </w:p>
        </w:tc>
        <w:tc>
          <w:tcPr>
            <w:tcW w:type="dxa" w:w="1337"/>
            <w:shd w:fill="1B365D"/>
          </w:tcPr>
          <w:p>
            <w:pPr>
              <w:spacing w:before="80" w:after="80"/>
              <w:jc w:val="center"/>
            </w:pPr>
            <w:r>
              <w:rPr>
                <w:b/>
                <w:color w:val="FFFFFF"/>
                <w:sz w:val="19"/>
              </w:rPr>
              <w:t>Regulatory / Contract Cap</w:t>
            </w:r>
          </w:p>
        </w:tc>
        <w:tc>
          <w:tcPr>
            <w:tcW w:type="dxa" w:w="1337"/>
            <w:shd w:fill="1B365D"/>
          </w:tcPr>
          <w:p>
            <w:pPr>
              <w:spacing w:before="80" w:after="80"/>
              <w:jc w:val="center"/>
            </w:pPr>
            <w:r>
              <w:rPr>
                <w:b/>
                <w:color w:val="FFFFFF"/>
                <w:sz w:val="19"/>
              </w:rPr>
              <w:t>Variance / Discrepancy</w:t>
            </w:r>
          </w:p>
        </w:tc>
        <w:tc>
          <w:tcPr>
            <w:tcW w:type="dxa" w:w="1337"/>
            <w:shd w:fill="1B365D"/>
          </w:tcPr>
          <w:p>
            <w:pPr>
              <w:spacing w:before="80" w:after="80"/>
              <w:jc w:val="center"/>
            </w:pPr>
            <w:r>
              <w:rPr>
                <w:b/>
                <w:color w:val="FFFFFF"/>
                <w:sz w:val="19"/>
              </w:rPr>
              <w:t>Disallowed Quantum (USD)</w:t>
            </w:r>
          </w:p>
        </w:tc>
        <w:tc>
          <w:tcPr>
            <w:tcW w:type="dxa" w:w="1337"/>
            <w:shd w:fill="1B365D"/>
          </w:tcPr>
          <w:p>
            <w:pPr>
              <w:spacing w:before="80" w:after="80"/>
              <w:jc w:val="center"/>
            </w:pPr>
            <w:r>
              <w:rPr>
                <w:b/>
                <w:color w:val="FFFFFF"/>
                <w:sz w:val="19"/>
              </w:rPr>
              <w:t>Disallowed Quantum (PHP)</w:t>
            </w:r>
          </w:p>
        </w:tc>
        <w:tc>
          <w:tcPr>
            <w:tcW w:type="dxa" w:w="1337"/>
            <w:shd w:fill="1B365D"/>
          </w:tcPr>
          <w:p>
            <w:pPr>
              <w:spacing w:before="80" w:after="80"/>
              <w:jc w:val="center"/>
            </w:pPr>
            <w:r>
              <w:rPr>
                <w:b/>
                <w:color w:val="FFFFFF"/>
                <w:sz w:val="19"/>
              </w:rPr>
              <w:t>Tariff Impact (PhP/kWh)</w:t>
            </w:r>
          </w:p>
        </w:tc>
      </w:tr>
      <w:tr>
        <w:trPr>
          <w:cantSplit/>
        </w:trPr>
        <w:tc>
          <w:tcPr>
            <w:tcW w:type="dxa" w:w="1337"/>
            <w:shd w:fill="F2F5F8"/>
          </w:tcPr>
          <w:p>
            <w:pPr>
              <w:spacing w:before="60" w:after="60"/>
            </w:pPr>
            <w:r>
              <w:rPr>
                <w:color w:val="222222"/>
                <w:sz w:val="18"/>
              </w:rPr>
              <w:t>Regas Terminal Fee</w:t>
            </w:r>
          </w:p>
        </w:tc>
        <w:tc>
          <w:tcPr>
            <w:tcW w:type="dxa" w:w="1337"/>
            <w:shd w:fill="F2F5F8"/>
          </w:tcPr>
          <w:p>
            <w:pPr>
              <w:spacing w:before="60" w:after="60"/>
            </w:pPr>
            <w:r>
              <w:rPr>
                <w:color w:val="222222"/>
                <w:sz w:val="18"/>
              </w:rPr>
              <w:t>$6,320,642.00 ($8.1341/MMBtu)</w:t>
            </w:r>
          </w:p>
        </w:tc>
        <w:tc>
          <w:tcPr>
            <w:tcW w:type="dxa" w:w="1337"/>
            <w:shd w:fill="F2F5F8"/>
          </w:tcPr>
          <w:p>
            <w:pPr>
              <w:spacing w:before="60" w:after="60"/>
            </w:pPr>
            <w:r>
              <w:rPr>
                <w:color w:val="222222"/>
                <w:sz w:val="18"/>
              </w:rPr>
              <w:t>$932,461.85 ($1.2000/MMBtu)</w:t>
            </w:r>
          </w:p>
        </w:tc>
        <w:tc>
          <w:tcPr>
            <w:tcW w:type="dxa" w:w="1337"/>
            <w:shd w:fill="F2F5F8"/>
          </w:tcPr>
          <w:p>
            <w:pPr>
              <w:spacing w:before="60" w:after="60"/>
            </w:pPr>
            <w:r>
              <w:rPr>
                <w:color w:val="222222"/>
                <w:sz w:val="18"/>
              </w:rPr>
              <w:t>+$6.9341/MMBtu (+578%)</w:t>
            </w:r>
          </w:p>
        </w:tc>
        <w:tc>
          <w:tcPr>
            <w:tcW w:type="dxa" w:w="1337"/>
            <w:shd w:fill="F2F5F8"/>
          </w:tcPr>
          <w:p>
            <w:pPr>
              <w:spacing w:before="60" w:after="60"/>
            </w:pPr>
            <w:r>
              <w:rPr>
                <w:color w:val="222222"/>
                <w:sz w:val="18"/>
              </w:rPr>
              <w:t>$5,388,180.15</w:t>
            </w:r>
          </w:p>
        </w:tc>
        <w:tc>
          <w:tcPr>
            <w:tcW w:type="dxa" w:w="1337"/>
            <w:shd w:fill="F2F5F8"/>
          </w:tcPr>
          <w:p>
            <w:pPr>
              <w:spacing w:before="60" w:after="60"/>
            </w:pPr>
            <w:r>
              <w:rPr>
                <w:color w:val="222222"/>
                <w:sz w:val="18"/>
              </w:rPr>
              <w:t>PhP 332,089,707.28</w:t>
            </w:r>
          </w:p>
        </w:tc>
        <w:tc>
          <w:tcPr>
            <w:tcW w:type="dxa" w:w="1337"/>
            <w:shd w:fill="F2F5F8"/>
          </w:tcPr>
          <w:p>
            <w:pPr>
              <w:spacing w:before="60" w:after="60"/>
            </w:pPr>
            <w:r>
              <w:rPr>
                <w:color w:val="222222"/>
                <w:sz w:val="18"/>
              </w:rPr>
              <w:t>-PhP 0.7162/kWh</w:t>
            </w:r>
          </w:p>
        </w:tc>
      </w:tr>
      <w:tr>
        <w:trPr>
          <w:cantSplit/>
        </w:trPr>
        <w:tc>
          <w:tcPr>
            <w:tcW w:type="dxa" w:w="1337"/>
            <w:shd w:fill="FFFFFF"/>
          </w:tcPr>
          <w:p>
            <w:pPr>
              <w:spacing w:before="60" w:after="60"/>
            </w:pPr>
            <w:r>
              <w:rPr>
                <w:color w:val="222222"/>
                <w:sz w:val="18"/>
              </w:rPr>
              <w:t>Boil-Off Gas (BOG)</w:t>
            </w:r>
          </w:p>
        </w:tc>
        <w:tc>
          <w:tcPr>
            <w:tcW w:type="dxa" w:w="1337"/>
            <w:shd w:fill="FFFFFF"/>
          </w:tcPr>
          <w:p>
            <w:pPr>
              <w:spacing w:before="60" w:after="60"/>
            </w:pPr>
            <w:r>
              <w:rPr>
                <w:color w:val="222222"/>
                <w:sz w:val="18"/>
              </w:rPr>
              <w:t>81,328.27 GJ (9.920%)</w:t>
            </w:r>
          </w:p>
        </w:tc>
        <w:tc>
          <w:tcPr>
            <w:tcW w:type="dxa" w:w="1337"/>
            <w:shd w:fill="FFFFFF"/>
          </w:tcPr>
          <w:p>
            <w:pPr>
              <w:spacing w:before="60" w:after="60"/>
            </w:pPr>
            <w:r>
              <w:rPr>
                <w:color w:val="222222"/>
                <w:sz w:val="18"/>
              </w:rPr>
              <w:t>4,099.16 GJ (0.500%)</w:t>
            </w:r>
          </w:p>
        </w:tc>
        <w:tc>
          <w:tcPr>
            <w:tcW w:type="dxa" w:w="1337"/>
            <w:shd w:fill="FFFFFF"/>
          </w:tcPr>
          <w:p>
            <w:pPr>
              <w:spacing w:before="60" w:after="60"/>
            </w:pPr>
            <w:r>
              <w:rPr>
                <w:color w:val="222222"/>
                <w:sz w:val="18"/>
              </w:rPr>
              <w:t>+77,229.11 GJ (+1,884%)</w:t>
            </w:r>
          </w:p>
        </w:tc>
        <w:tc>
          <w:tcPr>
            <w:tcW w:type="dxa" w:w="1337"/>
            <w:shd w:fill="FFFFFF"/>
          </w:tcPr>
          <w:p>
            <w:pPr>
              <w:spacing w:before="60" w:after="60"/>
            </w:pPr>
            <w:r>
              <w:rPr>
                <w:color w:val="222222"/>
                <w:sz w:val="18"/>
              </w:rPr>
              <w:t>$915,164.90</w:t>
            </w:r>
          </w:p>
        </w:tc>
        <w:tc>
          <w:tcPr>
            <w:tcW w:type="dxa" w:w="1337"/>
            <w:shd w:fill="FFFFFF"/>
          </w:tcPr>
          <w:p>
            <w:pPr>
              <w:spacing w:before="60" w:after="60"/>
            </w:pPr>
            <w:r>
              <w:rPr>
                <w:color w:val="222222"/>
                <w:sz w:val="18"/>
              </w:rPr>
              <w:t>PhP 56,404,358.33</w:t>
            </w:r>
          </w:p>
        </w:tc>
        <w:tc>
          <w:tcPr>
            <w:tcW w:type="dxa" w:w="1337"/>
            <w:shd w:fill="FFFFFF"/>
          </w:tcPr>
          <w:p>
            <w:pPr>
              <w:spacing w:before="60" w:after="60"/>
            </w:pPr>
            <w:r>
              <w:rPr>
                <w:color w:val="222222"/>
                <w:sz w:val="18"/>
              </w:rPr>
              <w:t>-PhP 0.1216/kWh</w:t>
            </w:r>
          </w:p>
        </w:tc>
      </w:tr>
      <w:tr>
        <w:trPr>
          <w:cantSplit/>
        </w:trPr>
        <w:tc>
          <w:tcPr>
            <w:tcW w:type="dxa" w:w="1337"/>
            <w:shd w:fill="F2F5F8"/>
          </w:tcPr>
          <w:p>
            <w:pPr>
              <w:spacing w:before="60" w:after="60"/>
            </w:pPr>
            <w:r>
              <w:rPr>
                <w:color w:val="222222"/>
                <w:sz w:val="18"/>
              </w:rPr>
              <w:t>Marine Cargo Insurance</w:t>
            </w:r>
          </w:p>
        </w:tc>
        <w:tc>
          <w:tcPr>
            <w:tcW w:type="dxa" w:w="1337"/>
            <w:shd w:fill="F2F5F8"/>
          </w:tcPr>
          <w:p>
            <w:pPr>
              <w:spacing w:before="60" w:after="60"/>
            </w:pPr>
            <w:r>
              <w:rPr>
                <w:color w:val="222222"/>
                <w:sz w:val="18"/>
              </w:rPr>
              <w:t>$880,000.00 (M Pioneer)</w:t>
            </w:r>
          </w:p>
        </w:tc>
        <w:tc>
          <w:tcPr>
            <w:tcW w:type="dxa" w:w="1337"/>
            <w:shd w:fill="F2F5F8"/>
          </w:tcPr>
          <w:p>
            <w:pPr>
              <w:spacing w:before="60" w:after="60"/>
            </w:pPr>
            <w:r>
              <w:rPr>
                <w:color w:val="222222"/>
                <w:sz w:val="18"/>
              </w:rPr>
              <w:t>$0.00 (Shell CIF Inclusive)</w:t>
            </w:r>
          </w:p>
        </w:tc>
        <w:tc>
          <w:tcPr>
            <w:tcW w:type="dxa" w:w="1337"/>
            <w:shd w:fill="F2F5F8"/>
          </w:tcPr>
          <w:p>
            <w:pPr>
              <w:spacing w:before="60" w:after="60"/>
            </w:pPr>
            <w:r>
              <w:rPr>
                <w:color w:val="222222"/>
                <w:sz w:val="18"/>
              </w:rPr>
              <w:t>Redundant Layering</w:t>
            </w:r>
          </w:p>
        </w:tc>
        <w:tc>
          <w:tcPr>
            <w:tcW w:type="dxa" w:w="1337"/>
            <w:shd w:fill="F2F5F8"/>
          </w:tcPr>
          <w:p>
            <w:pPr>
              <w:spacing w:before="60" w:after="60"/>
            </w:pPr>
            <w:r>
              <w:rPr>
                <w:color w:val="222222"/>
                <w:sz w:val="18"/>
              </w:rPr>
              <w:t>$880,000.00</w:t>
            </w:r>
          </w:p>
        </w:tc>
        <w:tc>
          <w:tcPr>
            <w:tcW w:type="dxa" w:w="1337"/>
            <w:shd w:fill="F2F5F8"/>
          </w:tcPr>
          <w:p>
            <w:pPr>
              <w:spacing w:before="60" w:after="60"/>
            </w:pPr>
            <w:r>
              <w:rPr>
                <w:color w:val="222222"/>
                <w:sz w:val="18"/>
              </w:rPr>
              <w:t>PhP 54,236,600.00</w:t>
            </w:r>
          </w:p>
        </w:tc>
        <w:tc>
          <w:tcPr>
            <w:tcW w:type="dxa" w:w="1337"/>
            <w:shd w:fill="F2F5F8"/>
          </w:tcPr>
          <w:p>
            <w:pPr>
              <w:spacing w:before="60" w:after="60"/>
            </w:pPr>
            <w:r>
              <w:rPr>
                <w:color w:val="222222"/>
                <w:sz w:val="18"/>
              </w:rPr>
              <w:t>-PhP 0.1170/kWh</w:t>
            </w:r>
          </w:p>
        </w:tc>
      </w:tr>
      <w:tr>
        <w:trPr>
          <w:cantSplit/>
        </w:trPr>
        <w:tc>
          <w:tcPr>
            <w:tcW w:type="dxa" w:w="1337"/>
            <w:shd w:fill="FFFFFF"/>
          </w:tcPr>
          <w:p>
            <w:pPr>
              <w:spacing w:before="60" w:after="60"/>
            </w:pPr>
            <w:r>
              <w:rPr>
                <w:color w:val="222222"/>
                <w:sz w:val="18"/>
              </w:rPr>
              <w:t>Local Business Tax (April)</w:t>
            </w:r>
          </w:p>
        </w:tc>
        <w:tc>
          <w:tcPr>
            <w:tcW w:type="dxa" w:w="1337"/>
            <w:shd w:fill="FFFFFF"/>
          </w:tcPr>
          <w:p>
            <w:pPr>
              <w:spacing w:before="60" w:after="60"/>
            </w:pPr>
            <w:r>
              <w:rPr>
                <w:color w:val="222222"/>
                <w:sz w:val="18"/>
              </w:rPr>
              <w:t>PhP 130,980,000.00</w:t>
            </w:r>
          </w:p>
        </w:tc>
        <w:tc>
          <w:tcPr>
            <w:tcW w:type="dxa" w:w="1337"/>
            <w:shd w:fill="FFFFFF"/>
          </w:tcPr>
          <w:p>
            <w:pPr>
              <w:spacing w:before="60" w:after="60"/>
            </w:pPr>
            <w:r>
              <w:rPr>
                <w:color w:val="222222"/>
                <w:sz w:val="18"/>
              </w:rPr>
              <w:t>PhP 0.00 (LBT Excluded)</w:t>
            </w:r>
          </w:p>
        </w:tc>
        <w:tc>
          <w:tcPr>
            <w:tcW w:type="dxa" w:w="1337"/>
            <w:shd w:fill="FFFFFF"/>
          </w:tcPr>
          <w:p>
            <w:pPr>
              <w:spacing w:before="60" w:after="60"/>
            </w:pPr>
            <w:r>
              <w:rPr>
                <w:color w:val="222222"/>
                <w:sz w:val="18"/>
              </w:rPr>
              <w:t>Illegal Tax Shifting</w:t>
            </w:r>
          </w:p>
        </w:tc>
        <w:tc>
          <w:tcPr>
            <w:tcW w:type="dxa" w:w="1337"/>
            <w:shd w:fill="FFFFFF"/>
          </w:tcPr>
          <w:p>
            <w:pPr>
              <w:spacing w:before="60" w:after="60"/>
            </w:pPr>
            <w:r>
              <w:rPr>
                <w:color w:val="222222"/>
                <w:sz w:val="18"/>
              </w:rPr>
              <w:t>$2,153,603.31</w:t>
            </w:r>
          </w:p>
        </w:tc>
        <w:tc>
          <w:tcPr>
            <w:tcW w:type="dxa" w:w="1337"/>
            <w:shd w:fill="FFFFFF"/>
          </w:tcPr>
          <w:p>
            <w:pPr>
              <w:spacing w:before="60" w:after="60"/>
            </w:pPr>
            <w:r>
              <w:rPr>
                <w:color w:val="222222"/>
                <w:sz w:val="18"/>
              </w:rPr>
              <w:t>PhP 130,980,000.00</w:t>
            </w:r>
          </w:p>
        </w:tc>
        <w:tc>
          <w:tcPr>
            <w:tcW w:type="dxa" w:w="1337"/>
            <w:shd w:fill="FFFFFF"/>
          </w:tcPr>
          <w:p>
            <w:pPr>
              <w:spacing w:before="60" w:after="60"/>
            </w:pPr>
            <w:r>
              <w:rPr>
                <w:color w:val="222222"/>
                <w:sz w:val="18"/>
              </w:rPr>
              <w:t>-PhP 0.3122/kWh</w:t>
            </w:r>
          </w:p>
        </w:tc>
      </w:tr>
      <w:tr>
        <w:trPr>
          <w:cantSplit/>
        </w:trPr>
        <w:tc>
          <w:tcPr>
            <w:tcW w:type="dxa" w:w="1337"/>
            <w:shd w:fill="F2F5F8"/>
          </w:tcPr>
          <w:p>
            <w:pPr>
              <w:spacing w:before="60" w:after="60"/>
            </w:pPr>
            <w:r>
              <w:rPr>
                <w:color w:val="222222"/>
                <w:sz w:val="18"/>
              </w:rPr>
              <w:t>SANTA RITA TOTAL</w:t>
            </w:r>
          </w:p>
        </w:tc>
        <w:tc>
          <w:tcPr>
            <w:tcW w:type="dxa" w:w="1337"/>
            <w:shd w:fill="F2F5F8"/>
          </w:tcPr>
          <w:p>
            <w:pPr>
              <w:spacing w:before="60" w:after="60"/>
            </w:pPr>
            <w:r>
              <w:rPr>
                <w:color w:val="222222"/>
                <w:sz w:val="18"/>
              </w:rPr>
              <w:t>$10,269,405.21 USD</w:t>
            </w:r>
          </w:p>
        </w:tc>
        <w:tc>
          <w:tcPr>
            <w:tcW w:type="dxa" w:w="1337"/>
            <w:shd w:fill="F2F5F8"/>
          </w:tcPr>
          <w:p>
            <w:pPr>
              <w:spacing w:before="60" w:after="60"/>
            </w:pPr>
            <w:r>
              <w:rPr>
                <w:color w:val="222222"/>
                <w:sz w:val="18"/>
              </w:rPr>
              <w:t>$932,461.85 USD</w:t>
            </w:r>
          </w:p>
        </w:tc>
        <w:tc>
          <w:tcPr>
            <w:tcW w:type="dxa" w:w="1337"/>
            <w:shd w:fill="F2F5F8"/>
          </w:tcPr>
          <w:p>
            <w:pPr>
              <w:spacing w:before="60" w:after="60"/>
            </w:pPr>
            <w:r>
              <w:rPr>
                <w:color w:val="222222"/>
                <w:sz w:val="18"/>
              </w:rPr>
              <w:t>+$9,336,943.36 USD</w:t>
            </w:r>
          </w:p>
        </w:tc>
        <w:tc>
          <w:tcPr>
            <w:tcW w:type="dxa" w:w="1337"/>
            <w:shd w:fill="F2F5F8"/>
          </w:tcPr>
          <w:p>
            <w:pPr>
              <w:spacing w:before="60" w:after="60"/>
            </w:pPr>
            <w:r>
              <w:rPr>
                <w:color w:val="222222"/>
                <w:sz w:val="18"/>
              </w:rPr>
              <w:t>$9,336,948.36</w:t>
            </w:r>
          </w:p>
        </w:tc>
        <w:tc>
          <w:tcPr>
            <w:tcW w:type="dxa" w:w="1337"/>
            <w:shd w:fill="F2F5F8"/>
          </w:tcPr>
          <w:p>
            <w:pPr>
              <w:spacing w:before="60" w:after="60"/>
            </w:pPr>
            <w:r>
              <w:rPr>
                <w:color w:val="222222"/>
                <w:sz w:val="18"/>
              </w:rPr>
              <w:t>PhP 573,710,665.61</w:t>
            </w:r>
          </w:p>
        </w:tc>
        <w:tc>
          <w:tcPr>
            <w:tcW w:type="dxa" w:w="1337"/>
            <w:shd w:fill="F2F5F8"/>
          </w:tcPr>
          <w:p>
            <w:pPr>
              <w:spacing w:before="60" w:after="60"/>
            </w:pPr>
            <w:r>
              <w:rPr>
                <w:color w:val="222222"/>
                <w:sz w:val="18"/>
              </w:rPr>
              <w:t>-PhP 1.2670/kWh</w:t>
            </w:r>
          </w:p>
        </w:tc>
      </w:tr>
    </w:tbl>
    <w:p>
      <w:pPr>
        <w:keepNext/>
        <w:spacing w:before="160" w:after="40"/>
        <w:jc w:val="center"/>
      </w:pPr>
      <w:r>
        <w:drawing>
          <wp:inline xmlns:a="http://schemas.openxmlformats.org/drawingml/2006/main" xmlns:pic="http://schemas.openxmlformats.org/drawingml/2006/picture">
            <wp:extent cx="5669280" cy="2721254"/>
            <wp:docPr id="8" name="Picture 8"/>
            <wp:cNvGraphicFramePr>
              <a:graphicFrameLocks noChangeAspect="1"/>
            </wp:cNvGraphicFramePr>
            <a:graphic>
              <a:graphicData uri="http://schemas.openxmlformats.org/drawingml/2006/picture">
                <pic:pic>
                  <pic:nvPicPr>
                    <pic:cNvPr id="0" name="graph_05_terminal_rates.png"/>
                    <pic:cNvPicPr/>
                  </pic:nvPicPr>
                  <pic:blipFill>
                    <a:blip r:embed="rId17"/>
                    <a:stretch>
                      <a:fillRect/>
                    </a:stretch>
                  </pic:blipFill>
                  <pic:spPr>
                    <a:xfrm>
                      <a:off x="0" y="0"/>
                      <a:ext cx="5669280" cy="2721254"/>
                    </a:xfrm>
                    <a:prstGeom prst="rect"/>
                  </pic:spPr>
                </pic:pic>
              </a:graphicData>
            </a:graphic>
          </wp:inline>
        </w:drawing>
      </w:r>
    </w:p>
    <w:p>
      <w:pPr>
        <w:keepNext/>
        <w:spacing w:before="40" w:after="160"/>
        <w:jc w:val="center"/>
      </w:pPr>
      <w:r>
        <w:rPr>
          <w:b/>
          <w:color w:val="1B365D"/>
          <w:sz w:val="19"/>
        </w:rPr>
        <w:t>Figure 8: Effective Terminal Regasification Fee ($/MMBtu) vs Statutory Cap ($1.20/MMBtu)</w:t>
      </w:r>
    </w:p>
    <w:p>
      <w:pPr>
        <w:keepNext/>
        <w:spacing w:before="200" w:after="80"/>
      </w:pPr>
      <w:r>
        <w:rPr>
          <w:rFonts w:ascii="Times New Roman" w:hAnsi="Times New Roman"/>
          <w:b/>
          <w:color w:val="333333"/>
          <w:sz w:val="23"/>
        </w:rPr>
        <w:t>Critical Forensic Discussion &amp; Regulatory Interpretation: Table 9 &amp; Figure 8: Santa Rita Disallowance Reconciliation</w:t>
      </w:r>
    </w:p>
    <w:p>
      <w:pPr>
        <w:spacing w:after="120" w:line="276" w:lineRule="auto"/>
        <w:ind w:left="288"/>
        <w:jc w:val="both"/>
      </w:pPr>
      <w:r>
        <w:rPr>
          <w:rFonts w:ascii="Times New Roman" w:hAnsi="Times New Roman"/>
          <w:color w:val="222222"/>
          <w:sz w:val="22"/>
        </w:rPr>
        <w:t>Table 9 and Figure 8 provide the itemized disallowance matrix for FGPC Santa Rita (1,000 MW). The largest disallowance ($5.39M USD / PhP 332.09M) arises from the terminal capacity fee markup, where FGPC billed $8.1341/MMBtu against the approved $1.2000/MMBtu ceiling.</w:t>
      </w:r>
    </w:p>
    <w:p>
      <w:pPr>
        <w:spacing w:after="120" w:line="276" w:lineRule="auto"/>
        <w:ind w:left="288"/>
        <w:jc w:val="both"/>
      </w:pPr>
      <w:r>
        <w:rPr>
          <w:rFonts w:ascii="Times New Roman" w:hAnsi="Times New Roman"/>
          <w:color w:val="222222"/>
          <w:sz w:val="22"/>
        </w:rPr>
        <w:t>Combined with disallowed boil-off gas ($915k USD) and illegal local business taxes (PhP 130.98M), total disallowances for Santa Rita reach PhP 573.71M ($9.34M USD), providing immediate consumer rate relief of -PhP 1.2670/kWh on Santa Rita's generation charge.</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337"/>
            <w:shd w:fill="1B365D"/>
          </w:tcPr>
          <w:p>
            <w:pPr>
              <w:spacing w:before="80" w:after="80"/>
              <w:jc w:val="center"/>
            </w:pPr>
            <w:r>
              <w:rPr>
                <w:b/>
                <w:color w:val="FFFFFF"/>
                <w:sz w:val="19"/>
              </w:rPr>
              <w:t>Line Item Description</w:t>
            </w:r>
          </w:p>
        </w:tc>
        <w:tc>
          <w:tcPr>
            <w:tcW w:type="dxa" w:w="1337"/>
            <w:shd w:fill="1B365D"/>
          </w:tcPr>
          <w:p>
            <w:pPr>
              <w:spacing w:before="80" w:after="80"/>
              <w:jc w:val="center"/>
            </w:pPr>
            <w:r>
              <w:rPr>
                <w:b/>
                <w:color w:val="FFFFFF"/>
                <w:sz w:val="19"/>
              </w:rPr>
              <w:t>GenCo Billing Claim</w:t>
            </w:r>
          </w:p>
        </w:tc>
        <w:tc>
          <w:tcPr>
            <w:tcW w:type="dxa" w:w="1337"/>
            <w:shd w:fill="1B365D"/>
          </w:tcPr>
          <w:p>
            <w:pPr>
              <w:spacing w:before="80" w:after="80"/>
              <w:jc w:val="center"/>
            </w:pPr>
            <w:r>
              <w:rPr>
                <w:b/>
                <w:color w:val="FFFFFF"/>
                <w:sz w:val="19"/>
              </w:rPr>
              <w:t>Regulatory / Contract Cap</w:t>
            </w:r>
          </w:p>
        </w:tc>
        <w:tc>
          <w:tcPr>
            <w:tcW w:type="dxa" w:w="1337"/>
            <w:shd w:fill="1B365D"/>
          </w:tcPr>
          <w:p>
            <w:pPr>
              <w:spacing w:before="80" w:after="80"/>
              <w:jc w:val="center"/>
            </w:pPr>
            <w:r>
              <w:rPr>
                <w:b/>
                <w:color w:val="FFFFFF"/>
                <w:sz w:val="19"/>
              </w:rPr>
              <w:t>Variance / Discrepancy</w:t>
            </w:r>
          </w:p>
        </w:tc>
        <w:tc>
          <w:tcPr>
            <w:tcW w:type="dxa" w:w="1337"/>
            <w:shd w:fill="1B365D"/>
          </w:tcPr>
          <w:p>
            <w:pPr>
              <w:spacing w:before="80" w:after="80"/>
              <w:jc w:val="center"/>
            </w:pPr>
            <w:r>
              <w:rPr>
                <w:b/>
                <w:color w:val="FFFFFF"/>
                <w:sz w:val="19"/>
              </w:rPr>
              <w:t>Disallowed Quantum (USD)</w:t>
            </w:r>
          </w:p>
        </w:tc>
        <w:tc>
          <w:tcPr>
            <w:tcW w:type="dxa" w:w="1337"/>
            <w:shd w:fill="1B365D"/>
          </w:tcPr>
          <w:p>
            <w:pPr>
              <w:spacing w:before="80" w:after="80"/>
              <w:jc w:val="center"/>
            </w:pPr>
            <w:r>
              <w:rPr>
                <w:b/>
                <w:color w:val="FFFFFF"/>
                <w:sz w:val="19"/>
              </w:rPr>
              <w:t>Disallowed Quantum (PHP)</w:t>
            </w:r>
          </w:p>
        </w:tc>
        <w:tc>
          <w:tcPr>
            <w:tcW w:type="dxa" w:w="1337"/>
            <w:shd w:fill="1B365D"/>
          </w:tcPr>
          <w:p>
            <w:pPr>
              <w:spacing w:before="80" w:after="80"/>
              <w:jc w:val="center"/>
            </w:pPr>
            <w:r>
              <w:rPr>
                <w:b/>
                <w:color w:val="FFFFFF"/>
                <w:sz w:val="19"/>
              </w:rPr>
              <w:t>Tariff Impact (PhP/kWh)</w:t>
            </w:r>
          </w:p>
        </w:tc>
      </w:tr>
      <w:tr>
        <w:trPr>
          <w:cantSplit/>
        </w:trPr>
        <w:tc>
          <w:tcPr>
            <w:tcW w:type="dxa" w:w="1337"/>
            <w:shd w:fill="F2F5F8"/>
          </w:tcPr>
          <w:p>
            <w:pPr>
              <w:spacing w:before="60" w:after="60"/>
            </w:pPr>
            <w:r>
              <w:rPr>
                <w:color w:val="222222"/>
                <w:sz w:val="18"/>
              </w:rPr>
              <w:t>Regas Terminal Fee</w:t>
            </w:r>
          </w:p>
        </w:tc>
        <w:tc>
          <w:tcPr>
            <w:tcW w:type="dxa" w:w="1337"/>
            <w:shd w:fill="F2F5F8"/>
          </w:tcPr>
          <w:p>
            <w:pPr>
              <w:spacing w:before="60" w:after="60"/>
            </w:pPr>
            <w:r>
              <w:rPr>
                <w:color w:val="222222"/>
                <w:sz w:val="18"/>
              </w:rPr>
              <w:t>$3,160,316.54 ($8.1762/MMBtu)</w:t>
            </w:r>
          </w:p>
        </w:tc>
        <w:tc>
          <w:tcPr>
            <w:tcW w:type="dxa" w:w="1337"/>
            <w:shd w:fill="F2F5F8"/>
          </w:tcPr>
          <w:p>
            <w:pPr>
              <w:spacing w:before="60" w:after="60"/>
            </w:pPr>
            <w:r>
              <w:rPr>
                <w:color w:val="222222"/>
                <w:sz w:val="18"/>
              </w:rPr>
              <w:t>$463,831.82 ($1.2000/MMBtu)</w:t>
            </w:r>
          </w:p>
        </w:tc>
        <w:tc>
          <w:tcPr>
            <w:tcW w:type="dxa" w:w="1337"/>
            <w:shd w:fill="F2F5F8"/>
          </w:tcPr>
          <w:p>
            <w:pPr>
              <w:spacing w:before="60" w:after="60"/>
            </w:pPr>
            <w:r>
              <w:rPr>
                <w:color w:val="222222"/>
                <w:sz w:val="18"/>
              </w:rPr>
              <w:t>+$6.9762/MMBtu (+581%)</w:t>
            </w:r>
          </w:p>
        </w:tc>
        <w:tc>
          <w:tcPr>
            <w:tcW w:type="dxa" w:w="1337"/>
            <w:shd w:fill="F2F5F8"/>
          </w:tcPr>
          <w:p>
            <w:pPr>
              <w:spacing w:before="60" w:after="60"/>
            </w:pPr>
            <w:r>
              <w:rPr>
                <w:color w:val="222222"/>
                <w:sz w:val="18"/>
              </w:rPr>
              <w:t>$2,696,484.72</w:t>
            </w:r>
          </w:p>
        </w:tc>
        <w:tc>
          <w:tcPr>
            <w:tcW w:type="dxa" w:w="1337"/>
            <w:shd w:fill="F2F5F8"/>
          </w:tcPr>
          <w:p>
            <w:pPr>
              <w:spacing w:before="60" w:after="60"/>
            </w:pPr>
            <w:r>
              <w:rPr>
                <w:color w:val="222222"/>
                <w:sz w:val="18"/>
              </w:rPr>
              <w:t>PhP 166,192,442.79</w:t>
            </w:r>
          </w:p>
        </w:tc>
        <w:tc>
          <w:tcPr>
            <w:tcW w:type="dxa" w:w="1337"/>
            <w:shd w:fill="F2F5F8"/>
          </w:tcPr>
          <w:p>
            <w:pPr>
              <w:spacing w:before="60" w:after="60"/>
            </w:pPr>
            <w:r>
              <w:rPr>
                <w:color w:val="222222"/>
                <w:sz w:val="18"/>
              </w:rPr>
              <w:t>-PhP 0.5598/kWh</w:t>
            </w:r>
          </w:p>
        </w:tc>
      </w:tr>
      <w:tr>
        <w:trPr>
          <w:cantSplit/>
        </w:trPr>
        <w:tc>
          <w:tcPr>
            <w:tcW w:type="dxa" w:w="1337"/>
            <w:shd w:fill="FFFFFF"/>
          </w:tcPr>
          <w:p>
            <w:pPr>
              <w:spacing w:before="60" w:after="60"/>
            </w:pPr>
            <w:r>
              <w:rPr>
                <w:color w:val="222222"/>
                <w:sz w:val="18"/>
              </w:rPr>
              <w:t>Boil-Off Gas (BOG)</w:t>
            </w:r>
          </w:p>
        </w:tc>
        <w:tc>
          <w:tcPr>
            <w:tcW w:type="dxa" w:w="1337"/>
            <w:shd w:fill="FFFFFF"/>
          </w:tcPr>
          <w:p>
            <w:pPr>
              <w:spacing w:before="60" w:after="60"/>
            </w:pPr>
            <w:r>
              <w:rPr>
                <w:color w:val="222222"/>
                <w:sz w:val="18"/>
              </w:rPr>
              <w:t>42,008.51 GJ (10.301%)</w:t>
            </w:r>
          </w:p>
        </w:tc>
        <w:tc>
          <w:tcPr>
            <w:tcW w:type="dxa" w:w="1337"/>
            <w:shd w:fill="FFFFFF"/>
          </w:tcPr>
          <w:p>
            <w:pPr>
              <w:spacing w:before="60" w:after="60"/>
            </w:pPr>
            <w:r>
              <w:rPr>
                <w:color w:val="222222"/>
                <w:sz w:val="18"/>
              </w:rPr>
              <w:t>2,039.04 GJ (0.500%)</w:t>
            </w:r>
          </w:p>
        </w:tc>
        <w:tc>
          <w:tcPr>
            <w:tcW w:type="dxa" w:w="1337"/>
            <w:shd w:fill="FFFFFF"/>
          </w:tcPr>
          <w:p>
            <w:pPr>
              <w:spacing w:before="60" w:after="60"/>
            </w:pPr>
            <w:r>
              <w:rPr>
                <w:color w:val="222222"/>
                <w:sz w:val="18"/>
              </w:rPr>
              <w:t>+39,969.47 GJ (+1,960%)</w:t>
            </w:r>
          </w:p>
        </w:tc>
        <w:tc>
          <w:tcPr>
            <w:tcW w:type="dxa" w:w="1337"/>
            <w:shd w:fill="FFFFFF"/>
          </w:tcPr>
          <w:p>
            <w:pPr>
              <w:spacing w:before="60" w:after="60"/>
            </w:pPr>
            <w:r>
              <w:rPr>
                <w:color w:val="222222"/>
                <w:sz w:val="18"/>
              </w:rPr>
              <w:t>$473,638.27</w:t>
            </w:r>
          </w:p>
        </w:tc>
        <w:tc>
          <w:tcPr>
            <w:tcW w:type="dxa" w:w="1337"/>
            <w:shd w:fill="FFFFFF"/>
          </w:tcPr>
          <w:p>
            <w:pPr>
              <w:spacing w:before="60" w:after="60"/>
            </w:pPr>
            <w:r>
              <w:rPr>
                <w:color w:val="222222"/>
                <w:sz w:val="18"/>
              </w:rPr>
              <w:t>PhP 29,191,747.60</w:t>
            </w:r>
          </w:p>
        </w:tc>
        <w:tc>
          <w:tcPr>
            <w:tcW w:type="dxa" w:w="1337"/>
            <w:shd w:fill="FFFFFF"/>
          </w:tcPr>
          <w:p>
            <w:pPr>
              <w:spacing w:before="60" w:after="60"/>
            </w:pPr>
            <w:r>
              <w:rPr>
                <w:color w:val="222222"/>
                <w:sz w:val="18"/>
              </w:rPr>
              <w:t>-PhP 0.0983/kWh</w:t>
            </w:r>
          </w:p>
        </w:tc>
      </w:tr>
      <w:tr>
        <w:trPr>
          <w:cantSplit/>
        </w:trPr>
        <w:tc>
          <w:tcPr>
            <w:tcW w:type="dxa" w:w="1337"/>
            <w:shd w:fill="F2F5F8"/>
          </w:tcPr>
          <w:p>
            <w:pPr>
              <w:spacing w:before="60" w:after="60"/>
            </w:pPr>
            <w:r>
              <w:rPr>
                <w:color w:val="222222"/>
                <w:sz w:val="18"/>
              </w:rPr>
              <w:t>Marine Freight Insurance</w:t>
            </w:r>
          </w:p>
        </w:tc>
        <w:tc>
          <w:tcPr>
            <w:tcW w:type="dxa" w:w="1337"/>
            <w:shd w:fill="F2F5F8"/>
          </w:tcPr>
          <w:p>
            <w:pPr>
              <w:spacing w:before="60" w:after="60"/>
            </w:pPr>
            <w:r>
              <w:rPr>
                <w:color w:val="222222"/>
                <w:sz w:val="18"/>
              </w:rPr>
              <w:t>$540,000.00 (Shell Line)</w:t>
            </w:r>
          </w:p>
        </w:tc>
        <w:tc>
          <w:tcPr>
            <w:tcW w:type="dxa" w:w="1337"/>
            <w:shd w:fill="F2F5F8"/>
          </w:tcPr>
          <w:p>
            <w:pPr>
              <w:spacing w:before="60" w:after="60"/>
            </w:pPr>
            <w:r>
              <w:rPr>
                <w:color w:val="222222"/>
                <w:sz w:val="18"/>
              </w:rPr>
              <w:t>$0.00 (PPA Inclusive)</w:t>
            </w:r>
          </w:p>
        </w:tc>
        <w:tc>
          <w:tcPr>
            <w:tcW w:type="dxa" w:w="1337"/>
            <w:shd w:fill="F2F5F8"/>
          </w:tcPr>
          <w:p>
            <w:pPr>
              <w:spacing w:before="60" w:after="60"/>
            </w:pPr>
            <w:r>
              <w:rPr>
                <w:color w:val="222222"/>
                <w:sz w:val="18"/>
              </w:rPr>
              <w:t>Redundant Layering</w:t>
            </w:r>
          </w:p>
        </w:tc>
        <w:tc>
          <w:tcPr>
            <w:tcW w:type="dxa" w:w="1337"/>
            <w:shd w:fill="F2F5F8"/>
          </w:tcPr>
          <w:p>
            <w:pPr>
              <w:spacing w:before="60" w:after="60"/>
            </w:pPr>
            <w:r>
              <w:rPr>
                <w:color w:val="222222"/>
                <w:sz w:val="18"/>
              </w:rPr>
              <w:t>$540,000.00</w:t>
            </w:r>
          </w:p>
        </w:tc>
        <w:tc>
          <w:tcPr>
            <w:tcW w:type="dxa" w:w="1337"/>
            <w:shd w:fill="F2F5F8"/>
          </w:tcPr>
          <w:p>
            <w:pPr>
              <w:spacing w:before="60" w:after="60"/>
            </w:pPr>
            <w:r>
              <w:rPr>
                <w:color w:val="222222"/>
                <w:sz w:val="18"/>
              </w:rPr>
              <w:t>PhP 33,282,260.00</w:t>
            </w:r>
          </w:p>
        </w:tc>
        <w:tc>
          <w:tcPr>
            <w:tcW w:type="dxa" w:w="1337"/>
            <w:shd w:fill="F2F5F8"/>
          </w:tcPr>
          <w:p>
            <w:pPr>
              <w:spacing w:before="60" w:after="60"/>
            </w:pPr>
            <w:r>
              <w:rPr>
                <w:color w:val="222222"/>
                <w:sz w:val="18"/>
              </w:rPr>
              <w:t>-PhP 0.1121/kWh</w:t>
            </w:r>
          </w:p>
        </w:tc>
      </w:tr>
      <w:tr>
        <w:trPr>
          <w:cantSplit/>
        </w:trPr>
        <w:tc>
          <w:tcPr>
            <w:tcW w:type="dxa" w:w="1337"/>
            <w:shd w:fill="FFFFFF"/>
          </w:tcPr>
          <w:p>
            <w:pPr>
              <w:spacing w:before="60" w:after="60"/>
            </w:pPr>
            <w:r>
              <w:rPr>
                <w:color w:val="222222"/>
                <w:sz w:val="18"/>
              </w:rPr>
              <w:t>SAN LORENZO TOTAL</w:t>
            </w:r>
          </w:p>
        </w:tc>
        <w:tc>
          <w:tcPr>
            <w:tcW w:type="dxa" w:w="1337"/>
            <w:shd w:fill="FFFFFF"/>
          </w:tcPr>
          <w:p>
            <w:pPr>
              <w:spacing w:before="60" w:after="60"/>
            </w:pPr>
            <w:r>
              <w:rPr>
                <w:color w:val="222222"/>
                <w:sz w:val="18"/>
              </w:rPr>
              <w:t>$4,173,954.81 USD</w:t>
            </w:r>
          </w:p>
        </w:tc>
        <w:tc>
          <w:tcPr>
            <w:tcW w:type="dxa" w:w="1337"/>
            <w:shd w:fill="FFFFFF"/>
          </w:tcPr>
          <w:p>
            <w:pPr>
              <w:spacing w:before="60" w:after="60"/>
            </w:pPr>
            <w:r>
              <w:rPr>
                <w:color w:val="222222"/>
                <w:sz w:val="18"/>
              </w:rPr>
              <w:t>$463,831.82 USD</w:t>
            </w:r>
          </w:p>
        </w:tc>
        <w:tc>
          <w:tcPr>
            <w:tcW w:type="dxa" w:w="1337"/>
            <w:shd w:fill="FFFFFF"/>
          </w:tcPr>
          <w:p>
            <w:pPr>
              <w:spacing w:before="60" w:after="60"/>
            </w:pPr>
            <w:r>
              <w:rPr>
                <w:color w:val="222222"/>
                <w:sz w:val="18"/>
              </w:rPr>
              <w:t>+$3,710,122.99 USD</w:t>
            </w:r>
          </w:p>
        </w:tc>
        <w:tc>
          <w:tcPr>
            <w:tcW w:type="dxa" w:w="1337"/>
            <w:shd w:fill="FFFFFF"/>
          </w:tcPr>
          <w:p>
            <w:pPr>
              <w:spacing w:before="60" w:after="60"/>
            </w:pPr>
            <w:r>
              <w:rPr>
                <w:color w:val="222222"/>
                <w:sz w:val="18"/>
              </w:rPr>
              <w:t>$3,710,122.99</w:t>
            </w:r>
          </w:p>
        </w:tc>
        <w:tc>
          <w:tcPr>
            <w:tcW w:type="dxa" w:w="1337"/>
            <w:shd w:fill="FFFFFF"/>
          </w:tcPr>
          <w:p>
            <w:pPr>
              <w:spacing w:before="60" w:after="60"/>
            </w:pPr>
            <w:r>
              <w:rPr>
                <w:color w:val="222222"/>
                <w:sz w:val="18"/>
              </w:rPr>
              <w:t>PhP 228,666,450.39</w:t>
            </w:r>
          </w:p>
        </w:tc>
        <w:tc>
          <w:tcPr>
            <w:tcW w:type="dxa" w:w="1337"/>
            <w:shd w:fill="FFFFFF"/>
          </w:tcPr>
          <w:p>
            <w:pPr>
              <w:spacing w:before="60" w:after="60"/>
            </w:pPr>
            <w:r>
              <w:rPr>
                <w:color w:val="222222"/>
                <w:sz w:val="18"/>
              </w:rPr>
              <w:t>-PhP 0.7702/kWh</w:t>
            </w:r>
          </w:p>
        </w:tc>
      </w:tr>
    </w:tbl>
    <w:p>
      <w:pPr>
        <w:keepNext/>
        <w:spacing w:before="160" w:after="40"/>
        <w:jc w:val="center"/>
      </w:pPr>
      <w:r>
        <w:drawing>
          <wp:inline xmlns:a="http://schemas.openxmlformats.org/drawingml/2006/main" xmlns:pic="http://schemas.openxmlformats.org/drawingml/2006/picture">
            <wp:extent cx="5669280" cy="2721254"/>
            <wp:docPr id="9" name="Picture 9"/>
            <wp:cNvGraphicFramePr>
              <a:graphicFrameLocks noChangeAspect="1"/>
            </wp:cNvGraphicFramePr>
            <a:graphic>
              <a:graphicData uri="http://schemas.openxmlformats.org/drawingml/2006/picture">
                <pic:pic>
                  <pic:nvPicPr>
                    <pic:cNvPr id="0" name="graph_06_bog_losses.png"/>
                    <pic:cNvPicPr/>
                  </pic:nvPicPr>
                  <pic:blipFill>
                    <a:blip r:embed="rId18"/>
                    <a:stretch>
                      <a:fillRect/>
                    </a:stretch>
                  </pic:blipFill>
                  <pic:spPr>
                    <a:xfrm>
                      <a:off x="0" y="0"/>
                      <a:ext cx="5669280" cy="2721254"/>
                    </a:xfrm>
                    <a:prstGeom prst="rect"/>
                  </pic:spPr>
                </pic:pic>
              </a:graphicData>
            </a:graphic>
          </wp:inline>
        </w:drawing>
      </w:r>
    </w:p>
    <w:p>
      <w:pPr>
        <w:keepNext/>
        <w:spacing w:before="40" w:after="160"/>
        <w:jc w:val="center"/>
      </w:pPr>
      <w:r>
        <w:rPr>
          <w:b/>
          <w:color w:val="1B365D"/>
          <w:sz w:val="19"/>
        </w:rPr>
        <w:t>Figure 9: Billed Boil-Off Gas (BOG) Loss Percentages vs 0.50% Regulatory Baseline</w:t>
      </w:r>
    </w:p>
    <w:p>
      <w:pPr>
        <w:keepNext/>
        <w:spacing w:before="200" w:after="80"/>
      </w:pPr>
      <w:r>
        <w:rPr>
          <w:rFonts w:ascii="Times New Roman" w:hAnsi="Times New Roman"/>
          <w:b/>
          <w:color w:val="333333"/>
          <w:sz w:val="23"/>
        </w:rPr>
        <w:t>Critical Forensic Discussion &amp; Regulatory Interpretation: Table 10 &amp; Figure 9: San Lorenzo Disallowance Reconciliation</w:t>
      </w:r>
    </w:p>
    <w:p>
      <w:pPr>
        <w:spacing w:after="120" w:line="276" w:lineRule="auto"/>
        <w:ind w:left="288"/>
        <w:jc w:val="both"/>
      </w:pPr>
      <w:r>
        <w:rPr>
          <w:rFonts w:ascii="Times New Roman" w:hAnsi="Times New Roman"/>
          <w:color w:val="222222"/>
          <w:sz w:val="22"/>
        </w:rPr>
        <w:t>Table 10 and Figure 9 document identical billing violations at FGP San Lorenzo (500 MW). San Lorenzo billed terminal fees at $8.1762/MMBtu and boil-off gas losses at 10.301%, extracting an unlawful premium of PhP 228.67M ($3.71M USD).</w:t>
      </w:r>
    </w:p>
    <w:p>
      <w:pPr>
        <w:spacing w:after="120" w:line="276" w:lineRule="auto"/>
        <w:ind w:left="288"/>
        <w:jc w:val="both"/>
      </w:pPr>
      <w:r>
        <w:rPr>
          <w:rFonts w:ascii="Times New Roman" w:hAnsi="Times New Roman"/>
          <w:color w:val="222222"/>
          <w:sz w:val="22"/>
        </w:rPr>
        <w:t>Disallowing these unauthorized charges reduces San Lorenzo's effective generation tariff by -PhP 0.7702/kWh, demonstrating systematic corporate-wide implementation of these pricing defects across all First Gen generation assets.</w:t>
      </w:r>
    </w:p>
    <w:p>
      <w:pPr>
        <w:keepNext/>
        <w:spacing w:before="360" w:after="160"/>
      </w:pPr>
      <w:r>
        <w:rPr>
          <w:rFonts w:ascii="Times New Roman" w:hAnsi="Times New Roman"/>
          <w:b/>
          <w:color w:val="1B365D"/>
          <w:sz w:val="30"/>
        </w:rPr>
        <w:t>13. Institutional &amp; Economic Analysis: Why MERALCO Failed to Detect the Fraud</w:t>
      </w:r>
    </w:p>
    <w:p>
      <w:pPr>
        <w:spacing w:after="120" w:line="276" w:lineRule="auto"/>
        <w:jc w:val="both"/>
      </w:pPr>
      <w:r>
        <w:rPr>
          <w:rFonts w:ascii="Times New Roman" w:hAnsi="Times New Roman"/>
          <w:color w:val="222222"/>
          <w:sz w:val="22"/>
        </w:rPr>
        <w:t>A central finding of this investigation is that the fraudulent fuel pass-through charges were neither challenged nor flagged by MERALCO during monthly settlement verifications. The forensic inquiry identified six (6) structural, contractual, and regulatory mechanisms that explain MERALCO's systemic detection failure.</w:t>
      </w:r>
    </w:p>
    <w:p>
      <w:pPr>
        <w:keepNext/>
        <w:spacing w:before="280" w:after="120"/>
      </w:pPr>
      <w:r>
        <w:rPr>
          <w:rFonts w:ascii="Times New Roman" w:hAnsi="Times New Roman"/>
          <w:b/>
          <w:color w:val="2B4C7E"/>
          <w:sz w:val="26"/>
        </w:rPr>
        <w:t>13.1 Pass-Through Moral Hazard &amp; PBR Cost-Plus Incentive Trap</w:t>
      </w:r>
    </w:p>
    <w:p>
      <w:pPr>
        <w:spacing w:after="120" w:line="276" w:lineRule="auto"/>
        <w:jc w:val="both"/>
      </w:pPr>
      <w:r>
        <w:rPr>
          <w:rFonts w:ascii="Times New Roman" w:hAnsi="Times New Roman"/>
          <w:color w:val="222222"/>
          <w:sz w:val="22"/>
        </w:rPr>
        <w:t>Under the Performance-Based Regulation (PBR) framework governing distribution utilities in the Philippines, fuel and purchased power costs are treated as 100% pass-through items. Because generation costs have zero net impact on MERALCO's corporate profit and loss (P&amp;L) statement, the utility lacks a direct financial incentive to aggressively audit GenCo invoices.</w:t>
      </w:r>
    </w:p>
    <w:p>
      <w:pPr>
        <w:keepNext/>
        <w:spacing w:before="280" w:after="120"/>
      </w:pPr>
      <w:r>
        <w:rPr>
          <w:rFonts w:ascii="Times New Roman" w:hAnsi="Times New Roman"/>
          <w:b/>
          <w:color w:val="2B4C7E"/>
          <w:sz w:val="26"/>
        </w:rPr>
        <w:t>13.2 Information Asymmetry &amp; Unstructured Scanned PDF Data Concealment</w:t>
      </w:r>
    </w:p>
    <w:p>
      <w:pPr>
        <w:spacing w:after="120" w:line="276" w:lineRule="auto"/>
        <w:jc w:val="both"/>
      </w:pPr>
      <w:r>
        <w:rPr>
          <w:rFonts w:ascii="Times New Roman" w:hAnsi="Times New Roman"/>
          <w:color w:val="222222"/>
          <w:sz w:val="22"/>
        </w:rPr>
        <w:t>First Gen generation companies submitted monthly billing attachments in the form of hundreds of pages of static, scanned PDF documents containing image-based tables. This format prevented automated algorithmic formula validation, enabling un-capped rates to slip past settlement clerks conducting superficial manual checklist reviews.</w:t>
      </w:r>
    </w:p>
    <w:p>
      <w:pPr>
        <w:keepNext/>
        <w:spacing w:before="280" w:after="120"/>
      </w:pPr>
      <w:r>
        <w:rPr>
          <w:rFonts w:ascii="Times New Roman" w:hAnsi="Times New Roman"/>
          <w:b/>
          <w:color w:val="2B4C7E"/>
          <w:sz w:val="26"/>
        </w:rPr>
        <w:t>13.3 Affiliate Obfuscation &amp; Captive Supply Chain Layering</w:t>
      </w:r>
    </w:p>
    <w:p>
      <w:pPr>
        <w:spacing w:after="120" w:line="276" w:lineRule="auto"/>
        <w:jc w:val="both"/>
      </w:pPr>
      <w:r>
        <w:rPr>
          <w:rFonts w:ascii="Times New Roman" w:hAnsi="Times New Roman"/>
          <w:color w:val="222222"/>
          <w:sz w:val="22"/>
        </w:rPr>
        <w:t>The insertion of FGEN LNG Corp., BW Batangas, and M Pioneer Insurance created opaque intercompany transactions that obscured underlying costs, making it nearly impossible for utility reviewers to distinguish genuine LNG logistics expenses from affiliate profit margins.</w:t>
      </w:r>
    </w:p>
    <w:p>
      <w:pPr>
        <w:keepNext/>
        <w:spacing w:before="280" w:after="120"/>
      </w:pPr>
      <w:r>
        <w:rPr>
          <w:rFonts w:ascii="Times New Roman" w:hAnsi="Times New Roman"/>
          <w:b/>
          <w:color w:val="2B4C7E"/>
          <w:sz w:val="26"/>
        </w:rPr>
        <w:t>13.4 The Provisional Pass-Through Regulatory Void &amp; Mutual Reliance Trap</w:t>
      </w:r>
    </w:p>
    <w:p>
      <w:pPr>
        <w:spacing w:after="120" w:line="276" w:lineRule="auto"/>
        <w:jc w:val="both"/>
      </w:pPr>
      <w:r>
        <w:rPr>
          <w:rFonts w:ascii="Times New Roman" w:hAnsi="Times New Roman"/>
          <w:color w:val="222222"/>
          <w:sz w:val="22"/>
        </w:rPr>
        <w:t>A regulatory blind spot emerged where MERALCO provisionally passed through charges assuming the ERC would audit them during rate true-ups, while the ERC assumed MERALCO had performed commercial due diligence prior to payment.</w:t>
      </w:r>
    </w:p>
    <w:p>
      <w:pPr>
        <w:keepNext/>
        <w:spacing w:before="280" w:after="120"/>
      </w:pPr>
      <w:r>
        <w:rPr>
          <w:rFonts w:ascii="Times New Roman" w:hAnsi="Times New Roman"/>
          <w:b/>
          <w:color w:val="2B4C7E"/>
          <w:sz w:val="26"/>
        </w:rPr>
        <w:t>13.5 Contractual Inadequacy of Legacy Malampaya PPAs for Modern LNG Logistics</w:t>
      </w:r>
    </w:p>
    <w:p>
      <w:pPr>
        <w:spacing w:after="120" w:line="276" w:lineRule="auto"/>
        <w:jc w:val="both"/>
      </w:pPr>
      <w:r>
        <w:rPr>
          <w:rFonts w:ascii="Times New Roman" w:hAnsi="Times New Roman"/>
          <w:color w:val="222222"/>
          <w:sz w:val="22"/>
        </w:rPr>
        <w:t>The legacy 25-year PPAs executed in the late 1990s were designed for domestic pipeline gas from Malampaya and lacked explicit clauses governing FSRU regasification caps, boil-off thresholds, and demurrage sharing.</w:t>
      </w:r>
    </w:p>
    <w:p>
      <w:pPr>
        <w:keepNext/>
        <w:spacing w:before="280" w:after="120"/>
      </w:pPr>
      <w:r>
        <w:rPr>
          <w:rFonts w:ascii="Times New Roman" w:hAnsi="Times New Roman"/>
          <w:b/>
          <w:color w:val="2B4C7E"/>
          <w:sz w:val="26"/>
        </w:rPr>
        <w:t>13.6 Commercial Coercion &amp; Security of Supply Trade-Offs in Tight Grid Conditions</w:t>
      </w:r>
    </w:p>
    <w:p>
      <w:pPr>
        <w:spacing w:after="120" w:line="276" w:lineRule="auto"/>
        <w:jc w:val="both"/>
      </w:pPr>
      <w:r>
        <w:rPr>
          <w:rFonts w:ascii="Times New Roman" w:hAnsi="Times New Roman"/>
          <w:color w:val="222222"/>
          <w:sz w:val="22"/>
        </w:rPr>
        <w:t>During summer peak demand periods (April–June 2026), grid reserves in the Luzon grid were frequently in Yellow Alert status. Questioning fuel invoices risked fuel supply curtailments that could trigger widespread rotational blackouts across Metro Manila.</w:t>
      </w:r>
    </w:p>
    <w:p>
      <w:pPr>
        <w:keepNext/>
        <w:spacing w:before="360" w:after="160"/>
      </w:pPr>
      <w:r>
        <w:rPr>
          <w:rFonts w:ascii="Times New Roman" w:hAnsi="Times New Roman"/>
          <w:b/>
          <w:color w:val="1B365D"/>
          <w:sz w:val="30"/>
        </w:rPr>
        <w:t>14. Master Quantified Disallowance &amp; Restitution Matrix</w:t>
      </w:r>
    </w:p>
    <w:p>
      <w:pPr>
        <w:spacing w:after="120" w:line="276" w:lineRule="auto"/>
        <w:jc w:val="both"/>
      </w:pPr>
      <w:r>
        <w:rPr>
          <w:rFonts w:ascii="Times New Roman" w:hAnsi="Times New Roman"/>
          <w:color w:val="222222"/>
          <w:sz w:val="22"/>
        </w:rPr>
        <w:t>The aggregated quantified disallowance across all audited entities, vessels, and transactions totals $15,657,071.35 USD (PhP 963,239,245.99 PHP), summarized below.</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560"/>
            <w:shd w:fill="1B365D"/>
          </w:tcPr>
          <w:p>
            <w:pPr>
              <w:spacing w:before="80" w:after="80"/>
              <w:jc w:val="center"/>
            </w:pPr>
            <w:r>
              <w:rPr>
                <w:b/>
                <w:color w:val="FFFFFF"/>
                <w:sz w:val="19"/>
              </w:rPr>
              <w:t>Audit Finding / Disallowance Item</w:t>
            </w:r>
          </w:p>
        </w:tc>
        <w:tc>
          <w:tcPr>
            <w:tcW w:type="dxa" w:w="1560"/>
            <w:shd w:fill="1B365D"/>
          </w:tcPr>
          <w:p>
            <w:pPr>
              <w:spacing w:before="80" w:after="80"/>
              <w:jc w:val="center"/>
            </w:pPr>
            <w:r>
              <w:rPr>
                <w:b/>
                <w:color w:val="FFFFFF"/>
                <w:sz w:val="19"/>
              </w:rPr>
              <w:t>Target Entity / Account</w:t>
            </w:r>
          </w:p>
        </w:tc>
        <w:tc>
          <w:tcPr>
            <w:tcW w:type="dxa" w:w="1560"/>
            <w:shd w:fill="1B365D"/>
          </w:tcPr>
          <w:p>
            <w:pPr>
              <w:spacing w:before="80" w:after="80"/>
              <w:jc w:val="center"/>
            </w:pPr>
            <w:r>
              <w:rPr>
                <w:b/>
                <w:color w:val="FFFFFF"/>
                <w:sz w:val="19"/>
              </w:rPr>
              <w:t>Quantified Disallowance (USD)</w:t>
            </w:r>
          </w:p>
        </w:tc>
        <w:tc>
          <w:tcPr>
            <w:tcW w:type="dxa" w:w="1560"/>
            <w:shd w:fill="1B365D"/>
          </w:tcPr>
          <w:p>
            <w:pPr>
              <w:spacing w:before="80" w:after="80"/>
              <w:jc w:val="center"/>
            </w:pPr>
            <w:r>
              <w:rPr>
                <w:b/>
                <w:color w:val="FFFFFF"/>
                <w:sz w:val="19"/>
              </w:rPr>
              <w:t>Quantified Disallowance (PHP)</w:t>
            </w:r>
          </w:p>
        </w:tc>
        <w:tc>
          <w:tcPr>
            <w:tcW w:type="dxa" w:w="1560"/>
            <w:shd w:fill="1B365D"/>
          </w:tcPr>
          <w:p>
            <w:pPr>
              <w:spacing w:before="80" w:after="80"/>
              <w:jc w:val="center"/>
            </w:pPr>
            <w:r>
              <w:rPr>
                <w:b/>
                <w:color w:val="FFFFFF"/>
                <w:sz w:val="19"/>
              </w:rPr>
              <w:t>Tariff Relief Impact</w:t>
            </w:r>
          </w:p>
        </w:tc>
        <w:tc>
          <w:tcPr>
            <w:tcW w:type="dxa" w:w="1560"/>
            <w:shd w:fill="1B365D"/>
          </w:tcPr>
          <w:p>
            <w:pPr>
              <w:spacing w:before="80" w:after="80"/>
              <w:jc w:val="center"/>
            </w:pPr>
            <w:r>
              <w:rPr>
                <w:b/>
                <w:color w:val="FFFFFF"/>
                <w:sz w:val="19"/>
              </w:rPr>
              <w:t>Legal Restitution Classification</w:t>
            </w:r>
          </w:p>
        </w:tc>
      </w:tr>
      <w:tr>
        <w:trPr>
          <w:cantSplit/>
        </w:trPr>
        <w:tc>
          <w:tcPr>
            <w:tcW w:type="dxa" w:w="1560"/>
            <w:shd w:fill="F2F5F8"/>
          </w:tcPr>
          <w:p>
            <w:pPr>
              <w:spacing w:before="60" w:after="60"/>
            </w:pPr>
            <w:r>
              <w:rPr>
                <w:color w:val="222222"/>
                <w:sz w:val="18"/>
              </w:rPr>
              <w:t>Santa Rita Regas Terminal Fee Markup</w:t>
            </w:r>
          </w:p>
        </w:tc>
        <w:tc>
          <w:tcPr>
            <w:tcW w:type="dxa" w:w="1560"/>
            <w:shd w:fill="F2F5F8"/>
          </w:tcPr>
          <w:p>
            <w:pPr>
              <w:spacing w:before="60" w:after="60"/>
            </w:pPr>
            <w:r>
              <w:rPr>
                <w:color w:val="222222"/>
                <w:sz w:val="18"/>
              </w:rPr>
              <w:t>FGPC / FGEN LNG</w:t>
            </w:r>
          </w:p>
        </w:tc>
        <w:tc>
          <w:tcPr>
            <w:tcW w:type="dxa" w:w="1560"/>
            <w:shd w:fill="F2F5F8"/>
          </w:tcPr>
          <w:p>
            <w:pPr>
              <w:spacing w:before="60" w:after="60"/>
            </w:pPr>
            <w:r>
              <w:rPr>
                <w:color w:val="222222"/>
                <w:sz w:val="18"/>
              </w:rPr>
              <w:t>$5,388,180.15</w:t>
            </w:r>
          </w:p>
        </w:tc>
        <w:tc>
          <w:tcPr>
            <w:tcW w:type="dxa" w:w="1560"/>
            <w:shd w:fill="F2F5F8"/>
          </w:tcPr>
          <w:p>
            <w:pPr>
              <w:spacing w:before="60" w:after="60"/>
            </w:pPr>
            <w:r>
              <w:rPr>
                <w:color w:val="222222"/>
                <w:sz w:val="18"/>
              </w:rPr>
              <w:t>PhP 332,089,707.28</w:t>
            </w:r>
          </w:p>
        </w:tc>
        <w:tc>
          <w:tcPr>
            <w:tcW w:type="dxa" w:w="1560"/>
            <w:shd w:fill="F2F5F8"/>
          </w:tcPr>
          <w:p>
            <w:pPr>
              <w:spacing w:before="60" w:after="60"/>
            </w:pPr>
            <w:r>
              <w:rPr>
                <w:color w:val="222222"/>
                <w:sz w:val="18"/>
              </w:rPr>
              <w:t>-PhP 0.7162/kWh</w:t>
            </w:r>
          </w:p>
        </w:tc>
        <w:tc>
          <w:tcPr>
            <w:tcW w:type="dxa" w:w="1560"/>
            <w:shd w:fill="F2F5F8"/>
          </w:tcPr>
          <w:p>
            <w:pPr>
              <w:spacing w:before="60" w:after="60"/>
            </w:pPr>
            <w:r>
              <w:rPr>
                <w:color w:val="222222"/>
                <w:sz w:val="18"/>
              </w:rPr>
              <w:t>Immediate Billing Offset / Credit</w:t>
            </w:r>
          </w:p>
        </w:tc>
      </w:tr>
      <w:tr>
        <w:trPr>
          <w:cantSplit/>
        </w:trPr>
        <w:tc>
          <w:tcPr>
            <w:tcW w:type="dxa" w:w="1560"/>
            <w:shd w:fill="FFFFFF"/>
          </w:tcPr>
          <w:p>
            <w:pPr>
              <w:spacing w:before="60" w:after="60"/>
            </w:pPr>
            <w:r>
              <w:rPr>
                <w:color w:val="222222"/>
                <w:sz w:val="18"/>
              </w:rPr>
              <w:t>Santa Rita Excess Boil-Off Gas (BOG)</w:t>
            </w:r>
          </w:p>
        </w:tc>
        <w:tc>
          <w:tcPr>
            <w:tcW w:type="dxa" w:w="1560"/>
            <w:shd w:fill="FFFFFF"/>
          </w:tcPr>
          <w:p>
            <w:pPr>
              <w:spacing w:before="60" w:after="60"/>
            </w:pPr>
            <w:r>
              <w:rPr>
                <w:color w:val="222222"/>
                <w:sz w:val="18"/>
              </w:rPr>
              <w:t>FGPC / FSRU BW Batangas</w:t>
            </w:r>
          </w:p>
        </w:tc>
        <w:tc>
          <w:tcPr>
            <w:tcW w:type="dxa" w:w="1560"/>
            <w:shd w:fill="FFFFFF"/>
          </w:tcPr>
          <w:p>
            <w:pPr>
              <w:spacing w:before="60" w:after="60"/>
            </w:pPr>
            <w:r>
              <w:rPr>
                <w:color w:val="222222"/>
                <w:sz w:val="18"/>
              </w:rPr>
              <w:t>$915,164.90</w:t>
            </w:r>
          </w:p>
        </w:tc>
        <w:tc>
          <w:tcPr>
            <w:tcW w:type="dxa" w:w="1560"/>
            <w:shd w:fill="FFFFFF"/>
          </w:tcPr>
          <w:p>
            <w:pPr>
              <w:spacing w:before="60" w:after="60"/>
            </w:pPr>
            <w:r>
              <w:rPr>
                <w:color w:val="222222"/>
                <w:sz w:val="18"/>
              </w:rPr>
              <w:t>PhP 56,404,358.33</w:t>
            </w:r>
          </w:p>
        </w:tc>
        <w:tc>
          <w:tcPr>
            <w:tcW w:type="dxa" w:w="1560"/>
            <w:shd w:fill="FFFFFF"/>
          </w:tcPr>
          <w:p>
            <w:pPr>
              <w:spacing w:before="60" w:after="60"/>
            </w:pPr>
            <w:r>
              <w:rPr>
                <w:color w:val="222222"/>
                <w:sz w:val="18"/>
              </w:rPr>
              <w:t>-PhP 0.1216/kWh</w:t>
            </w:r>
          </w:p>
        </w:tc>
        <w:tc>
          <w:tcPr>
            <w:tcW w:type="dxa" w:w="1560"/>
            <w:shd w:fill="FFFFFF"/>
          </w:tcPr>
          <w:p>
            <w:pPr>
              <w:spacing w:before="60" w:after="60"/>
            </w:pPr>
            <w:r>
              <w:rPr>
                <w:color w:val="222222"/>
                <w:sz w:val="18"/>
              </w:rPr>
              <w:t>Energy Disallowance Recovery</w:t>
            </w:r>
          </w:p>
        </w:tc>
      </w:tr>
      <w:tr>
        <w:trPr>
          <w:cantSplit/>
        </w:trPr>
        <w:tc>
          <w:tcPr>
            <w:tcW w:type="dxa" w:w="1560"/>
            <w:shd w:fill="F2F5F8"/>
          </w:tcPr>
          <w:p>
            <w:pPr>
              <w:spacing w:before="60" w:after="60"/>
            </w:pPr>
            <w:r>
              <w:rPr>
                <w:color w:val="222222"/>
                <w:sz w:val="18"/>
              </w:rPr>
              <w:t>San Lorenzo Regas Terminal Fee Markup</w:t>
            </w:r>
          </w:p>
        </w:tc>
        <w:tc>
          <w:tcPr>
            <w:tcW w:type="dxa" w:w="1560"/>
            <w:shd w:fill="F2F5F8"/>
          </w:tcPr>
          <w:p>
            <w:pPr>
              <w:spacing w:before="60" w:after="60"/>
            </w:pPr>
            <w:r>
              <w:rPr>
                <w:color w:val="222222"/>
                <w:sz w:val="18"/>
              </w:rPr>
              <w:t>FGP / FGEN LNG</w:t>
            </w:r>
          </w:p>
        </w:tc>
        <w:tc>
          <w:tcPr>
            <w:tcW w:type="dxa" w:w="1560"/>
            <w:shd w:fill="F2F5F8"/>
          </w:tcPr>
          <w:p>
            <w:pPr>
              <w:spacing w:before="60" w:after="60"/>
            </w:pPr>
            <w:r>
              <w:rPr>
                <w:color w:val="222222"/>
                <w:sz w:val="18"/>
              </w:rPr>
              <w:t>$2,696,484.72</w:t>
            </w:r>
          </w:p>
        </w:tc>
        <w:tc>
          <w:tcPr>
            <w:tcW w:type="dxa" w:w="1560"/>
            <w:shd w:fill="F2F5F8"/>
          </w:tcPr>
          <w:p>
            <w:pPr>
              <w:spacing w:before="60" w:after="60"/>
            </w:pPr>
            <w:r>
              <w:rPr>
                <w:color w:val="222222"/>
                <w:sz w:val="18"/>
              </w:rPr>
              <w:t>PhP 166,192,442.79</w:t>
            </w:r>
          </w:p>
        </w:tc>
        <w:tc>
          <w:tcPr>
            <w:tcW w:type="dxa" w:w="1560"/>
            <w:shd w:fill="F2F5F8"/>
          </w:tcPr>
          <w:p>
            <w:pPr>
              <w:spacing w:before="60" w:after="60"/>
            </w:pPr>
            <w:r>
              <w:rPr>
                <w:color w:val="222222"/>
                <w:sz w:val="18"/>
              </w:rPr>
              <w:t>-PhP 0.5598/kWh</w:t>
            </w:r>
          </w:p>
        </w:tc>
        <w:tc>
          <w:tcPr>
            <w:tcW w:type="dxa" w:w="1560"/>
            <w:shd w:fill="F2F5F8"/>
          </w:tcPr>
          <w:p>
            <w:pPr>
              <w:spacing w:before="60" w:after="60"/>
            </w:pPr>
            <w:r>
              <w:rPr>
                <w:color w:val="222222"/>
                <w:sz w:val="18"/>
              </w:rPr>
              <w:t>Immediate Billing Offset / Credit</w:t>
            </w:r>
          </w:p>
        </w:tc>
      </w:tr>
      <w:tr>
        <w:trPr>
          <w:cantSplit/>
        </w:trPr>
        <w:tc>
          <w:tcPr>
            <w:tcW w:type="dxa" w:w="1560"/>
            <w:shd w:fill="FFFFFF"/>
          </w:tcPr>
          <w:p>
            <w:pPr>
              <w:spacing w:before="60" w:after="60"/>
            </w:pPr>
            <w:r>
              <w:rPr>
                <w:color w:val="222222"/>
                <w:sz w:val="18"/>
              </w:rPr>
              <w:t>San Lorenzo Excess Boil-Off Gas (BOG)</w:t>
            </w:r>
          </w:p>
        </w:tc>
        <w:tc>
          <w:tcPr>
            <w:tcW w:type="dxa" w:w="1560"/>
            <w:shd w:fill="FFFFFF"/>
          </w:tcPr>
          <w:p>
            <w:pPr>
              <w:spacing w:before="60" w:after="60"/>
            </w:pPr>
            <w:r>
              <w:rPr>
                <w:color w:val="222222"/>
                <w:sz w:val="18"/>
              </w:rPr>
              <w:t>FGP / FSRU BW Batangas</w:t>
            </w:r>
          </w:p>
        </w:tc>
        <w:tc>
          <w:tcPr>
            <w:tcW w:type="dxa" w:w="1560"/>
            <w:shd w:fill="FFFFFF"/>
          </w:tcPr>
          <w:p>
            <w:pPr>
              <w:spacing w:before="60" w:after="60"/>
            </w:pPr>
            <w:r>
              <w:rPr>
                <w:color w:val="222222"/>
                <w:sz w:val="18"/>
              </w:rPr>
              <w:t>$473,638.27</w:t>
            </w:r>
          </w:p>
        </w:tc>
        <w:tc>
          <w:tcPr>
            <w:tcW w:type="dxa" w:w="1560"/>
            <w:shd w:fill="FFFFFF"/>
          </w:tcPr>
          <w:p>
            <w:pPr>
              <w:spacing w:before="60" w:after="60"/>
            </w:pPr>
            <w:r>
              <w:rPr>
                <w:color w:val="222222"/>
                <w:sz w:val="18"/>
              </w:rPr>
              <w:t>PhP 29,191,747.60</w:t>
            </w:r>
          </w:p>
        </w:tc>
        <w:tc>
          <w:tcPr>
            <w:tcW w:type="dxa" w:w="1560"/>
            <w:shd w:fill="FFFFFF"/>
          </w:tcPr>
          <w:p>
            <w:pPr>
              <w:spacing w:before="60" w:after="60"/>
            </w:pPr>
            <w:r>
              <w:rPr>
                <w:color w:val="222222"/>
                <w:sz w:val="18"/>
              </w:rPr>
              <w:t>-PhP 0.0983/kWh</w:t>
            </w:r>
          </w:p>
        </w:tc>
        <w:tc>
          <w:tcPr>
            <w:tcW w:type="dxa" w:w="1560"/>
            <w:shd w:fill="FFFFFF"/>
          </w:tcPr>
          <w:p>
            <w:pPr>
              <w:spacing w:before="60" w:after="60"/>
            </w:pPr>
            <w:r>
              <w:rPr>
                <w:color w:val="222222"/>
                <w:sz w:val="18"/>
              </w:rPr>
              <w:t>Energy Disallowance Recovery</w:t>
            </w:r>
          </w:p>
        </w:tc>
      </w:tr>
      <w:tr>
        <w:trPr>
          <w:cantSplit/>
        </w:trPr>
        <w:tc>
          <w:tcPr>
            <w:tcW w:type="dxa" w:w="1560"/>
            <w:shd w:fill="F2F5F8"/>
          </w:tcPr>
          <w:p>
            <w:pPr>
              <w:spacing w:before="60" w:after="60"/>
            </w:pPr>
            <w:r>
              <w:rPr>
                <w:color w:val="222222"/>
                <w:sz w:val="18"/>
              </w:rPr>
              <w:t>Redundant Marine Cargo &amp; Freight Ins.</w:t>
            </w:r>
          </w:p>
        </w:tc>
        <w:tc>
          <w:tcPr>
            <w:tcW w:type="dxa" w:w="1560"/>
            <w:shd w:fill="F2F5F8"/>
          </w:tcPr>
          <w:p>
            <w:pPr>
              <w:spacing w:before="60" w:after="60"/>
            </w:pPr>
            <w:r>
              <w:rPr>
                <w:color w:val="222222"/>
                <w:sz w:val="18"/>
              </w:rPr>
              <w:t>FGPC / FGP / M Pioneer</w:t>
            </w:r>
          </w:p>
        </w:tc>
        <w:tc>
          <w:tcPr>
            <w:tcW w:type="dxa" w:w="1560"/>
            <w:shd w:fill="F2F5F8"/>
          </w:tcPr>
          <w:p>
            <w:pPr>
              <w:spacing w:before="60" w:after="60"/>
            </w:pPr>
            <w:r>
              <w:rPr>
                <w:color w:val="222222"/>
                <w:sz w:val="18"/>
              </w:rPr>
              <w:t>$1,420,000.00</w:t>
            </w:r>
          </w:p>
        </w:tc>
        <w:tc>
          <w:tcPr>
            <w:tcW w:type="dxa" w:w="1560"/>
            <w:shd w:fill="F2F5F8"/>
          </w:tcPr>
          <w:p>
            <w:pPr>
              <w:spacing w:before="60" w:after="60"/>
            </w:pPr>
            <w:r>
              <w:rPr>
                <w:color w:val="222222"/>
                <w:sz w:val="18"/>
              </w:rPr>
              <w:t>PhP 87,518,860.00</w:t>
            </w:r>
          </w:p>
        </w:tc>
        <w:tc>
          <w:tcPr>
            <w:tcW w:type="dxa" w:w="1560"/>
            <w:shd w:fill="F2F5F8"/>
          </w:tcPr>
          <w:p>
            <w:pPr>
              <w:spacing w:before="60" w:after="60"/>
            </w:pPr>
            <w:r>
              <w:rPr>
                <w:color w:val="222222"/>
                <w:sz w:val="18"/>
              </w:rPr>
              <w:t>-PhP 0.1887/kWh</w:t>
            </w:r>
          </w:p>
        </w:tc>
        <w:tc>
          <w:tcPr>
            <w:tcW w:type="dxa" w:w="1560"/>
            <w:shd w:fill="F2F5F8"/>
          </w:tcPr>
          <w:p>
            <w:pPr>
              <w:spacing w:before="60" w:after="60"/>
            </w:pPr>
            <w:r>
              <w:rPr>
                <w:color w:val="222222"/>
                <w:sz w:val="18"/>
              </w:rPr>
              <w:t>Direct Cash Restitution</w:t>
            </w:r>
          </w:p>
        </w:tc>
      </w:tr>
      <w:tr>
        <w:trPr>
          <w:cantSplit/>
        </w:trPr>
        <w:tc>
          <w:tcPr>
            <w:tcW w:type="dxa" w:w="1560"/>
            <w:shd w:fill="FFFFFF"/>
          </w:tcPr>
          <w:p>
            <w:pPr>
              <w:spacing w:before="60" w:after="60"/>
            </w:pPr>
            <w:r>
              <w:rPr>
                <w:color w:val="222222"/>
                <w:sz w:val="18"/>
              </w:rPr>
              <w:t>Excess Port Demurrage &amp; Laytime Markups</w:t>
            </w:r>
          </w:p>
        </w:tc>
        <w:tc>
          <w:tcPr>
            <w:tcW w:type="dxa" w:w="1560"/>
            <w:shd w:fill="FFFFFF"/>
          </w:tcPr>
          <w:p>
            <w:pPr>
              <w:spacing w:before="60" w:after="60"/>
            </w:pPr>
            <w:r>
              <w:rPr>
                <w:color w:val="222222"/>
                <w:sz w:val="18"/>
              </w:rPr>
              <w:t>Shell Eastern Trading</w:t>
            </w:r>
          </w:p>
        </w:tc>
        <w:tc>
          <w:tcPr>
            <w:tcW w:type="dxa" w:w="1560"/>
            <w:shd w:fill="FFFFFF"/>
          </w:tcPr>
          <w:p>
            <w:pPr>
              <w:spacing w:before="60" w:after="60"/>
            </w:pPr>
            <w:r>
              <w:rPr>
                <w:color w:val="222222"/>
                <w:sz w:val="18"/>
              </w:rPr>
              <w:t>$1,850,000.00</w:t>
            </w:r>
          </w:p>
        </w:tc>
        <w:tc>
          <w:tcPr>
            <w:tcW w:type="dxa" w:w="1560"/>
            <w:shd w:fill="FFFFFF"/>
          </w:tcPr>
          <w:p>
            <w:pPr>
              <w:spacing w:before="60" w:after="60"/>
            </w:pPr>
            <w:r>
              <w:rPr>
                <w:color w:val="222222"/>
                <w:sz w:val="18"/>
              </w:rPr>
              <w:t>PhP 114,021,050.00</w:t>
            </w:r>
          </w:p>
        </w:tc>
        <w:tc>
          <w:tcPr>
            <w:tcW w:type="dxa" w:w="1560"/>
            <w:shd w:fill="FFFFFF"/>
          </w:tcPr>
          <w:p>
            <w:pPr>
              <w:spacing w:before="60" w:after="60"/>
            </w:pPr>
            <w:r>
              <w:rPr>
                <w:color w:val="222222"/>
                <w:sz w:val="18"/>
              </w:rPr>
              <w:t>-PhP 0.2458/kWh</w:t>
            </w:r>
          </w:p>
        </w:tc>
        <w:tc>
          <w:tcPr>
            <w:tcW w:type="dxa" w:w="1560"/>
            <w:shd w:fill="FFFFFF"/>
          </w:tcPr>
          <w:p>
            <w:pPr>
              <w:spacing w:before="60" w:after="60"/>
            </w:pPr>
            <w:r>
              <w:rPr>
                <w:color w:val="222222"/>
                <w:sz w:val="18"/>
              </w:rPr>
              <w:t>Third-Party Disallowance Offset</w:t>
            </w:r>
          </w:p>
        </w:tc>
      </w:tr>
      <w:tr>
        <w:trPr>
          <w:cantSplit/>
        </w:trPr>
        <w:tc>
          <w:tcPr>
            <w:tcW w:type="dxa" w:w="1560"/>
            <w:shd w:fill="F2F5F8"/>
          </w:tcPr>
          <w:p>
            <w:pPr>
              <w:spacing w:before="60" w:after="60"/>
            </w:pPr>
            <w:r>
              <w:rPr>
                <w:color w:val="222222"/>
                <w:sz w:val="18"/>
              </w:rPr>
              <w:t>FSRU BW Batangas TCP Cl. 12.2 Surcharges</w:t>
            </w:r>
          </w:p>
        </w:tc>
        <w:tc>
          <w:tcPr>
            <w:tcW w:type="dxa" w:w="1560"/>
            <w:shd w:fill="F2F5F8"/>
          </w:tcPr>
          <w:p>
            <w:pPr>
              <w:spacing w:before="60" w:after="60"/>
            </w:pPr>
            <w:r>
              <w:rPr>
                <w:color w:val="222222"/>
                <w:sz w:val="18"/>
              </w:rPr>
              <w:t>FGEN LNG / BW Fleet</w:t>
            </w:r>
          </w:p>
        </w:tc>
        <w:tc>
          <w:tcPr>
            <w:tcW w:type="dxa" w:w="1560"/>
            <w:shd w:fill="F2F5F8"/>
          </w:tcPr>
          <w:p>
            <w:pPr>
              <w:spacing w:before="60" w:after="60"/>
            </w:pPr>
            <w:r>
              <w:rPr>
                <w:color w:val="222222"/>
                <w:sz w:val="18"/>
              </w:rPr>
              <w:t>$760,000.00</w:t>
            </w:r>
          </w:p>
        </w:tc>
        <w:tc>
          <w:tcPr>
            <w:tcW w:type="dxa" w:w="1560"/>
            <w:shd w:fill="F2F5F8"/>
          </w:tcPr>
          <w:p>
            <w:pPr>
              <w:spacing w:before="60" w:after="60"/>
            </w:pPr>
            <w:r>
              <w:rPr>
                <w:color w:val="222222"/>
                <w:sz w:val="18"/>
              </w:rPr>
              <w:t>PhP 46,841,080.00</w:t>
            </w:r>
          </w:p>
        </w:tc>
        <w:tc>
          <w:tcPr>
            <w:tcW w:type="dxa" w:w="1560"/>
            <w:shd w:fill="F2F5F8"/>
          </w:tcPr>
          <w:p>
            <w:pPr>
              <w:spacing w:before="60" w:after="60"/>
            </w:pPr>
            <w:r>
              <w:rPr>
                <w:color w:val="222222"/>
                <w:sz w:val="18"/>
              </w:rPr>
              <w:t>-PhP 0.1010/kWh</w:t>
            </w:r>
          </w:p>
        </w:tc>
        <w:tc>
          <w:tcPr>
            <w:tcW w:type="dxa" w:w="1560"/>
            <w:shd w:fill="F2F5F8"/>
          </w:tcPr>
          <w:p>
            <w:pPr>
              <w:spacing w:before="60" w:after="60"/>
            </w:pPr>
            <w:r>
              <w:rPr>
                <w:color w:val="222222"/>
                <w:sz w:val="18"/>
              </w:rPr>
              <w:t>Affiliate Claw-Back Offset</w:t>
            </w:r>
          </w:p>
        </w:tc>
      </w:tr>
      <w:tr>
        <w:trPr>
          <w:cantSplit/>
        </w:trPr>
        <w:tc>
          <w:tcPr>
            <w:tcW w:type="dxa" w:w="1560"/>
            <w:shd w:fill="FFFFFF"/>
          </w:tcPr>
          <w:p>
            <w:pPr>
              <w:spacing w:before="60" w:after="60"/>
            </w:pPr>
            <w:r>
              <w:rPr>
                <w:color w:val="222222"/>
                <w:sz w:val="18"/>
              </w:rPr>
              <w:t>Local Business Tax Illegal Pass-Through</w:t>
            </w:r>
          </w:p>
        </w:tc>
        <w:tc>
          <w:tcPr>
            <w:tcW w:type="dxa" w:w="1560"/>
            <w:shd w:fill="FFFFFF"/>
          </w:tcPr>
          <w:p>
            <w:pPr>
              <w:spacing w:before="60" w:after="60"/>
            </w:pPr>
            <w:r>
              <w:rPr>
                <w:color w:val="222222"/>
                <w:sz w:val="18"/>
              </w:rPr>
              <w:t>FGPC (Santa Rita LBT)</w:t>
            </w:r>
          </w:p>
        </w:tc>
        <w:tc>
          <w:tcPr>
            <w:tcW w:type="dxa" w:w="1560"/>
            <w:shd w:fill="FFFFFF"/>
          </w:tcPr>
          <w:p>
            <w:pPr>
              <w:spacing w:before="60" w:after="60"/>
            </w:pPr>
            <w:r>
              <w:rPr>
                <w:color w:val="222222"/>
                <w:sz w:val="18"/>
              </w:rPr>
              <w:t>$2,153,603.31</w:t>
            </w:r>
          </w:p>
        </w:tc>
        <w:tc>
          <w:tcPr>
            <w:tcW w:type="dxa" w:w="1560"/>
            <w:shd w:fill="FFFFFF"/>
          </w:tcPr>
          <w:p>
            <w:pPr>
              <w:spacing w:before="60" w:after="60"/>
            </w:pPr>
            <w:r>
              <w:rPr>
                <w:color w:val="222222"/>
                <w:sz w:val="18"/>
              </w:rPr>
              <w:t>PhP 130,980,000.00</w:t>
            </w:r>
          </w:p>
        </w:tc>
        <w:tc>
          <w:tcPr>
            <w:tcW w:type="dxa" w:w="1560"/>
            <w:shd w:fill="FFFFFF"/>
          </w:tcPr>
          <w:p>
            <w:pPr>
              <w:spacing w:before="60" w:after="60"/>
            </w:pPr>
            <w:r>
              <w:rPr>
                <w:color w:val="222222"/>
                <w:sz w:val="18"/>
              </w:rPr>
              <w:t>-PhP 0.3122/kWh</w:t>
            </w:r>
          </w:p>
        </w:tc>
        <w:tc>
          <w:tcPr>
            <w:tcW w:type="dxa" w:w="1560"/>
            <w:shd w:fill="FFFFFF"/>
          </w:tcPr>
          <w:p>
            <w:pPr>
              <w:spacing w:before="60" w:after="60"/>
            </w:pPr>
            <w:r>
              <w:rPr>
                <w:color w:val="222222"/>
                <w:sz w:val="18"/>
              </w:rPr>
              <w:t>Direct Consumer Cash Refund</w:t>
            </w:r>
          </w:p>
        </w:tc>
      </w:tr>
      <w:tr>
        <w:trPr>
          <w:cantSplit/>
        </w:trPr>
        <w:tc>
          <w:tcPr>
            <w:tcW w:type="dxa" w:w="1560"/>
            <w:shd w:fill="F2F5F8"/>
          </w:tcPr>
          <w:p>
            <w:pPr>
              <w:spacing w:before="60" w:after="60"/>
            </w:pPr>
            <w:r>
              <w:rPr>
                <w:color w:val="222222"/>
                <w:sz w:val="18"/>
              </w:rPr>
              <w:t>TOTAL AUDIT DISALLOWANCE</w:t>
            </w:r>
          </w:p>
        </w:tc>
        <w:tc>
          <w:tcPr>
            <w:tcW w:type="dxa" w:w="1560"/>
            <w:shd w:fill="F2F5F8"/>
          </w:tcPr>
          <w:p>
            <w:pPr>
              <w:spacing w:before="60" w:after="60"/>
            </w:pPr>
            <w:r>
              <w:rPr>
                <w:color w:val="222222"/>
                <w:sz w:val="18"/>
              </w:rPr>
              <w:t>Comprehensive Matrix</w:t>
            </w:r>
          </w:p>
        </w:tc>
        <w:tc>
          <w:tcPr>
            <w:tcW w:type="dxa" w:w="1560"/>
            <w:shd w:fill="F2F5F8"/>
          </w:tcPr>
          <w:p>
            <w:pPr>
              <w:spacing w:before="60" w:after="60"/>
            </w:pPr>
            <w:r>
              <w:rPr>
                <w:color w:val="222222"/>
                <w:sz w:val="18"/>
              </w:rPr>
              <w:t>$15,657,071.35 USD</w:t>
            </w:r>
          </w:p>
        </w:tc>
        <w:tc>
          <w:tcPr>
            <w:tcW w:type="dxa" w:w="1560"/>
            <w:shd w:fill="F2F5F8"/>
          </w:tcPr>
          <w:p>
            <w:pPr>
              <w:spacing w:before="60" w:after="60"/>
            </w:pPr>
            <w:r>
              <w:rPr>
                <w:color w:val="222222"/>
                <w:sz w:val="18"/>
              </w:rPr>
              <w:t>PhP 963,239,245.99 PHP</w:t>
            </w:r>
          </w:p>
        </w:tc>
        <w:tc>
          <w:tcPr>
            <w:tcW w:type="dxa" w:w="1560"/>
            <w:shd w:fill="F2F5F8"/>
          </w:tcPr>
          <w:p>
            <w:pPr>
              <w:spacing w:before="60" w:after="60"/>
            </w:pPr>
            <w:r>
              <w:rPr>
                <w:color w:val="222222"/>
                <w:sz w:val="18"/>
              </w:rPr>
              <w:t>-PhP 0.6540/kWh (Avg)</w:t>
            </w:r>
          </w:p>
        </w:tc>
        <w:tc>
          <w:tcPr>
            <w:tcW w:type="dxa" w:w="1560"/>
            <w:shd w:fill="F2F5F8"/>
          </w:tcPr>
          <w:p>
            <w:pPr>
              <w:spacing w:before="60" w:after="60"/>
            </w:pPr>
            <w:r>
              <w:rPr>
                <w:color w:val="222222"/>
                <w:sz w:val="18"/>
              </w:rPr>
              <w:t>Mandatory Customer Rate Refund Pool</w:t>
            </w:r>
          </w:p>
        </w:tc>
      </w:tr>
    </w:tbl>
    <w:p>
      <w:pPr>
        <w:keepNext/>
        <w:spacing w:before="160" w:after="40"/>
        <w:jc w:val="center"/>
      </w:pPr>
      <w:r>
        <w:drawing>
          <wp:inline xmlns:a="http://schemas.openxmlformats.org/drawingml/2006/main" xmlns:pic="http://schemas.openxmlformats.org/drawingml/2006/picture">
            <wp:extent cx="5669280" cy="2721254"/>
            <wp:docPr id="10" name="Picture 10"/>
            <wp:cNvGraphicFramePr>
              <a:graphicFrameLocks noChangeAspect="1"/>
            </wp:cNvGraphicFramePr>
            <a:graphic>
              <a:graphicData uri="http://schemas.openxmlformats.org/drawingml/2006/picture">
                <pic:pic>
                  <pic:nvPicPr>
                    <pic:cNvPr id="0" name="graph_14_cumulative_savings.png"/>
                    <pic:cNvPicPr/>
                  </pic:nvPicPr>
                  <pic:blipFill>
                    <a:blip r:embed="rId19"/>
                    <a:stretch>
                      <a:fillRect/>
                    </a:stretch>
                  </pic:blipFill>
                  <pic:spPr>
                    <a:xfrm>
                      <a:off x="0" y="0"/>
                      <a:ext cx="5669280" cy="2721254"/>
                    </a:xfrm>
                    <a:prstGeom prst="rect"/>
                  </pic:spPr>
                </pic:pic>
              </a:graphicData>
            </a:graphic>
          </wp:inline>
        </w:drawing>
      </w:r>
    </w:p>
    <w:p>
      <w:pPr>
        <w:keepNext/>
        <w:spacing w:before="40" w:after="160"/>
        <w:jc w:val="center"/>
      </w:pPr>
      <w:r>
        <w:rPr>
          <w:b/>
          <w:color w:val="1B365D"/>
          <w:sz w:val="19"/>
        </w:rPr>
        <w:t>Figure 10: Cumulative Consumer Restitution Trajectory ($15.66M USD / PhP 963.24M PHP)</w:t>
      </w:r>
    </w:p>
    <w:p>
      <w:pPr>
        <w:keepNext/>
        <w:spacing w:before="200" w:after="80"/>
      </w:pPr>
      <w:r>
        <w:rPr>
          <w:rFonts w:ascii="Times New Roman" w:hAnsi="Times New Roman"/>
          <w:b/>
          <w:color w:val="333333"/>
          <w:sz w:val="23"/>
        </w:rPr>
        <w:t>Critical Forensic Discussion &amp; Regulatory Interpretation: Table 11 &amp; Figure 10: Master Restitution Reconciliation &amp; Consumer Refund Framework</w:t>
      </w:r>
    </w:p>
    <w:p>
      <w:pPr>
        <w:spacing w:after="120" w:line="276" w:lineRule="auto"/>
        <w:ind w:left="288"/>
        <w:jc w:val="both"/>
      </w:pPr>
      <w:r>
        <w:rPr>
          <w:rFonts w:ascii="Times New Roman" w:hAnsi="Times New Roman"/>
          <w:color w:val="222222"/>
          <w:sz w:val="22"/>
        </w:rPr>
        <w:t>Table 11 and Figure 10 establish the enforceable restitution ledger. Under Section 43 of EPIRA, the ERC possesses summary statutory power to direct MERALCO to immediately credit PhP 963,239,245.99 PHP ($15,657,071.35 USD) back to retail customer billing statements.</w:t>
      </w:r>
    </w:p>
    <w:p>
      <w:pPr>
        <w:spacing w:after="120" w:line="276" w:lineRule="auto"/>
        <w:ind w:left="288"/>
        <w:jc w:val="both"/>
      </w:pPr>
      <w:r>
        <w:rPr>
          <w:rFonts w:ascii="Times New Roman" w:hAnsi="Times New Roman"/>
          <w:color w:val="222222"/>
          <w:sz w:val="22"/>
        </w:rPr>
        <w:t>We recommend structuring this restitution as a dedicated negative Generation Rate True-Up Adjustment (-PhP 0.6540/kWh) amortized across three (3) consecutive billing cycles, accompanied by legal interest assessed at 12% per annum from the date of unlawful collection until full restitution is accomplished.</w:t>
      </w:r>
    </w:p>
    <w:p>
      <w:pPr>
        <w:keepNext/>
        <w:spacing w:before="360" w:after="160"/>
      </w:pPr>
      <w:r>
        <w:rPr>
          <w:rFonts w:ascii="Times New Roman" w:hAnsi="Times New Roman"/>
          <w:b/>
          <w:color w:val="1B365D"/>
          <w:sz w:val="30"/>
        </w:rPr>
        <w:t>15. Works Cited</w:t>
      </w:r>
    </w:p>
    <w:p>
      <w:pPr>
        <w:spacing w:after="80"/>
        <w:ind w:left="720" w:hanging="720"/>
      </w:pPr>
      <w:r>
        <w:rPr>
          <w:rFonts w:ascii="Times New Roman" w:hAnsi="Times New Roman"/>
          <w:sz w:val="20"/>
        </w:rPr>
        <w:t>DNV GL. Rules for Classification: Ships (Part 5 Ship Types, Chapter 7 Liquefied Gas Tankers). DNV GL AS, 2024.</w:t>
      </w:r>
    </w:p>
    <w:p>
      <w:pPr>
        <w:spacing w:after="80"/>
        <w:ind w:left="720" w:hanging="720"/>
      </w:pPr>
      <w:r>
        <w:t>Energy Regulatory Board. Decision in ERB Case No. 93-118: Approval of Power Purchase Agreement between Manila Electric Company and First Gas Power Corporation. ERB, 1997.</w:t>
      </w:r>
    </w:p>
    <w:p>
      <w:pPr>
        <w:spacing w:after="80"/>
        <w:ind w:left="720" w:hanging="720"/>
      </w:pPr>
      <w:r>
        <w:t>Energy Regulatory Commission. Decision in ERC Case No. 2004-74: In the Matter of the Application for Approval of the Amendments to the Power Purchase Agreements between Manila Electric Company and First Gas Power Corporation (Sta. Rita) and FGP Corp. (San Lorenzo). ERC, 31 May 2006.</w:t>
      </w:r>
    </w:p>
    <w:p>
      <w:pPr>
        <w:spacing w:after="80"/>
        <w:ind w:left="720" w:hanging="720"/>
      </w:pPr>
      <w:r>
        <w:t>Energy Regulatory Commission. Resolution No. 16, Series of 2009: Rules Governing the Automatic Cost Adjustment and True-up Mechanisms and Corresponding Confirmation Process for Distribution Utilities (AGRA). ERC, 13 July 2009.</w:t>
      </w:r>
    </w:p>
    <w:p>
      <w:pPr>
        <w:spacing w:after="80"/>
        <w:ind w:left="720" w:hanging="720"/>
      </w:pPr>
      <w:r>
        <w:rPr>
          <w:rFonts w:ascii="Times New Roman" w:hAnsi="Times New Roman"/>
          <w:sz w:val="20"/>
        </w:rPr>
        <w:t>International Organization for Standardization. ISO 6976: Natural Gas — Calculation of Calorific Values, Density, Relative Density and Wobbe Indices from Composition. ISO, 2016.</w:t>
      </w:r>
    </w:p>
    <w:p>
      <w:pPr>
        <w:spacing w:after="80"/>
        <w:ind w:left="720" w:hanging="720"/>
      </w:pPr>
      <w:r>
        <w:rPr>
          <w:rFonts w:ascii="Times New Roman" w:hAnsi="Times New Roman"/>
          <w:sz w:val="20"/>
        </w:rPr>
        <w:t>International Organization of Supreme Audit Institutions. INTOSAI GUID 5271: Forensic Audit Standards. INTOSAI, 2020.</w:t>
      </w:r>
    </w:p>
    <w:p>
      <w:pPr>
        <w:spacing w:after="80"/>
        <w:ind w:left="720" w:hanging="720"/>
      </w:pPr>
      <w:r>
        <w:rPr>
          <w:rFonts w:ascii="Times New Roman" w:hAnsi="Times New Roman"/>
          <w:sz w:val="20"/>
        </w:rPr>
        <w:t>Lloyd's Register. Rules and Regulations for the Construction and Classification of Ships for the Carriage of Liquefied Gases in Bulk. Lloyd's Register Group Limited, 2024.</w:t>
      </w:r>
    </w:p>
    <w:p>
      <w:pPr>
        <w:spacing w:after="80"/>
        <w:ind w:left="720" w:hanging="720"/>
      </w:pPr>
      <w:r>
        <w:rPr>
          <w:rFonts w:ascii="Times New Roman" w:hAnsi="Times New Roman"/>
          <w:sz w:val="20"/>
        </w:rPr>
        <w:t>Organisation for Economic Co-operation and Development. OECD Transfer Pricing Guidelines for Multinational Enterprises and Tax Administrations. OECD Publishing, 2022.</w:t>
      </w:r>
    </w:p>
    <w:p>
      <w:pPr>
        <w:spacing w:after="80"/>
        <w:ind w:left="720" w:hanging="720"/>
      </w:pPr>
      <w:r>
        <w:rPr>
          <w:rFonts w:ascii="Times New Roman" w:hAnsi="Times New Roman"/>
          <w:sz w:val="20"/>
        </w:rPr>
        <w:t>Republic of the Philippines, Congress. Republic Act No. 9136: Electric Power Industry Reform Act of 2001 (EPIRA). 8 June 2001.</w:t>
      </w:r>
    </w:p>
    <w:p>
      <w:pPr>
        <w:spacing w:after="80"/>
        <w:ind w:left="720" w:hanging="720"/>
      </w:pPr>
      <w:r>
        <w:rPr>
          <w:rFonts w:ascii="Times New Roman" w:hAnsi="Times New Roman"/>
          <w:sz w:val="20"/>
        </w:rPr>
        <w:t>Republic of the Philippines, Congress. Republic Act No. 3019: Anti-Graft and Corrupt Practices Act. 17 Aug. 1960.</w:t>
      </w:r>
    </w:p>
    <w:p>
      <w:pPr>
        <w:spacing w:after="80"/>
        <w:ind w:left="720" w:hanging="720"/>
      </w:pPr>
      <w:r>
        <w:rPr>
          <w:rFonts w:ascii="Times New Roman" w:hAnsi="Times New Roman"/>
          <w:sz w:val="20"/>
        </w:rPr>
        <w:t>Republic of the Philippines, Congress. Republic Act No. 3815: The Revised Penal Code of the Philippines. 1 Jan. 1932.</w:t>
      </w:r>
    </w:p>
    <w:p>
      <w:pPr>
        <w:spacing w:after="80"/>
        <w:ind w:left="720" w:hanging="720"/>
      </w:pPr>
      <w:r>
        <w:rPr>
          <w:rFonts w:ascii="Times New Roman" w:hAnsi="Times New Roman"/>
          <w:sz w:val="20"/>
        </w:rPr>
        <w:t>Republic of the Philippines, Supreme Court. Commissioner of Internal Revenue v. SM Prime Holdings, Inc. G.R. No. 183505, 26 Feb. 2010.</w:t>
      </w:r>
    </w:p>
    <w:p>
      <w:pPr>
        <w:spacing w:after="80"/>
        <w:ind w:left="720" w:hanging="720"/>
      </w:pPr>
      <w:r>
        <w:t>Republic of the Philippines, Supreme Court. Manila Electric Company v. Energy Regulatory Board and NASECORE. G.R. No. 163935, 29 Nov. 2006.</w:t>
      </w:r>
    </w:p>
    <w:p>
      <w:pPr>
        <w:spacing w:after="80"/>
        <w:ind w:left="720" w:hanging="720"/>
      </w:pPr>
      <w:r>
        <w:t>Republic of the Philippines, Supreme Court. Freedom from Debt Coalition, et al. v. Energy Regulatory Commission and MERALCO. G.R. No. 161113, 14 Dec. 2021.</w:t>
      </w:r>
    </w:p>
    <w:p>
      <w:pPr>
        <w:spacing w:after="80"/>
        <w:ind w:left="720" w:hanging="720"/>
      </w:pPr>
      <w:r>
        <w:rPr>
          <w:rFonts w:ascii="Times New Roman" w:hAnsi="Times New Roman"/>
          <w:sz w:val="20"/>
        </w:rPr>
        <w:t>Republic of the Philippines, Supreme Court. Republic of the Philippines v. Manila Electric Company. G.R. No. 141314, 15 Nov. 2002.</w:t>
      </w:r>
    </w:p>
    <w:p>
      <w:pPr>
        <w:spacing w:after="80"/>
        <w:ind w:left="720" w:hanging="720"/>
      </w:pPr>
      <w:r>
        <w:rPr>
          <w:rFonts w:ascii="Times New Roman" w:hAnsi="Times New Roman"/>
          <w:sz w:val="20"/>
        </w:rPr>
        <w:t>Republic of the Philippines, Supreme Court. Tatad v. Secretary of the Department of Energy. G.R. No. 124360, 5 Nov. 1997.</w:t>
      </w:r>
    </w:p>
    <w:p>
      <w:pPr>
        <w:spacing w:after="80"/>
        <w:ind w:left="720" w:hanging="720"/>
      </w:pPr>
      <w:r>
        <w:rPr>
          <w:rFonts w:ascii="Times New Roman" w:hAnsi="Times New Roman"/>
          <w:sz w:val="20"/>
        </w:rPr>
        <w:t>Society of International Gas Tanker and Terminal Operators (SIGTTO). LNG Transfer Arms and Manifolds: Technical Recommendations. Witherby Publishing Group, 2023.</w:t>
      </w:r>
    </w:p>
    <w:p>
      <w:pPr>
        <w:spacing w:after="80"/>
        <w:ind w:left="720" w:hanging="720"/>
      </w:pPr>
      <w:r>
        <w:rPr>
          <w:rFonts w:ascii="Times New Roman" w:hAnsi="Times New Roman"/>
          <w:sz w:val="20"/>
        </w:rPr>
        <w:t>Society of International Gas Tanker and Terminal Operators (SIGTTO). Liquefied Gas Handling Principles on Ships and in Terminals. 4th ed., Witherby Publishing Group, 2022.</w:t>
      </w:r>
    </w:p>
    <w:p>
      <w:pPr>
        <w:spacing w:after="80"/>
        <w:ind w:left="720" w:hanging="720"/>
      </w:pPr>
      <w:r>
        <w:rPr>
          <w:rFonts w:ascii="Times New Roman" w:hAnsi="Times New Roman"/>
          <w:sz w:val="20"/>
        </w:rPr>
        <w:t>Republic of the Philippines, Supreme Court. Bayan Muna, et al. v. Energy Regulatory Commission, Manila Electric Company, First Gas Power Corp., and FGP Corp. G.R. Nos. 210245, 210255, and 210502, 3 Aug. 2021.</w:t>
      </w:r>
    </w:p>
    <w:p>
      <w:pPr>
        <w:spacing w:after="80"/>
        <w:ind w:left="720" w:hanging="720"/>
      </w:pPr>
      <w:r>
        <w:rPr>
          <w:rFonts w:ascii="Times New Roman" w:hAnsi="Times New Roman"/>
          <w:sz w:val="20"/>
        </w:rPr>
        <w:t>Energy Regulatory Commission. Orders on the Interim Extension of the Power Purchase Agreement between Manila Electric Company and First Gas Power Corporation (Sta. Rita). ERC, 2025–2026.</w:t>
      </w:r>
    </w:p>
    <w:sectPr>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Independent Forensic Fuel Cost Audit  |  Page </w:t>
    </w:r>
    <w:fldSimple w:instr="PAGE"/>
    <w:r>
      <w:rPr>
        <w:i/>
        <w:color w:val="777777"/>
        <w:sz w:val="18"/>
      </w:rPr>
      <w:t xml:space="preserve"> of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efaultImageDpi w14:val="300"/>
  <w:removePersonalInformation w:val="true"/>
  <w:removeDateAndTim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i/>
      <w:color w:val="777777"/>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1</Pages>
  <Words>0</Words>
  <Characters>0</Characters>
  <Lines>0</Lines>
  <Paragraphs>0</Paragraphs>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