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80"/>
      </w:pPr>
      <w:r>
        <w:rPr>
          <w:rFonts w:ascii="Arial" w:cs="Arial" w:eastAsia="Arial" w:hAnsi="Arial"/>
          <w:b/>
          <w:bCs/>
          <w:color w:val="1F3864"/>
          <w:sz w:val="34"/>
          <w:szCs w:val="34"/>
        </w:rPr>
        <w:t xml:space="preserve">Action taken on the comments of Ma’am Sharon O. Montaner</w:t>
      </w:r>
    </w:p>
    <w:p>
      <w:pPr>
        <w:spacing w:after="100"/>
      </w:pPr>
      <w:r>
        <w:rPr>
          <w:rFonts w:ascii="Arial" w:cs="Arial" w:eastAsia="Arial" w:hAnsi="Arial"/>
          <w:i/>
          <w:iCs/>
          <w:color w:val="595959"/>
          <w:sz w:val="20"/>
          <w:szCs w:val="20"/>
        </w:rPr>
        <w:t xml:space="preserve">GAIR draft: FINAL FINAL / franz_som_working draft_1.docx  ·  Prepared by Franz  ·  19 October 2026</w:t>
      </w:r>
    </w:p>
    <w:p>
      <w:pPr>
        <w:pStyle w:val="Heading1"/>
        <w:spacing w:after="120" w:before="200"/>
      </w:pPr>
      <w:r>
        <w:rPr>
          <w:rFonts w:ascii="Arial" w:cs="Arial" w:eastAsia="Arial" w:hAnsi="Arial"/>
        </w:rPr>
        <w:t xml:space="preserve">Summary</w:t>
      </w:r>
    </w:p>
    <w:p>
      <w:pPr>
        <w:spacing w:after="100"/>
      </w:pPr>
      <w:r>
        <w:rPr>
          <w:rFonts w:ascii="Arial" w:cs="Arial" w:eastAsia="Arial" w:hAnsi="Arial"/>
          <w:sz w:val="20"/>
          <w:szCs w:val="20"/>
        </w:rPr>
        <w:t xml:space="preserve">All 29 comments of Ma’am Sharon and the 3 comments of Antonette were answered. Every text change made on 19 October is a tracked change highlighted in green so it can be accepted or rejected, and a reply under "Franz" is threaded beneath each comment in the draft.</w:t>
      </w:r>
    </w:p>
    <w:p>
      <w:pPr>
        <w:pStyle w:val="ListParagraph"/>
        <w:numPr>
          <w:ilvl w:val="0"/>
          <w:numId w:val="2"/>
        </w:numPr>
        <w:spacing w:after="60"/>
      </w:pPr>
      <w:r>
        <w:rPr>
          <w:rFonts w:ascii="Arial" w:cs="Arial" w:eastAsia="Arial" w:hAnsi="Arial"/>
          <w:b/>
          <w:bCs/>
          <w:sz w:val="20"/>
          <w:szCs w:val="20"/>
        </w:rPr>
        <w:t xml:space="preserve">Implemented:</w:t>
      </w:r>
      <w:r>
        <w:rPr>
          <w:rFonts w:ascii="Arial" w:cs="Arial" w:eastAsia="Arial" w:hAnsi="Arial"/>
          <w:sz w:val="20"/>
          <w:szCs w:val="20"/>
        </w:rPr>
        <w:t xml:space="preserve"> 14 comments implemented as suggested.</w:t>
      </w:r>
    </w:p>
    <w:p>
      <w:pPr>
        <w:pStyle w:val="ListParagraph"/>
        <w:numPr>
          <w:ilvl w:val="0"/>
          <w:numId w:val="2"/>
        </w:numPr>
        <w:spacing w:after="60"/>
      </w:pPr>
      <w:r>
        <w:rPr>
          <w:rFonts w:ascii="Arial" w:cs="Arial" w:eastAsia="Arial" w:hAnsi="Arial"/>
          <w:b/>
          <w:bCs/>
          <w:sz w:val="20"/>
          <w:szCs w:val="20"/>
        </w:rPr>
        <w:t xml:space="preserve">Answered + edited:</w:t>
      </w:r>
      <w:r>
        <w:rPr>
          <w:rFonts w:ascii="Arial" w:cs="Arial" w:eastAsia="Arial" w:hAnsi="Arial"/>
          <w:sz w:val="20"/>
          <w:szCs w:val="20"/>
        </w:rPr>
        <w:t xml:space="preserve"> 12 questions answered, with a small text change where it settled the point.</w:t>
      </w:r>
    </w:p>
    <w:p>
      <w:pPr>
        <w:pStyle w:val="ListParagraph"/>
        <w:numPr>
          <w:ilvl w:val="0"/>
          <w:numId w:val="2"/>
        </w:numPr>
        <w:spacing w:after="60"/>
      </w:pPr>
      <w:r>
        <w:rPr>
          <w:rFonts w:ascii="Arial" w:cs="Arial" w:eastAsia="Arial" w:hAnsi="Arial"/>
          <w:b/>
          <w:bCs/>
          <w:sz w:val="20"/>
          <w:szCs w:val="20"/>
        </w:rPr>
        <w:t xml:space="preserve">No change:</w:t>
      </w:r>
      <w:r>
        <w:rPr>
          <w:rFonts w:ascii="Arial" w:cs="Arial" w:eastAsia="Arial" w:hAnsi="Arial"/>
          <w:sz w:val="20"/>
          <w:szCs w:val="20"/>
        </w:rPr>
        <w:t xml:space="preserve"> 3 answered or noted with no change needed.</w:t>
      </w:r>
    </w:p>
    <w:p>
      <w:pPr>
        <w:pStyle w:val="Heading2"/>
        <w:spacing w:after="120" w:before="200"/>
      </w:pPr>
      <w:r>
        <w:rPr>
          <w:rFonts w:ascii="Arial" w:cs="Arial" w:eastAsia="Arial" w:hAnsi="Arial"/>
        </w:rPr>
        <w:t xml:space="preserve">Points for your decision</w:t>
      </w:r>
    </w:p>
    <w:p>
      <w:pPr>
        <w:pStyle w:val="ListParagraph"/>
        <w:numPr>
          <w:ilvl w:val="0"/>
          <w:numId w:val="2"/>
        </w:numPr>
        <w:spacing w:after="60"/>
      </w:pPr>
      <w:r>
        <w:rPr>
          <w:rFonts w:ascii="Arial" w:cs="Arial" w:eastAsia="Arial" w:hAnsi="Arial"/>
          <w:b/>
          <w:bCs/>
          <w:sz w:val="20"/>
          <w:szCs w:val="20"/>
        </w:rPr>
        <w:t xml:space="preserve">Lower GAT Price.</w:t>
      </w:r>
      <w:r>
        <w:rPr>
          <w:rFonts w:ascii="Arial" w:cs="Arial" w:eastAsia="Arial" w:hAnsi="Arial"/>
          <w:sz w:val="20"/>
          <w:szCs w:val="20"/>
        </w:rPr>
        <w:t xml:space="preserve"> Removing transmission/interconnection cost (Sec. 9.3), the boil-off gas allowance (Sec. 17) and the land/site lease cost each lowers the GAT Price. These follow your comments but are policy changes, not drafting fixes.</w:t>
      </w:r>
    </w:p>
    <w:p>
      <w:pPr>
        <w:pStyle w:val="ListParagraph"/>
        <w:numPr>
          <w:ilvl w:val="0"/>
          <w:numId w:val="2"/>
        </w:numPr>
        <w:spacing w:after="60"/>
      </w:pPr>
      <w:r>
        <w:rPr>
          <w:rFonts w:ascii="Arial" w:cs="Arial" w:eastAsia="Arial" w:hAnsi="Arial"/>
          <w:b/>
          <w:bCs/>
          <w:sz w:val="20"/>
          <w:szCs w:val="20"/>
        </w:rPr>
        <w:t xml:space="preserve">Fuel contracts.</w:t>
      </w:r>
      <w:r>
        <w:rPr>
          <w:rFonts w:ascii="Arial" w:cs="Arial" w:eastAsia="Arial" w:hAnsi="Arial"/>
          <w:sz w:val="20"/>
          <w:szCs w:val="20"/>
        </w:rPr>
        <w:t xml:space="preserve"> Secs. 14.4 and 15.4 no longer require long-term gas or LNG contracts; Winning Bidders only submit their supply contracts for benchmarking. This goes a step further than the comment on 14.4.</w:t>
      </w:r>
    </w:p>
    <w:p>
      <w:pPr>
        <w:pStyle w:val="ListParagraph"/>
        <w:numPr>
          <w:ilvl w:val="0"/>
          <w:numId w:val="2"/>
        </w:numPr>
        <w:spacing w:after="60"/>
      </w:pPr>
      <w:r>
        <w:rPr>
          <w:rFonts w:ascii="Arial" w:cs="Arial" w:eastAsia="Arial" w:hAnsi="Arial"/>
          <w:b/>
          <w:bCs/>
          <w:sz w:val="20"/>
          <w:szCs w:val="20"/>
        </w:rPr>
        <w:t xml:space="preserve">Lot 1 extension (Sec. 11).</w:t>
      </w:r>
      <w:r>
        <w:rPr>
          <w:rFonts w:ascii="Arial" w:cs="Arial" w:eastAsia="Arial" w:hAnsi="Arial"/>
          <w:sz w:val="20"/>
          <w:szCs w:val="20"/>
        </w:rPr>
        <w:t xml:space="preserve"> The adjusted GAP must use the latest round’s standard Key Parameters (only the retrofit cost and remaining life change) and cannot exceed that round’s GAT Price for Existing Facilities.</w:t>
      </w:r>
    </w:p>
    <w:p>
      <w:pPr>
        <w:pStyle w:val="ListParagraph"/>
        <w:numPr>
          <w:ilvl w:val="0"/>
          <w:numId w:val="2"/>
        </w:numPr>
        <w:spacing w:after="60"/>
      </w:pPr>
      <w:r>
        <w:rPr>
          <w:rFonts w:ascii="Arial" w:cs="Arial" w:eastAsia="Arial" w:hAnsi="Arial"/>
          <w:b/>
          <w:bCs/>
          <w:sz w:val="20"/>
          <w:szCs w:val="20"/>
        </w:rPr>
        <w:t xml:space="preserve">Renumbering.</w:t>
      </w:r>
      <w:r>
        <w:rPr>
          <w:rFonts w:ascii="Arial" w:cs="Arial" w:eastAsia="Arial" w:hAnsi="Arial"/>
          <w:sz w:val="20"/>
          <w:szCs w:val="20"/>
        </w:rPr>
        <w:t xml:space="preserve"> Secs. 37 and 38 are deleted; Secs. 39–41 are renumbered 37–39.</w:t>
      </w:r>
    </w:p>
    <w:p>
      <w:pPr>
        <w:pStyle w:val="ListParagraph"/>
        <w:numPr>
          <w:ilvl w:val="0"/>
          <w:numId w:val="2"/>
        </w:numPr>
        <w:spacing w:after="60"/>
      </w:pPr>
      <w:r>
        <w:rPr>
          <w:rFonts w:ascii="Arial" w:cs="Arial" w:eastAsia="Arial" w:hAnsi="Arial"/>
          <w:b/>
          <w:bCs/>
          <w:sz w:val="20"/>
          <w:szCs w:val="20"/>
        </w:rPr>
        <w:t xml:space="preserve">Error fixed on the side.</w:t>
      </w:r>
      <w:r>
        <w:rPr>
          <w:rFonts w:ascii="Arial" w:cs="Arial" w:eastAsia="Arial" w:hAnsi="Arial"/>
          <w:sz w:val="20"/>
          <w:szCs w:val="20"/>
        </w:rPr>
        <w:t xml:space="preserve"> The cross-reference to "Section 33" in Sec. 11.4 pointed to the MO settlement approval condition and was deleted.</w:t>
      </w:r>
    </w:p>
    <w:p>
      <w:pPr>
        <w:pStyle w:val="Heading1"/>
        <w:spacing w:after="120" w:before="200"/>
      </w:pPr>
      <w:r>
        <w:rPr>
          <w:rFonts w:ascii="Arial" w:cs="Arial" w:eastAsia="Arial" w:hAnsi="Arial"/>
        </w:rPr>
        <w:t xml:space="preserve">Comment-by-comment action (in page order)</w:t>
      </w:r>
    </w:p>
    <w:p>
      <w:pPr>
        <w:spacing w:after="100"/>
      </w:pPr>
      <w:r>
        <w:rPr>
          <w:rFonts w:ascii="Arial" w:cs="Arial" w:eastAsia="Arial" w:hAnsi="Arial"/>
          <w:i/>
          <w:iCs/>
          <w:sz w:val="18"/>
          <w:szCs w:val="18"/>
        </w:rPr>
        <w:t xml:space="preserve">"Page" is the page of the draft where the comment sits, counted from the first page of the file (as shown in Word’s page counter), with the printed footer number in brackets. Page breaks can shift by about one page depending on the Word version, printer, and whether markup is shown. Comments by Sharon O. Montaner and Antonette M. Badillo are combined; Antonette’s two proposed fixes are not yet in the text, pending your confirmation, and her revised GESQ(total) wording in Sec. 30 is kept.</w:t>
      </w:r>
    </w:p>
    <w:tbl>
      <w:tblPr>
        <w:tblW w:type="dxa" w:w="13900"/>
        <w:tblBorders>
          <w:top w:val="single" w:color="auto" w:sz="4"/>
          <w:left w:val="single" w:color="auto" w:sz="4"/>
          <w:bottom w:val="single" w:color="auto" w:sz="4"/>
          <w:right w:val="single" w:color="auto" w:sz="4"/>
          <w:insideH w:val="single" w:color="auto" w:sz="4"/>
          <w:insideV w:val="single" w:color="auto" w:sz="4"/>
        </w:tblBorders>
      </w:tblPr>
      <w:tblGrid>
        <w:gridCol w:w="400"/>
        <w:gridCol w:w="1150"/>
        <w:gridCol w:w="950"/>
        <w:gridCol w:w="1450"/>
        <w:gridCol w:w="2700"/>
        <w:gridCol w:w="1250"/>
        <w:gridCol w:w="6000"/>
      </w:tblGrid>
      <w:tr>
        <w:trPr>
          <w:tblHeader/>
        </w:trPr>
        <w:tc>
          <w:tcPr>
            <w:tcW w:type="dxa" w:w="400"/>
            <w:tcBorders>
              <w:top w:val="single" w:color="A6A6A6" w:sz="4"/>
              <w:left w:val="single" w:color="A6A6A6" w:sz="4"/>
              <w:bottom w:val="single" w:color="A6A6A6" w:sz="4"/>
              <w:right w:val="single" w:color="A6A6A6" w:sz="4"/>
            </w:tcBorders>
            <w:shd w:fill="1F3864" w:color="auto" w:val="clear"/>
            <w:tcMar>
              <w:top w:type="dxa" w:w="60"/>
              <w:left w:type="dxa" w:w="90"/>
              <w:bottom w:type="dxa" w:w="60"/>
              <w:right w:type="dxa" w:w="90"/>
            </w:tcMar>
            <w:vAlign w:val="top"/>
          </w:tcPr>
          <w:p>
            <w:r>
              <w:rPr>
                <w:rFonts w:ascii="Arial" w:cs="Arial" w:eastAsia="Arial" w:hAnsi="Arial"/>
                <w:b/>
                <w:bCs/>
                <w:color w:val="FFFFFF"/>
                <w:sz w:val="17"/>
                <w:szCs w:val="17"/>
              </w:rPr>
              <w:t xml:space="preserve">#</w:t>
            </w:r>
          </w:p>
        </w:tc>
        <w:tc>
          <w:tcPr>
            <w:tcW w:type="dxa" w:w="1150"/>
            <w:tcBorders>
              <w:top w:val="single" w:color="A6A6A6" w:sz="4"/>
              <w:left w:val="single" w:color="A6A6A6" w:sz="4"/>
              <w:bottom w:val="single" w:color="A6A6A6" w:sz="4"/>
              <w:right w:val="single" w:color="A6A6A6" w:sz="4"/>
            </w:tcBorders>
            <w:shd w:fill="1F3864" w:color="auto" w:val="clear"/>
            <w:tcMar>
              <w:top w:type="dxa" w:w="60"/>
              <w:left w:type="dxa" w:w="90"/>
              <w:bottom w:type="dxa" w:w="60"/>
              <w:right w:type="dxa" w:w="90"/>
            </w:tcMar>
            <w:vAlign w:val="top"/>
          </w:tcPr>
          <w:p>
            <w:r>
              <w:rPr>
                <w:rFonts w:ascii="Arial" w:cs="Arial" w:eastAsia="Arial" w:hAnsi="Arial"/>
                <w:b/>
                <w:bCs/>
                <w:color w:val="FFFFFF"/>
                <w:sz w:val="17"/>
                <w:szCs w:val="17"/>
              </w:rPr>
              <w:t xml:space="preserve">Comment by</w:t>
            </w:r>
          </w:p>
        </w:tc>
        <w:tc>
          <w:tcPr>
            <w:tcW w:type="dxa" w:w="950"/>
            <w:tcBorders>
              <w:top w:val="single" w:color="A6A6A6" w:sz="4"/>
              <w:left w:val="single" w:color="A6A6A6" w:sz="4"/>
              <w:bottom w:val="single" w:color="A6A6A6" w:sz="4"/>
              <w:right w:val="single" w:color="A6A6A6" w:sz="4"/>
            </w:tcBorders>
            <w:shd w:fill="1F3864" w:color="auto" w:val="clear"/>
            <w:tcMar>
              <w:top w:type="dxa" w:w="60"/>
              <w:left w:type="dxa" w:w="90"/>
              <w:bottom w:type="dxa" w:w="60"/>
              <w:right w:type="dxa" w:w="90"/>
            </w:tcMar>
            <w:vAlign w:val="top"/>
          </w:tcPr>
          <w:p>
            <w:r>
              <w:rPr>
                <w:rFonts w:ascii="Arial" w:cs="Arial" w:eastAsia="Arial" w:hAnsi="Arial"/>
                <w:b/>
                <w:bCs/>
                <w:color w:val="FFFFFF"/>
                <w:sz w:val="17"/>
                <w:szCs w:val="17"/>
              </w:rPr>
              <w:t xml:space="preserve">Page</w:t>
            </w:r>
          </w:p>
        </w:tc>
        <w:tc>
          <w:tcPr>
            <w:tcW w:type="dxa" w:w="1450"/>
            <w:tcBorders>
              <w:top w:val="single" w:color="A6A6A6" w:sz="4"/>
              <w:left w:val="single" w:color="A6A6A6" w:sz="4"/>
              <w:bottom w:val="single" w:color="A6A6A6" w:sz="4"/>
              <w:right w:val="single" w:color="A6A6A6" w:sz="4"/>
            </w:tcBorders>
            <w:shd w:fill="1F3864" w:color="auto" w:val="clear"/>
            <w:tcMar>
              <w:top w:type="dxa" w:w="60"/>
              <w:left w:type="dxa" w:w="90"/>
              <w:bottom w:type="dxa" w:w="60"/>
              <w:right w:type="dxa" w:w="90"/>
            </w:tcMar>
            <w:vAlign w:val="top"/>
          </w:tcPr>
          <w:p>
            <w:r>
              <w:rPr>
                <w:rFonts w:ascii="Arial" w:cs="Arial" w:eastAsia="Arial" w:hAnsi="Arial"/>
                <w:b/>
                <w:bCs/>
                <w:color w:val="FFFFFF"/>
                <w:sz w:val="17"/>
                <w:szCs w:val="17"/>
              </w:rPr>
              <w:t xml:space="preserve">Provision</w:t>
            </w:r>
          </w:p>
        </w:tc>
        <w:tc>
          <w:tcPr>
            <w:tcW w:type="dxa" w:w="2700"/>
            <w:tcBorders>
              <w:top w:val="single" w:color="A6A6A6" w:sz="4"/>
              <w:left w:val="single" w:color="A6A6A6" w:sz="4"/>
              <w:bottom w:val="single" w:color="A6A6A6" w:sz="4"/>
              <w:right w:val="single" w:color="A6A6A6" w:sz="4"/>
            </w:tcBorders>
            <w:shd w:fill="1F3864" w:color="auto" w:val="clear"/>
            <w:tcMar>
              <w:top w:type="dxa" w:w="60"/>
              <w:left w:type="dxa" w:w="90"/>
              <w:bottom w:type="dxa" w:w="60"/>
              <w:right w:type="dxa" w:w="90"/>
            </w:tcMar>
            <w:vAlign w:val="top"/>
          </w:tcPr>
          <w:p>
            <w:r>
              <w:rPr>
                <w:rFonts w:ascii="Arial" w:cs="Arial" w:eastAsia="Arial" w:hAnsi="Arial"/>
                <w:b/>
                <w:bCs/>
                <w:color w:val="FFFFFF"/>
                <w:sz w:val="17"/>
                <w:szCs w:val="17"/>
              </w:rPr>
              <w:t xml:space="preserve">Comment</w:t>
            </w:r>
          </w:p>
        </w:tc>
        <w:tc>
          <w:tcPr>
            <w:tcW w:type="dxa" w:w="1250"/>
            <w:tcBorders>
              <w:top w:val="single" w:color="A6A6A6" w:sz="4"/>
              <w:left w:val="single" w:color="A6A6A6" w:sz="4"/>
              <w:bottom w:val="single" w:color="A6A6A6" w:sz="4"/>
              <w:right w:val="single" w:color="A6A6A6" w:sz="4"/>
            </w:tcBorders>
            <w:shd w:fill="1F3864" w:color="auto" w:val="clear"/>
            <w:tcMar>
              <w:top w:type="dxa" w:w="60"/>
              <w:left w:type="dxa" w:w="90"/>
              <w:bottom w:type="dxa" w:w="60"/>
              <w:right w:type="dxa" w:w="90"/>
            </w:tcMar>
            <w:vAlign w:val="top"/>
          </w:tcPr>
          <w:p>
            <w:r>
              <w:rPr>
                <w:rFonts w:ascii="Arial" w:cs="Arial" w:eastAsia="Arial" w:hAnsi="Arial"/>
                <w:b/>
                <w:bCs/>
                <w:color w:val="FFFFFF"/>
                <w:sz w:val="17"/>
                <w:szCs w:val="17"/>
              </w:rPr>
              <w:t xml:space="preserve">Action</w:t>
            </w:r>
          </w:p>
        </w:tc>
        <w:tc>
          <w:tcPr>
            <w:tcW w:type="dxa" w:w="6000"/>
            <w:tcBorders>
              <w:top w:val="single" w:color="A6A6A6" w:sz="4"/>
              <w:left w:val="single" w:color="A6A6A6" w:sz="4"/>
              <w:bottom w:val="single" w:color="A6A6A6" w:sz="4"/>
              <w:right w:val="single" w:color="A6A6A6" w:sz="4"/>
            </w:tcBorders>
            <w:shd w:fill="1F3864" w:color="auto" w:val="clear"/>
            <w:tcMar>
              <w:top w:type="dxa" w:w="60"/>
              <w:left w:type="dxa" w:w="90"/>
              <w:bottom w:type="dxa" w:w="60"/>
              <w:right w:type="dxa" w:w="90"/>
            </w:tcMar>
            <w:vAlign w:val="top"/>
          </w:tcPr>
          <w:p>
            <w:r>
              <w:rPr>
                <w:rFonts w:ascii="Arial" w:cs="Arial" w:eastAsia="Arial" w:hAnsi="Arial"/>
                <w:b/>
                <w:bCs/>
                <w:color w:val="FFFFFF"/>
                <w:sz w:val="17"/>
                <w:szCs w:val="17"/>
              </w:rPr>
              <w:t xml:space="preserve">What was done (reply posted under Franz)</w:t>
            </w:r>
          </w:p>
        </w:tc>
      </w:tr>
      <w:tr>
        <w:trPr>
          <w:cantSplit/>
        </w:trPr>
        <w:tc>
          <w:tcPr>
            <w:tcW w:type="dxa" w:w="400"/>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r>
              <w:rPr>
                <w:rFonts w:ascii="Arial" w:cs="Arial" w:eastAsia="Arial" w:hAnsi="Arial"/>
                <w:sz w:val="17"/>
                <w:szCs w:val="17"/>
              </w:rPr>
              <w:t xml:space="preserve">1</w:t>
            </w:r>
          </w:p>
        </w:tc>
        <w:tc>
          <w:tcPr>
            <w:tcW w:type="dxa" w:w="1150"/>
            <w:tcBorders>
              <w:top w:val="single" w:color="A6A6A6" w:sz="4"/>
              <w:left w:val="single" w:color="A6A6A6" w:sz="4"/>
              <w:bottom w:val="single" w:color="A6A6A6" w:sz="4"/>
              <w:right w:val="single" w:color="A6A6A6" w:sz="4"/>
            </w:tcBorders>
            <w:shd w:fill="FCE4D6" w:color="auto" w:val="clear"/>
            <w:tcMar>
              <w:top w:type="dxa" w:w="60"/>
              <w:left w:type="dxa" w:w="90"/>
              <w:bottom w:type="dxa" w:w="60"/>
              <w:right w:type="dxa" w:w="90"/>
            </w:tcMar>
            <w:vAlign w:val="top"/>
          </w:tcPr>
          <w:p>
            <w:r>
              <w:rPr>
                <w:rFonts w:ascii="Arial" w:cs="Arial" w:eastAsia="Arial" w:hAnsi="Arial"/>
                <w:b/>
                <w:bCs/>
                <w:sz w:val="17"/>
                <w:szCs w:val="17"/>
              </w:rPr>
              <w:t xml:space="preserve">Sharon</w:t>
            </w:r>
          </w:p>
        </w:tc>
        <w:tc>
          <w:tcPr>
            <w:tcW w:type="dxa" w:w="950"/>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r>
              <w:rPr>
                <w:rFonts w:ascii="Arial" w:cs="Arial" w:eastAsia="Arial" w:hAnsi="Arial"/>
                <w:sz w:val="17"/>
                <w:szCs w:val="17"/>
              </w:rPr>
              <w:t xml:space="preserve">p. 19</w:t>
            </w:r>
          </w:p>
          <w:p>
            <w:r>
              <w:rPr>
                <w:rFonts w:ascii="Arial" w:cs="Arial" w:eastAsia="Arial" w:hAnsi="Arial"/>
                <w:sz w:val="17"/>
                <w:szCs w:val="17"/>
              </w:rPr>
              <w:t xml:space="preserve">(footer: Page 15)</w:t>
            </w:r>
          </w:p>
        </w:tc>
        <w:tc>
          <w:tcPr>
            <w:tcW w:type="dxa" w:w="1450"/>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r>
              <w:rPr>
                <w:rFonts w:ascii="Arial" w:cs="Arial" w:eastAsia="Arial" w:hAnsi="Arial"/>
                <w:b/>
                <w:bCs/>
                <w:sz w:val="17"/>
                <w:szCs w:val="17"/>
              </w:rPr>
              <w:t xml:space="preserve">Sec. 5 / Sec. 8.6</w:t>
            </w:r>
          </w:p>
        </w:tc>
        <w:tc>
          <w:tcPr>
            <w:tcW w:type="dxa" w:w="2700"/>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r>
              <w:rPr>
                <w:rFonts w:ascii="Arial" w:cs="Arial" w:eastAsia="Arial" w:hAnsi="Arial"/>
                <w:sz w:val="17"/>
                <w:szCs w:val="17"/>
              </w:rPr>
              <w:t xml:space="preserve">ISSUE ON CLLC</w:t>
            </w:r>
          </w:p>
        </w:tc>
        <w:tc>
          <w:tcPr>
            <w:tcW w:type="dxa" w:w="1250"/>
            <w:tcBorders>
              <w:top w:val="single" w:color="A6A6A6" w:sz="4"/>
              <w:left w:val="single" w:color="A6A6A6" w:sz="4"/>
              <w:bottom w:val="single" w:color="A6A6A6" w:sz="4"/>
              <w:right w:val="single" w:color="A6A6A6" w:sz="4"/>
            </w:tcBorders>
            <w:shd w:fill="E2EFDA" w:color="auto" w:val="clear"/>
            <w:tcMar>
              <w:top w:type="dxa" w:w="60"/>
              <w:left w:type="dxa" w:w="90"/>
              <w:bottom w:type="dxa" w:w="60"/>
              <w:right w:type="dxa" w:w="90"/>
            </w:tcMar>
            <w:vAlign w:val="top"/>
          </w:tcPr>
          <w:p>
            <w:r>
              <w:rPr>
                <w:rFonts w:ascii="Arial" w:cs="Arial" w:eastAsia="Arial" w:hAnsi="Arial"/>
                <w:b/>
                <w:bCs/>
                <w:sz w:val="17"/>
                <w:szCs w:val="17"/>
              </w:rPr>
              <w:t xml:space="preserve">Implemented</w:t>
            </w:r>
          </w:p>
        </w:tc>
        <w:tc>
          <w:tcPr>
            <w:tcW w:type="dxa" w:w="6000"/>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r>
              <w:rPr>
                <w:rFonts w:ascii="Arial" w:cs="Arial" w:eastAsia="Arial" w:hAnsi="Arial"/>
                <w:sz w:val="17"/>
                <w:szCs w:val="17"/>
              </w:rPr>
              <w:t xml:space="preserve">Implemented. You are right: the Capped Landed Logistics Cost (CLLC) is embedded in the GAT Price (Sec. 8.6), so the non-fuel Price Offers carry different logistics costs depending on whether the plant uses indigenous gas, blended gas, or imported LNG. Two changes: (1) Sec. 5 now states that Price Offers include the CLLC but exclude the gas commodity cost, and are ranked within each declared Fuel Source Category. This is how the DOE ranks bids under TOR Sec. 10.2.1 (Indigenous first, then Blended, then Non-Indigenous), so an indigenous-gas bid never competes on price against an LNG bid. (2) Sec. 8.6 now allows the Commission to set the CLLC, and therefore the GAT Price, separately per Fuel Source Category where the logistics profiles differ materially (e.g., indigenous gas has no regasification or LNG storage cost).</w:t>
            </w:r>
          </w:p>
        </w:tc>
      </w:tr>
      <w:tr>
        <w:trPr>
          <w:cantSplit/>
        </w:trPr>
        <w:tc>
          <w:tcPr>
            <w:tcW w:type="dxa" w:w="400"/>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r>
              <w:rPr>
                <w:rFonts w:ascii="Arial" w:cs="Arial" w:eastAsia="Arial" w:hAnsi="Arial"/>
                <w:sz w:val="17"/>
                <w:szCs w:val="17"/>
              </w:rPr>
              <w:t xml:space="preserve">2</w:t>
            </w:r>
          </w:p>
        </w:tc>
        <w:tc>
          <w:tcPr>
            <w:tcW w:type="dxa" w:w="1150"/>
            <w:tcBorders>
              <w:top w:val="single" w:color="A6A6A6" w:sz="4"/>
              <w:left w:val="single" w:color="A6A6A6" w:sz="4"/>
              <w:bottom w:val="single" w:color="A6A6A6" w:sz="4"/>
              <w:right w:val="single" w:color="A6A6A6" w:sz="4"/>
            </w:tcBorders>
            <w:shd w:fill="FCE4D6" w:color="auto" w:val="clear"/>
            <w:tcMar>
              <w:top w:type="dxa" w:w="60"/>
              <w:left w:type="dxa" w:w="90"/>
              <w:bottom w:type="dxa" w:w="60"/>
              <w:right w:type="dxa" w:w="90"/>
            </w:tcMar>
            <w:vAlign w:val="top"/>
          </w:tcPr>
          <w:p>
            <w:r>
              <w:rPr>
                <w:rFonts w:ascii="Arial" w:cs="Arial" w:eastAsia="Arial" w:hAnsi="Arial"/>
                <w:b/>
                <w:bCs/>
                <w:sz w:val="17"/>
                <w:szCs w:val="17"/>
              </w:rPr>
              <w:t xml:space="preserve">Sharon</w:t>
            </w:r>
          </w:p>
        </w:tc>
        <w:tc>
          <w:tcPr>
            <w:tcW w:type="dxa" w:w="950"/>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r>
              <w:rPr>
                <w:rFonts w:ascii="Arial" w:cs="Arial" w:eastAsia="Arial" w:hAnsi="Arial"/>
                <w:sz w:val="17"/>
                <w:szCs w:val="17"/>
              </w:rPr>
              <w:t xml:space="preserve">p. 20</w:t>
            </w:r>
          </w:p>
          <w:p>
            <w:r>
              <w:rPr>
                <w:rFonts w:ascii="Arial" w:cs="Arial" w:eastAsia="Arial" w:hAnsi="Arial"/>
                <w:sz w:val="17"/>
                <w:szCs w:val="17"/>
              </w:rPr>
              <w:t xml:space="preserve">(footer: Page 16)</w:t>
            </w:r>
          </w:p>
        </w:tc>
        <w:tc>
          <w:tcPr>
            <w:tcW w:type="dxa" w:w="1450"/>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r>
              <w:rPr>
                <w:rFonts w:ascii="Arial" w:cs="Arial" w:eastAsia="Arial" w:hAnsi="Arial"/>
                <w:b/>
                <w:bCs/>
                <w:sz w:val="17"/>
                <w:szCs w:val="17"/>
              </w:rPr>
              <w:t xml:space="preserve">Sec. 6 (unified GAT Price)</w:t>
            </w:r>
          </w:p>
        </w:tc>
        <w:tc>
          <w:tcPr>
            <w:tcW w:type="dxa" w:w="2700"/>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r>
              <w:rPr>
                <w:rFonts w:ascii="Arial" w:cs="Arial" w:eastAsia="Arial" w:hAnsi="Arial"/>
                <w:sz w:val="17"/>
                <w:szCs w:val="17"/>
              </w:rPr>
              <w:t xml:space="preserve">This can be deleted.</w:t>
            </w:r>
          </w:p>
        </w:tc>
        <w:tc>
          <w:tcPr>
            <w:tcW w:type="dxa" w:w="1250"/>
            <w:tcBorders>
              <w:top w:val="single" w:color="A6A6A6" w:sz="4"/>
              <w:left w:val="single" w:color="A6A6A6" w:sz="4"/>
              <w:bottom w:val="single" w:color="A6A6A6" w:sz="4"/>
              <w:right w:val="single" w:color="A6A6A6" w:sz="4"/>
            </w:tcBorders>
            <w:shd w:fill="E2EFDA" w:color="auto" w:val="clear"/>
            <w:tcMar>
              <w:top w:type="dxa" w:w="60"/>
              <w:left w:type="dxa" w:w="90"/>
              <w:bottom w:type="dxa" w:w="60"/>
              <w:right w:type="dxa" w:w="90"/>
            </w:tcMar>
            <w:vAlign w:val="top"/>
          </w:tcPr>
          <w:p>
            <w:r>
              <w:rPr>
                <w:rFonts w:ascii="Arial" w:cs="Arial" w:eastAsia="Arial" w:hAnsi="Arial"/>
                <w:b/>
                <w:bCs/>
                <w:sz w:val="17"/>
                <w:szCs w:val="17"/>
              </w:rPr>
              <w:t xml:space="preserve">Implemented</w:t>
            </w:r>
          </w:p>
        </w:tc>
        <w:tc>
          <w:tcPr>
            <w:tcW w:type="dxa" w:w="6000"/>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r>
              <w:rPr>
                <w:rFonts w:ascii="Arial" w:cs="Arial" w:eastAsia="Arial" w:hAnsi="Arial"/>
                <w:sz w:val="17"/>
                <w:szCs w:val="17"/>
              </w:rPr>
              <w:t xml:space="preserve">Implemented. The sentence requiring documented technology- and fuel-specific cost data for a unified GAT Price is deleted.</w:t>
            </w:r>
          </w:p>
        </w:tc>
      </w:tr>
      <w:tr>
        <w:trPr>
          <w:cantSplit/>
        </w:trPr>
        <w:tc>
          <w:tcPr>
            <w:tcW w:type="dxa" w:w="400"/>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r>
              <w:rPr>
                <w:rFonts w:ascii="Arial" w:cs="Arial" w:eastAsia="Arial" w:hAnsi="Arial"/>
                <w:sz w:val="17"/>
                <w:szCs w:val="17"/>
              </w:rPr>
              <w:t xml:space="preserve">3</w:t>
            </w:r>
          </w:p>
        </w:tc>
        <w:tc>
          <w:tcPr>
            <w:tcW w:type="dxa" w:w="1150"/>
            <w:tcBorders>
              <w:top w:val="single" w:color="A6A6A6" w:sz="4"/>
              <w:left w:val="single" w:color="A6A6A6" w:sz="4"/>
              <w:bottom w:val="single" w:color="A6A6A6" w:sz="4"/>
              <w:right w:val="single" w:color="A6A6A6" w:sz="4"/>
            </w:tcBorders>
            <w:shd w:fill="FCE4D6" w:color="auto" w:val="clear"/>
            <w:tcMar>
              <w:top w:type="dxa" w:w="60"/>
              <w:left w:type="dxa" w:w="90"/>
              <w:bottom w:type="dxa" w:w="60"/>
              <w:right w:type="dxa" w:w="90"/>
            </w:tcMar>
            <w:vAlign w:val="top"/>
          </w:tcPr>
          <w:p>
            <w:r>
              <w:rPr>
                <w:rFonts w:ascii="Arial" w:cs="Arial" w:eastAsia="Arial" w:hAnsi="Arial"/>
                <w:b/>
                <w:bCs/>
                <w:sz w:val="17"/>
                <w:szCs w:val="17"/>
              </w:rPr>
              <w:t xml:space="preserve">Sharon</w:t>
            </w:r>
          </w:p>
        </w:tc>
        <w:tc>
          <w:tcPr>
            <w:tcW w:type="dxa" w:w="950"/>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r>
              <w:rPr>
                <w:rFonts w:ascii="Arial" w:cs="Arial" w:eastAsia="Arial" w:hAnsi="Arial"/>
                <w:sz w:val="17"/>
                <w:szCs w:val="17"/>
              </w:rPr>
              <w:t xml:space="preserve">p. 20</w:t>
            </w:r>
          </w:p>
          <w:p>
            <w:r>
              <w:rPr>
                <w:rFonts w:ascii="Arial" w:cs="Arial" w:eastAsia="Arial" w:hAnsi="Arial"/>
                <w:sz w:val="17"/>
                <w:szCs w:val="17"/>
              </w:rPr>
              <w:t xml:space="preserve">(footer: Page 16)</w:t>
            </w:r>
          </w:p>
        </w:tc>
        <w:tc>
          <w:tcPr>
            <w:tcW w:type="dxa" w:w="1450"/>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r>
              <w:rPr>
                <w:rFonts w:ascii="Arial" w:cs="Arial" w:eastAsia="Arial" w:hAnsi="Arial"/>
                <w:b/>
                <w:bCs/>
                <w:sz w:val="17"/>
                <w:szCs w:val="17"/>
              </w:rPr>
              <w:t xml:space="preserve">Sec. 6 (Lots)</w:t>
            </w:r>
          </w:p>
        </w:tc>
        <w:tc>
          <w:tcPr>
            <w:tcW w:type="dxa" w:w="2700"/>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r>
              <w:rPr>
                <w:rFonts w:ascii="Arial" w:cs="Arial" w:eastAsia="Arial" w:hAnsi="Arial"/>
                <w:sz w:val="17"/>
                <w:szCs w:val="17"/>
              </w:rPr>
              <w:t xml:space="preserve">Placeholder in case there is a need to differentiate by Lots.</w:t>
            </w:r>
          </w:p>
        </w:tc>
        <w:tc>
          <w:tcPr>
            <w:tcW w:type="dxa" w:w="1250"/>
            <w:tcBorders>
              <w:top w:val="single" w:color="A6A6A6" w:sz="4"/>
              <w:left w:val="single" w:color="A6A6A6" w:sz="4"/>
              <w:bottom w:val="single" w:color="A6A6A6" w:sz="4"/>
              <w:right w:val="single" w:color="A6A6A6" w:sz="4"/>
            </w:tcBorders>
            <w:shd w:fill="DDEBF7" w:color="auto" w:val="clear"/>
            <w:tcMar>
              <w:top w:type="dxa" w:w="60"/>
              <w:left w:type="dxa" w:w="90"/>
              <w:bottom w:type="dxa" w:w="60"/>
              <w:right w:type="dxa" w:w="90"/>
            </w:tcMar>
            <w:vAlign w:val="top"/>
          </w:tcPr>
          <w:p>
            <w:r>
              <w:rPr>
                <w:rFonts w:ascii="Arial" w:cs="Arial" w:eastAsia="Arial" w:hAnsi="Arial"/>
                <w:b/>
                <w:bCs/>
                <w:sz w:val="17"/>
                <w:szCs w:val="17"/>
              </w:rPr>
              <w:t xml:space="preserve">Answered + edited</w:t>
            </w:r>
          </w:p>
        </w:tc>
        <w:tc>
          <w:tcPr>
            <w:tcW w:type="dxa" w:w="6000"/>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r>
              <w:rPr>
                <w:rFonts w:ascii="Arial" w:cs="Arial" w:eastAsia="Arial" w:hAnsi="Arial"/>
                <w:sz w:val="17"/>
                <w:szCs w:val="17"/>
              </w:rPr>
              <w:t xml:space="preserve">Noted, thank you. Kept. I also aligned the last sentence of the paragraph with it: the Commission now issues a separate GAT Price for Existing and New-Build capacity, or for each Lot, where the TOR so differentiates.</w:t>
            </w:r>
          </w:p>
        </w:tc>
      </w:tr>
      <w:tr>
        <w:trPr>
          <w:cantSplit/>
        </w:trPr>
        <w:tc>
          <w:tcPr>
            <w:tcW w:type="dxa" w:w="400"/>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r>
              <w:rPr>
                <w:rFonts w:ascii="Arial" w:cs="Arial" w:eastAsia="Arial" w:hAnsi="Arial"/>
                <w:sz w:val="17"/>
                <w:szCs w:val="17"/>
              </w:rPr>
              <w:t xml:space="preserve">4</w:t>
            </w:r>
          </w:p>
        </w:tc>
        <w:tc>
          <w:tcPr>
            <w:tcW w:type="dxa" w:w="1150"/>
            <w:tcBorders>
              <w:top w:val="single" w:color="A6A6A6" w:sz="4"/>
              <w:left w:val="single" w:color="A6A6A6" w:sz="4"/>
              <w:bottom w:val="single" w:color="A6A6A6" w:sz="4"/>
              <w:right w:val="single" w:color="A6A6A6" w:sz="4"/>
            </w:tcBorders>
            <w:shd w:fill="FCE4D6" w:color="auto" w:val="clear"/>
            <w:tcMar>
              <w:top w:type="dxa" w:w="60"/>
              <w:left w:type="dxa" w:w="90"/>
              <w:bottom w:type="dxa" w:w="60"/>
              <w:right w:type="dxa" w:w="90"/>
            </w:tcMar>
            <w:vAlign w:val="top"/>
          </w:tcPr>
          <w:p>
            <w:r>
              <w:rPr>
                <w:rFonts w:ascii="Arial" w:cs="Arial" w:eastAsia="Arial" w:hAnsi="Arial"/>
                <w:b/>
                <w:bCs/>
                <w:sz w:val="17"/>
                <w:szCs w:val="17"/>
              </w:rPr>
              <w:t xml:space="preserve">Sharon</w:t>
            </w:r>
          </w:p>
        </w:tc>
        <w:tc>
          <w:tcPr>
            <w:tcW w:type="dxa" w:w="950"/>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r>
              <w:rPr>
                <w:rFonts w:ascii="Arial" w:cs="Arial" w:eastAsia="Arial" w:hAnsi="Arial"/>
                <w:sz w:val="17"/>
                <w:szCs w:val="17"/>
              </w:rPr>
              <w:t xml:space="preserve">p. 20</w:t>
            </w:r>
          </w:p>
          <w:p>
            <w:r>
              <w:rPr>
                <w:rFonts w:ascii="Arial" w:cs="Arial" w:eastAsia="Arial" w:hAnsi="Arial"/>
                <w:sz w:val="17"/>
                <w:szCs w:val="17"/>
              </w:rPr>
              <w:t xml:space="preserve">(footer: Page 16)</w:t>
            </w:r>
          </w:p>
        </w:tc>
        <w:tc>
          <w:tcPr>
            <w:tcW w:type="dxa" w:w="1450"/>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r>
              <w:rPr>
                <w:rFonts w:ascii="Arial" w:cs="Arial" w:eastAsia="Arial" w:hAnsi="Arial"/>
                <w:b/>
                <w:bCs/>
                <w:sz w:val="17"/>
                <w:szCs w:val="17"/>
              </w:rPr>
              <w:t xml:space="preserve">Sec. 6.5</w:t>
            </w:r>
          </w:p>
        </w:tc>
        <w:tc>
          <w:tcPr>
            <w:tcW w:type="dxa" w:w="2700"/>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r>
              <w:rPr>
                <w:rFonts w:ascii="Arial" w:cs="Arial" w:eastAsia="Arial" w:hAnsi="Arial"/>
                <w:sz w:val="17"/>
                <w:szCs w:val="17"/>
              </w:rPr>
              <w:t xml:space="preserve">I think no need to be very specific in the Rules on the flexibility requirements as we do this per auction round based on the TOR, as already mentioned in the previous paragraph. Again, the issue in defining the capacity factor will entail higher rate recovery due to additional cost.</w:t>
            </w:r>
          </w:p>
        </w:tc>
        <w:tc>
          <w:tcPr>
            <w:tcW w:type="dxa" w:w="1250"/>
            <w:tcBorders>
              <w:top w:val="single" w:color="A6A6A6" w:sz="4"/>
              <w:left w:val="single" w:color="A6A6A6" w:sz="4"/>
              <w:bottom w:val="single" w:color="A6A6A6" w:sz="4"/>
              <w:right w:val="single" w:color="A6A6A6" w:sz="4"/>
            </w:tcBorders>
            <w:shd w:fill="E2EFDA" w:color="auto" w:val="clear"/>
            <w:tcMar>
              <w:top w:type="dxa" w:w="60"/>
              <w:left w:type="dxa" w:w="90"/>
              <w:bottom w:type="dxa" w:w="60"/>
              <w:right w:type="dxa" w:w="90"/>
            </w:tcMar>
            <w:vAlign w:val="top"/>
          </w:tcPr>
          <w:p>
            <w:r>
              <w:rPr>
                <w:rFonts w:ascii="Arial" w:cs="Arial" w:eastAsia="Arial" w:hAnsi="Arial"/>
                <w:b/>
                <w:bCs/>
                <w:sz w:val="17"/>
                <w:szCs w:val="17"/>
              </w:rPr>
              <w:t xml:space="preserve">Implemented</w:t>
            </w:r>
          </w:p>
        </w:tc>
        <w:tc>
          <w:tcPr>
            <w:tcW w:type="dxa" w:w="6000"/>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r>
              <w:rPr>
                <w:rFonts w:ascii="Arial" w:cs="Arial" w:eastAsia="Arial" w:hAnsi="Arial"/>
                <w:sz w:val="17"/>
                <w:szCs w:val="17"/>
              </w:rPr>
              <w:t xml:space="preserve">Implemented. Sec. 6.5 is now one sentence: the reference project shall be consistent with the minimum flexibility requirements in the TOR for the Auction Round. Removed: (1) the list of technical parameters, which are already in TOR Sec. 2.6 and may change per round; (2) the instruction that the All-In Project Cost and O&amp;M parameters 'shall reflect the cost of meeting those requirements', which, as you noted, would push the GAT Price up; and (3) the sentence on legacy plants under ERC Res. No. 27, s. 2026.</w:t>
            </w:r>
          </w:p>
        </w:tc>
      </w:tr>
      <w:tr>
        <w:trPr>
          <w:cantSplit/>
        </w:trPr>
        <w:tc>
          <w:tcPr>
            <w:tcW w:type="dxa" w:w="400"/>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r>
              <w:rPr>
                <w:rFonts w:ascii="Arial" w:cs="Arial" w:eastAsia="Arial" w:hAnsi="Arial"/>
                <w:sz w:val="17"/>
                <w:szCs w:val="17"/>
              </w:rPr>
              <w:t xml:space="preserve">5</w:t>
            </w:r>
          </w:p>
        </w:tc>
        <w:tc>
          <w:tcPr>
            <w:tcW w:type="dxa" w:w="1150"/>
            <w:tcBorders>
              <w:top w:val="single" w:color="A6A6A6" w:sz="4"/>
              <w:left w:val="single" w:color="A6A6A6" w:sz="4"/>
              <w:bottom w:val="single" w:color="A6A6A6" w:sz="4"/>
              <w:right w:val="single" w:color="A6A6A6" w:sz="4"/>
            </w:tcBorders>
            <w:shd w:fill="FCE4D6" w:color="auto" w:val="clear"/>
            <w:tcMar>
              <w:top w:type="dxa" w:w="60"/>
              <w:left w:type="dxa" w:w="90"/>
              <w:bottom w:type="dxa" w:w="60"/>
              <w:right w:type="dxa" w:w="90"/>
            </w:tcMar>
            <w:vAlign w:val="top"/>
          </w:tcPr>
          <w:p>
            <w:r>
              <w:rPr>
                <w:rFonts w:ascii="Arial" w:cs="Arial" w:eastAsia="Arial" w:hAnsi="Arial"/>
                <w:b/>
                <w:bCs/>
                <w:sz w:val="17"/>
                <w:szCs w:val="17"/>
              </w:rPr>
              <w:t xml:space="preserve">Sharon</w:t>
            </w:r>
          </w:p>
        </w:tc>
        <w:tc>
          <w:tcPr>
            <w:tcW w:type="dxa" w:w="950"/>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r>
              <w:rPr>
                <w:rFonts w:ascii="Arial" w:cs="Arial" w:eastAsia="Arial" w:hAnsi="Arial"/>
                <w:sz w:val="17"/>
                <w:szCs w:val="17"/>
              </w:rPr>
              <w:t xml:space="preserve">p. 21</w:t>
            </w:r>
          </w:p>
          <w:p>
            <w:r>
              <w:rPr>
                <w:rFonts w:ascii="Arial" w:cs="Arial" w:eastAsia="Arial" w:hAnsi="Arial"/>
                <w:sz w:val="17"/>
                <w:szCs w:val="17"/>
              </w:rPr>
              <w:t xml:space="preserve">(footer: Page 17)</w:t>
            </w:r>
          </w:p>
        </w:tc>
        <w:tc>
          <w:tcPr>
            <w:tcW w:type="dxa" w:w="1450"/>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r>
              <w:rPr>
                <w:rFonts w:ascii="Arial" w:cs="Arial" w:eastAsia="Arial" w:hAnsi="Arial"/>
                <w:b/>
                <w:bCs/>
                <w:sz w:val="17"/>
                <w:szCs w:val="17"/>
              </w:rPr>
              <w:t xml:space="preserve">Sec. 7.1(a)</w:t>
            </w:r>
          </w:p>
        </w:tc>
        <w:tc>
          <w:tcPr>
            <w:tcW w:type="dxa" w:w="2700"/>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r>
              <w:rPr>
                <w:rFonts w:ascii="Arial" w:cs="Arial" w:eastAsia="Arial" w:hAnsi="Arial"/>
                <w:sz w:val="17"/>
                <w:szCs w:val="17"/>
              </w:rPr>
              <w:t xml:space="preserve">Can we remove already this PDM? The methodology is already detailed in these Rules. The next issuance will already be the GAT Price.</w:t>
            </w:r>
          </w:p>
        </w:tc>
        <w:tc>
          <w:tcPr>
            <w:tcW w:type="dxa" w:w="1250"/>
            <w:tcBorders>
              <w:top w:val="single" w:color="A6A6A6" w:sz="4"/>
              <w:left w:val="single" w:color="A6A6A6" w:sz="4"/>
              <w:bottom w:val="single" w:color="A6A6A6" w:sz="4"/>
              <w:right w:val="single" w:color="A6A6A6" w:sz="4"/>
            </w:tcBorders>
            <w:shd w:fill="E2EFDA" w:color="auto" w:val="clear"/>
            <w:tcMar>
              <w:top w:type="dxa" w:w="60"/>
              <w:left w:type="dxa" w:w="90"/>
              <w:bottom w:type="dxa" w:w="60"/>
              <w:right w:type="dxa" w:w="90"/>
            </w:tcMar>
            <w:vAlign w:val="top"/>
          </w:tcPr>
          <w:p>
            <w:r>
              <w:rPr>
                <w:rFonts w:ascii="Arial" w:cs="Arial" w:eastAsia="Arial" w:hAnsi="Arial"/>
                <w:b/>
                <w:bCs/>
                <w:sz w:val="17"/>
                <w:szCs w:val="17"/>
              </w:rPr>
              <w:t xml:space="preserve">Implemented</w:t>
            </w:r>
          </w:p>
        </w:tc>
        <w:tc>
          <w:tcPr>
            <w:tcW w:type="dxa" w:w="6000"/>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r>
              <w:rPr>
                <w:rFonts w:ascii="Arial" w:cs="Arial" w:eastAsia="Arial" w:hAnsi="Arial"/>
                <w:sz w:val="17"/>
                <w:szCs w:val="17"/>
              </w:rPr>
              <w:t xml:space="preserve">Implemented. Sec. 7.1 now requires only the issuance of the initial GAT Price within 60 days from the ITB. Items (a) (the Price Determination Methodology) and (b) are deleted, since the methodology is these Rules.</w:t>
            </w:r>
          </w:p>
        </w:tc>
      </w:tr>
      <w:tr>
        <w:trPr>
          <w:cantSplit/>
        </w:trPr>
        <w:tc>
          <w:tcPr>
            <w:tcW w:type="dxa" w:w="400"/>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r>
              <w:rPr>
                <w:rFonts w:ascii="Arial" w:cs="Arial" w:eastAsia="Arial" w:hAnsi="Arial"/>
                <w:sz w:val="17"/>
                <w:szCs w:val="17"/>
              </w:rPr>
              <w:t xml:space="preserve">6</w:t>
            </w:r>
          </w:p>
        </w:tc>
        <w:tc>
          <w:tcPr>
            <w:tcW w:type="dxa" w:w="1150"/>
            <w:tcBorders>
              <w:top w:val="single" w:color="A6A6A6" w:sz="4"/>
              <w:left w:val="single" w:color="A6A6A6" w:sz="4"/>
              <w:bottom w:val="single" w:color="A6A6A6" w:sz="4"/>
              <w:right w:val="single" w:color="A6A6A6" w:sz="4"/>
            </w:tcBorders>
            <w:shd w:fill="FCE4D6" w:color="auto" w:val="clear"/>
            <w:tcMar>
              <w:top w:type="dxa" w:w="60"/>
              <w:left w:type="dxa" w:w="90"/>
              <w:bottom w:type="dxa" w:w="60"/>
              <w:right w:type="dxa" w:w="90"/>
            </w:tcMar>
            <w:vAlign w:val="top"/>
          </w:tcPr>
          <w:p>
            <w:r>
              <w:rPr>
                <w:rFonts w:ascii="Arial" w:cs="Arial" w:eastAsia="Arial" w:hAnsi="Arial"/>
                <w:b/>
                <w:bCs/>
                <w:sz w:val="17"/>
                <w:szCs w:val="17"/>
              </w:rPr>
              <w:t xml:space="preserve">Sharon</w:t>
            </w:r>
          </w:p>
        </w:tc>
        <w:tc>
          <w:tcPr>
            <w:tcW w:type="dxa" w:w="950"/>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r>
              <w:rPr>
                <w:rFonts w:ascii="Arial" w:cs="Arial" w:eastAsia="Arial" w:hAnsi="Arial"/>
                <w:sz w:val="17"/>
                <w:szCs w:val="17"/>
              </w:rPr>
              <w:t xml:space="preserve">p. 21</w:t>
            </w:r>
          </w:p>
          <w:p>
            <w:r>
              <w:rPr>
                <w:rFonts w:ascii="Arial" w:cs="Arial" w:eastAsia="Arial" w:hAnsi="Arial"/>
                <w:sz w:val="17"/>
                <w:szCs w:val="17"/>
              </w:rPr>
              <w:t xml:space="preserve">(footer: Page 17)</w:t>
            </w:r>
          </w:p>
        </w:tc>
        <w:tc>
          <w:tcPr>
            <w:tcW w:type="dxa" w:w="1450"/>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r>
              <w:rPr>
                <w:rFonts w:ascii="Arial" w:cs="Arial" w:eastAsia="Arial" w:hAnsi="Arial"/>
                <w:b/>
                <w:bCs/>
                <w:sz w:val="17"/>
                <w:szCs w:val="17"/>
              </w:rPr>
              <w:t xml:space="preserve">Sec. 7.3</w:t>
            </w:r>
          </w:p>
        </w:tc>
        <w:tc>
          <w:tcPr>
            <w:tcW w:type="dxa" w:w="2700"/>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r>
              <w:rPr>
                <w:rFonts w:ascii="Arial" w:cs="Arial" w:eastAsia="Arial" w:hAnsi="Arial"/>
                <w:sz w:val="17"/>
                <w:szCs w:val="17"/>
              </w:rPr>
              <w:t xml:space="preserve">We can actually delete this as our issuance will be published anyway and, a letter to DOE will suffice.</w:t>
            </w:r>
          </w:p>
        </w:tc>
        <w:tc>
          <w:tcPr>
            <w:tcW w:type="dxa" w:w="1250"/>
            <w:tcBorders>
              <w:top w:val="single" w:color="A6A6A6" w:sz="4"/>
              <w:left w:val="single" w:color="A6A6A6" w:sz="4"/>
              <w:bottom w:val="single" w:color="A6A6A6" w:sz="4"/>
              <w:right w:val="single" w:color="A6A6A6" w:sz="4"/>
            </w:tcBorders>
            <w:shd w:fill="E2EFDA" w:color="auto" w:val="clear"/>
            <w:tcMar>
              <w:top w:type="dxa" w:w="60"/>
              <w:left w:type="dxa" w:w="90"/>
              <w:bottom w:type="dxa" w:w="60"/>
              <w:right w:type="dxa" w:w="90"/>
            </w:tcMar>
            <w:vAlign w:val="top"/>
          </w:tcPr>
          <w:p>
            <w:r>
              <w:rPr>
                <w:rFonts w:ascii="Arial" w:cs="Arial" w:eastAsia="Arial" w:hAnsi="Arial"/>
                <w:b/>
                <w:bCs/>
                <w:sz w:val="17"/>
                <w:szCs w:val="17"/>
              </w:rPr>
              <w:t xml:space="preserve">Implemented</w:t>
            </w:r>
          </w:p>
        </w:tc>
        <w:tc>
          <w:tcPr>
            <w:tcW w:type="dxa" w:w="6000"/>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r>
              <w:rPr>
                <w:rFonts w:ascii="Arial" w:cs="Arial" w:eastAsia="Arial" w:hAnsi="Arial"/>
                <w:sz w:val="17"/>
                <w:szCs w:val="17"/>
              </w:rPr>
              <w:t xml:space="preserve">Implemented. Sec. 7.3 is deleted; transmittal to the DOE can be by letter, and the GAT Price is published in any case. Note: with 7.3 gone, the Rules no longer cover the case where the 60-day period under Sec. 7.1 overruns the DOE's publication timeline. That can be handled by coordination with the DOE when it arises.</w:t>
            </w:r>
          </w:p>
        </w:tc>
      </w:tr>
      <w:tr>
        <w:trPr>
          <w:cantSplit/>
        </w:trPr>
        <w:tc>
          <w:tcPr>
            <w:tcW w:type="dxa" w:w="400"/>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r>
              <w:rPr>
                <w:rFonts w:ascii="Arial" w:cs="Arial" w:eastAsia="Arial" w:hAnsi="Arial"/>
                <w:sz w:val="17"/>
                <w:szCs w:val="17"/>
              </w:rPr>
              <w:t xml:space="preserve">7</w:t>
            </w:r>
          </w:p>
        </w:tc>
        <w:tc>
          <w:tcPr>
            <w:tcW w:type="dxa" w:w="1150"/>
            <w:tcBorders>
              <w:top w:val="single" w:color="A6A6A6" w:sz="4"/>
              <w:left w:val="single" w:color="A6A6A6" w:sz="4"/>
              <w:bottom w:val="single" w:color="A6A6A6" w:sz="4"/>
              <w:right w:val="single" w:color="A6A6A6" w:sz="4"/>
            </w:tcBorders>
            <w:shd w:fill="FCE4D6" w:color="auto" w:val="clear"/>
            <w:tcMar>
              <w:top w:type="dxa" w:w="60"/>
              <w:left w:type="dxa" w:w="90"/>
              <w:bottom w:type="dxa" w:w="60"/>
              <w:right w:type="dxa" w:w="90"/>
            </w:tcMar>
            <w:vAlign w:val="top"/>
          </w:tcPr>
          <w:p>
            <w:r>
              <w:rPr>
                <w:rFonts w:ascii="Arial" w:cs="Arial" w:eastAsia="Arial" w:hAnsi="Arial"/>
                <w:b/>
                <w:bCs/>
                <w:sz w:val="17"/>
                <w:szCs w:val="17"/>
              </w:rPr>
              <w:t xml:space="preserve">Sharon</w:t>
            </w:r>
          </w:p>
        </w:tc>
        <w:tc>
          <w:tcPr>
            <w:tcW w:type="dxa" w:w="950"/>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r>
              <w:rPr>
                <w:rFonts w:ascii="Arial" w:cs="Arial" w:eastAsia="Arial" w:hAnsi="Arial"/>
                <w:sz w:val="17"/>
                <w:szCs w:val="17"/>
              </w:rPr>
              <w:t xml:space="preserve">p. 26</w:t>
            </w:r>
          </w:p>
          <w:p>
            <w:r>
              <w:rPr>
                <w:rFonts w:ascii="Arial" w:cs="Arial" w:eastAsia="Arial" w:hAnsi="Arial"/>
                <w:sz w:val="17"/>
                <w:szCs w:val="17"/>
              </w:rPr>
              <w:t xml:space="preserve">(footer: Page 22)</w:t>
            </w:r>
          </w:p>
        </w:tc>
        <w:tc>
          <w:tcPr>
            <w:tcW w:type="dxa" w:w="1450"/>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r>
              <w:rPr>
                <w:rFonts w:ascii="Arial" w:cs="Arial" w:eastAsia="Arial" w:hAnsi="Arial"/>
                <w:b/>
                <w:bCs/>
                <w:sz w:val="17"/>
                <w:szCs w:val="17"/>
              </w:rPr>
              <w:t xml:space="preserve">Table 1 – Installed Capacity</w:t>
            </w:r>
          </w:p>
        </w:tc>
        <w:tc>
          <w:tcPr>
            <w:tcW w:type="dxa" w:w="2700"/>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r>
              <w:rPr>
                <w:rFonts w:ascii="Arial" w:cs="Arial" w:eastAsia="Arial" w:hAnsi="Arial"/>
                <w:sz w:val="17"/>
                <w:szCs w:val="17"/>
              </w:rPr>
              <w:t xml:space="preserve">Should be based on testing.</w:t>
            </w:r>
          </w:p>
        </w:tc>
        <w:tc>
          <w:tcPr>
            <w:tcW w:type="dxa" w:w="1250"/>
            <w:tcBorders>
              <w:top w:val="single" w:color="A6A6A6" w:sz="4"/>
              <w:left w:val="single" w:color="A6A6A6" w:sz="4"/>
              <w:bottom w:val="single" w:color="A6A6A6" w:sz="4"/>
              <w:right w:val="single" w:color="A6A6A6" w:sz="4"/>
            </w:tcBorders>
            <w:shd w:fill="E2EFDA" w:color="auto" w:val="clear"/>
            <w:tcMar>
              <w:top w:type="dxa" w:w="60"/>
              <w:left w:type="dxa" w:w="90"/>
              <w:bottom w:type="dxa" w:w="60"/>
              <w:right w:type="dxa" w:w="90"/>
            </w:tcMar>
            <w:vAlign w:val="top"/>
          </w:tcPr>
          <w:p>
            <w:r>
              <w:rPr>
                <w:rFonts w:ascii="Arial" w:cs="Arial" w:eastAsia="Arial" w:hAnsi="Arial"/>
                <w:b/>
                <w:bCs/>
                <w:sz w:val="17"/>
                <w:szCs w:val="17"/>
              </w:rPr>
              <w:t xml:space="preserve">Implemented</w:t>
            </w:r>
          </w:p>
        </w:tc>
        <w:tc>
          <w:tcPr>
            <w:tcW w:type="dxa" w:w="6000"/>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r>
              <w:rPr>
                <w:rFonts w:ascii="Arial" w:cs="Arial" w:eastAsia="Arial" w:hAnsi="Arial"/>
                <w:sz w:val="17"/>
                <w:szCs w:val="17"/>
              </w:rPr>
              <w:t xml:space="preserve">Implemented. For existing and repowered facilities, the Commission now references the dependable capacity established through testing, as shown in the latest Capability Test Certificate issued after the Grid Compliance Tests under ERC Res. No. 27, s. 2026, net of station/auxiliary load. This is also consistent with TOR Sec. 4.1, which takes offered capacity as Net Export Capacity 'validated through applicable technical documentation'.</w:t>
            </w:r>
          </w:p>
        </w:tc>
      </w:tr>
      <w:tr>
        <w:trPr>
          <w:cantSplit/>
        </w:trPr>
        <w:tc>
          <w:tcPr>
            <w:tcW w:type="dxa" w:w="400"/>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r>
              <w:rPr>
                <w:rFonts w:ascii="Arial" w:cs="Arial" w:eastAsia="Arial" w:hAnsi="Arial"/>
                <w:sz w:val="17"/>
                <w:szCs w:val="17"/>
              </w:rPr>
              <w:t xml:space="preserve">8</w:t>
            </w:r>
          </w:p>
        </w:tc>
        <w:tc>
          <w:tcPr>
            <w:tcW w:type="dxa" w:w="1150"/>
            <w:tcBorders>
              <w:top w:val="single" w:color="A6A6A6" w:sz="4"/>
              <w:left w:val="single" w:color="A6A6A6" w:sz="4"/>
              <w:bottom w:val="single" w:color="A6A6A6" w:sz="4"/>
              <w:right w:val="single" w:color="A6A6A6" w:sz="4"/>
            </w:tcBorders>
            <w:shd w:fill="FCE4D6" w:color="auto" w:val="clear"/>
            <w:tcMar>
              <w:top w:type="dxa" w:w="60"/>
              <w:left w:type="dxa" w:w="90"/>
              <w:bottom w:type="dxa" w:w="60"/>
              <w:right w:type="dxa" w:w="90"/>
            </w:tcMar>
            <w:vAlign w:val="top"/>
          </w:tcPr>
          <w:p>
            <w:r>
              <w:rPr>
                <w:rFonts w:ascii="Arial" w:cs="Arial" w:eastAsia="Arial" w:hAnsi="Arial"/>
                <w:b/>
                <w:bCs/>
                <w:sz w:val="17"/>
                <w:szCs w:val="17"/>
              </w:rPr>
              <w:t xml:space="preserve">Sharon</w:t>
            </w:r>
          </w:p>
        </w:tc>
        <w:tc>
          <w:tcPr>
            <w:tcW w:type="dxa" w:w="950"/>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r>
              <w:rPr>
                <w:rFonts w:ascii="Arial" w:cs="Arial" w:eastAsia="Arial" w:hAnsi="Arial"/>
                <w:sz w:val="17"/>
                <w:szCs w:val="17"/>
              </w:rPr>
              <w:t xml:space="preserve">p. 32</w:t>
            </w:r>
          </w:p>
          <w:p>
            <w:r>
              <w:rPr>
                <w:rFonts w:ascii="Arial" w:cs="Arial" w:eastAsia="Arial" w:hAnsi="Arial"/>
                <w:sz w:val="17"/>
                <w:szCs w:val="17"/>
              </w:rPr>
              <w:t xml:space="preserve">(footer: Page 28)</w:t>
            </w:r>
          </w:p>
        </w:tc>
        <w:tc>
          <w:tcPr>
            <w:tcW w:type="dxa" w:w="1450"/>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r>
              <w:rPr>
                <w:rFonts w:ascii="Arial" w:cs="Arial" w:eastAsia="Arial" w:hAnsi="Arial"/>
                <w:b/>
                <w:bCs/>
                <w:sz w:val="17"/>
                <w:szCs w:val="17"/>
              </w:rPr>
              <w:t xml:space="preserve">Land/Site Lease Cost</w:t>
            </w:r>
          </w:p>
        </w:tc>
        <w:tc>
          <w:tcPr>
            <w:tcW w:type="dxa" w:w="2700"/>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r>
              <w:rPr>
                <w:rFonts w:ascii="Arial" w:cs="Arial" w:eastAsia="Arial" w:hAnsi="Arial"/>
                <w:sz w:val="17"/>
                <w:szCs w:val="17"/>
              </w:rPr>
              <w:t xml:space="preserve">I think we can remove this. In the All In Project Cost, we already included there land acquisition. If actual projects will decide to lease, then we leave it to them. But this will increase cost and rate.</w:t>
            </w:r>
          </w:p>
        </w:tc>
        <w:tc>
          <w:tcPr>
            <w:tcW w:type="dxa" w:w="1250"/>
            <w:tcBorders>
              <w:top w:val="single" w:color="A6A6A6" w:sz="4"/>
              <w:left w:val="single" w:color="A6A6A6" w:sz="4"/>
              <w:bottom w:val="single" w:color="A6A6A6" w:sz="4"/>
              <w:right w:val="single" w:color="A6A6A6" w:sz="4"/>
            </w:tcBorders>
            <w:shd w:fill="E2EFDA" w:color="auto" w:val="clear"/>
            <w:tcMar>
              <w:top w:type="dxa" w:w="60"/>
              <w:left w:type="dxa" w:w="90"/>
              <w:bottom w:type="dxa" w:w="60"/>
              <w:right w:type="dxa" w:w="90"/>
            </w:tcMar>
            <w:vAlign w:val="top"/>
          </w:tcPr>
          <w:p>
            <w:r>
              <w:rPr>
                <w:rFonts w:ascii="Arial" w:cs="Arial" w:eastAsia="Arial" w:hAnsi="Arial"/>
                <w:b/>
                <w:bCs/>
                <w:sz w:val="17"/>
                <w:szCs w:val="17"/>
              </w:rPr>
              <w:t xml:space="preserve">Implemented</w:t>
            </w:r>
          </w:p>
        </w:tc>
        <w:tc>
          <w:tcPr>
            <w:tcW w:type="dxa" w:w="6000"/>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r>
              <w:rPr>
                <w:rFonts w:ascii="Arial" w:cs="Arial" w:eastAsia="Arial" w:hAnsi="Arial"/>
                <w:sz w:val="17"/>
                <w:szCs w:val="17"/>
              </w:rPr>
              <w:t xml:space="preserve">Implemented. The Reference Land/Site Lease Cost is removed as a separate parameter: the row is deleted from Table 1 and from the Annex table, and the item is taken out of the cost lists in Secs. 8.3, 8.6 (CRF legend) and 8.8.3. Land acquisition stays inside the All-In Project Cost. A developer that chooses to lease carries the lease within its own Price Offer.</w:t>
            </w:r>
          </w:p>
        </w:tc>
      </w:tr>
      <w:tr>
        <w:trPr>
          <w:cantSplit/>
        </w:trPr>
        <w:tc>
          <w:tcPr>
            <w:tcW w:type="dxa" w:w="400"/>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r>
              <w:rPr>
                <w:rFonts w:ascii="Arial" w:cs="Arial" w:eastAsia="Arial" w:hAnsi="Arial"/>
                <w:sz w:val="17"/>
                <w:szCs w:val="17"/>
              </w:rPr>
              <w:t xml:space="preserve">9</w:t>
            </w:r>
          </w:p>
        </w:tc>
        <w:tc>
          <w:tcPr>
            <w:tcW w:type="dxa" w:w="1150"/>
            <w:tcBorders>
              <w:top w:val="single" w:color="A6A6A6" w:sz="4"/>
              <w:left w:val="single" w:color="A6A6A6" w:sz="4"/>
              <w:bottom w:val="single" w:color="A6A6A6" w:sz="4"/>
              <w:right w:val="single" w:color="A6A6A6" w:sz="4"/>
            </w:tcBorders>
            <w:shd w:fill="FCE4D6" w:color="auto" w:val="clear"/>
            <w:tcMar>
              <w:top w:type="dxa" w:w="60"/>
              <w:left w:type="dxa" w:w="90"/>
              <w:bottom w:type="dxa" w:w="60"/>
              <w:right w:type="dxa" w:w="90"/>
            </w:tcMar>
            <w:vAlign w:val="top"/>
          </w:tcPr>
          <w:p>
            <w:r>
              <w:rPr>
                <w:rFonts w:ascii="Arial" w:cs="Arial" w:eastAsia="Arial" w:hAnsi="Arial"/>
                <w:b/>
                <w:bCs/>
                <w:sz w:val="17"/>
                <w:szCs w:val="17"/>
              </w:rPr>
              <w:t xml:space="preserve">Sharon</w:t>
            </w:r>
          </w:p>
        </w:tc>
        <w:tc>
          <w:tcPr>
            <w:tcW w:type="dxa" w:w="950"/>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r>
              <w:rPr>
                <w:rFonts w:ascii="Arial" w:cs="Arial" w:eastAsia="Arial" w:hAnsi="Arial"/>
                <w:sz w:val="17"/>
                <w:szCs w:val="17"/>
              </w:rPr>
              <w:t xml:space="preserve">p. 33</w:t>
            </w:r>
          </w:p>
          <w:p>
            <w:r>
              <w:rPr>
                <w:rFonts w:ascii="Arial" w:cs="Arial" w:eastAsia="Arial" w:hAnsi="Arial"/>
                <w:sz w:val="17"/>
                <w:szCs w:val="17"/>
              </w:rPr>
              <w:t xml:space="preserve">(footer: Page 29)</w:t>
            </w:r>
          </w:p>
        </w:tc>
        <w:tc>
          <w:tcPr>
            <w:tcW w:type="dxa" w:w="1450"/>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r>
              <w:rPr>
                <w:rFonts w:ascii="Arial" w:cs="Arial" w:eastAsia="Arial" w:hAnsi="Arial"/>
                <w:b/>
                <w:bCs/>
                <w:sz w:val="17"/>
                <w:szCs w:val="17"/>
              </w:rPr>
              <w:t xml:space="preserve">Sec. 8.8</w:t>
            </w:r>
          </w:p>
        </w:tc>
        <w:tc>
          <w:tcPr>
            <w:tcW w:type="dxa" w:w="2700"/>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r>
              <w:rPr>
                <w:rFonts w:ascii="Arial" w:cs="Arial" w:eastAsia="Arial" w:hAnsi="Arial"/>
                <w:sz w:val="17"/>
                <w:szCs w:val="17"/>
              </w:rPr>
              <w:t xml:space="preserve">What do you mean by cash flow waterfall?</w:t>
            </w:r>
          </w:p>
        </w:tc>
        <w:tc>
          <w:tcPr>
            <w:tcW w:type="dxa" w:w="1250"/>
            <w:tcBorders>
              <w:top w:val="single" w:color="A6A6A6" w:sz="4"/>
              <w:left w:val="single" w:color="A6A6A6" w:sz="4"/>
              <w:bottom w:val="single" w:color="A6A6A6" w:sz="4"/>
              <w:right w:val="single" w:color="A6A6A6" w:sz="4"/>
            </w:tcBorders>
            <w:shd w:fill="DDEBF7" w:color="auto" w:val="clear"/>
            <w:tcMar>
              <w:top w:type="dxa" w:w="60"/>
              <w:left w:type="dxa" w:w="90"/>
              <w:bottom w:type="dxa" w:w="60"/>
              <w:right w:type="dxa" w:w="90"/>
            </w:tcMar>
            <w:vAlign w:val="top"/>
          </w:tcPr>
          <w:p>
            <w:r>
              <w:rPr>
                <w:rFonts w:ascii="Arial" w:cs="Arial" w:eastAsia="Arial" w:hAnsi="Arial"/>
                <w:b/>
                <w:bCs/>
                <w:sz w:val="17"/>
                <w:szCs w:val="17"/>
              </w:rPr>
              <w:t xml:space="preserve">Answered + edited</w:t>
            </w:r>
          </w:p>
        </w:tc>
        <w:tc>
          <w:tcPr>
            <w:tcW w:type="dxa" w:w="6000"/>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r>
              <w:rPr>
                <w:rFonts w:ascii="Arial" w:cs="Arial" w:eastAsia="Arial" w:hAnsi="Arial"/>
                <w:sz w:val="17"/>
                <w:szCs w:val="17"/>
              </w:rPr>
              <w:t xml:space="preserve">Answer: 'cash-flow waterfall' is a project-finance term for computing a project's cash flows in a fixed order each year: revenue first, then operating costs, taxes, and debt service (interest and principal), with what remains going to equity. The GAT Price is the price at which that equity cash flow earns the required return. To avoid the jargon, the phrase now reads 'step-by-step annual cash-flow computation'. The steps themselves are Secs. 8.8.1 to 8.8.8.</w:t>
            </w:r>
          </w:p>
        </w:tc>
      </w:tr>
      <w:tr>
        <w:trPr>
          <w:cantSplit/>
        </w:trPr>
        <w:tc>
          <w:tcPr>
            <w:tcW w:type="dxa" w:w="400"/>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r>
              <w:rPr>
                <w:rFonts w:ascii="Arial" w:cs="Arial" w:eastAsia="Arial" w:hAnsi="Arial"/>
                <w:sz w:val="17"/>
                <w:szCs w:val="17"/>
              </w:rPr>
              <w:t xml:space="preserve">10</w:t>
            </w:r>
          </w:p>
        </w:tc>
        <w:tc>
          <w:tcPr>
            <w:tcW w:type="dxa" w:w="1150"/>
            <w:tcBorders>
              <w:top w:val="single" w:color="A6A6A6" w:sz="4"/>
              <w:left w:val="single" w:color="A6A6A6" w:sz="4"/>
              <w:bottom w:val="single" w:color="A6A6A6" w:sz="4"/>
              <w:right w:val="single" w:color="A6A6A6" w:sz="4"/>
            </w:tcBorders>
            <w:shd w:fill="FCE4D6" w:color="auto" w:val="clear"/>
            <w:tcMar>
              <w:top w:type="dxa" w:w="60"/>
              <w:left w:type="dxa" w:w="90"/>
              <w:bottom w:type="dxa" w:w="60"/>
              <w:right w:type="dxa" w:w="90"/>
            </w:tcMar>
            <w:vAlign w:val="top"/>
          </w:tcPr>
          <w:p>
            <w:r>
              <w:rPr>
                <w:rFonts w:ascii="Arial" w:cs="Arial" w:eastAsia="Arial" w:hAnsi="Arial"/>
                <w:b/>
                <w:bCs/>
                <w:sz w:val="17"/>
                <w:szCs w:val="17"/>
              </w:rPr>
              <w:t xml:space="preserve">Sharon</w:t>
            </w:r>
          </w:p>
        </w:tc>
        <w:tc>
          <w:tcPr>
            <w:tcW w:type="dxa" w:w="950"/>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r>
              <w:rPr>
                <w:rFonts w:ascii="Arial" w:cs="Arial" w:eastAsia="Arial" w:hAnsi="Arial"/>
                <w:sz w:val="17"/>
                <w:szCs w:val="17"/>
              </w:rPr>
              <w:t xml:space="preserve">p. 39</w:t>
            </w:r>
          </w:p>
          <w:p>
            <w:r>
              <w:rPr>
                <w:rFonts w:ascii="Arial" w:cs="Arial" w:eastAsia="Arial" w:hAnsi="Arial"/>
                <w:sz w:val="17"/>
                <w:szCs w:val="17"/>
              </w:rPr>
              <w:t xml:space="preserve">(footer: Page 35)</w:t>
            </w:r>
          </w:p>
        </w:tc>
        <w:tc>
          <w:tcPr>
            <w:tcW w:type="dxa" w:w="1450"/>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r>
              <w:rPr>
                <w:rFonts w:ascii="Arial" w:cs="Arial" w:eastAsia="Arial" w:hAnsi="Arial"/>
                <w:b/>
                <w:bCs/>
                <w:sz w:val="17"/>
                <w:szCs w:val="17"/>
              </w:rPr>
              <w:t xml:space="preserve">Sec. 9.3</w:t>
            </w:r>
          </w:p>
        </w:tc>
        <w:tc>
          <w:tcPr>
            <w:tcW w:type="dxa" w:w="2700"/>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r>
              <w:rPr>
                <w:rFonts w:ascii="Arial" w:cs="Arial" w:eastAsia="Arial" w:hAnsi="Arial"/>
                <w:sz w:val="17"/>
                <w:szCs w:val="17"/>
              </w:rPr>
              <w:t xml:space="preserve">How do we determine this? Why not assume in the representative project, because it is an efficient and ideal project, assume totally no transmission cost. Assume that it will be the NGCP who will build it.</w:t>
            </w:r>
          </w:p>
        </w:tc>
        <w:tc>
          <w:tcPr>
            <w:tcW w:type="dxa" w:w="1250"/>
            <w:tcBorders>
              <w:top w:val="single" w:color="A6A6A6" w:sz="4"/>
              <w:left w:val="single" w:color="A6A6A6" w:sz="4"/>
              <w:bottom w:val="single" w:color="A6A6A6" w:sz="4"/>
              <w:right w:val="single" w:color="A6A6A6" w:sz="4"/>
            </w:tcBorders>
            <w:shd w:fill="E2EFDA" w:color="auto" w:val="clear"/>
            <w:tcMar>
              <w:top w:type="dxa" w:w="60"/>
              <w:left w:type="dxa" w:w="90"/>
              <w:bottom w:type="dxa" w:w="60"/>
              <w:right w:type="dxa" w:w="90"/>
            </w:tcMar>
            <w:vAlign w:val="top"/>
          </w:tcPr>
          <w:p>
            <w:r>
              <w:rPr>
                <w:rFonts w:ascii="Arial" w:cs="Arial" w:eastAsia="Arial" w:hAnsi="Arial"/>
                <w:b/>
                <w:bCs/>
                <w:sz w:val="17"/>
                <w:szCs w:val="17"/>
              </w:rPr>
              <w:t xml:space="preserve">Implemented</w:t>
            </w:r>
          </w:p>
        </w:tc>
        <w:tc>
          <w:tcPr>
            <w:tcW w:type="dxa" w:w="6000"/>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r>
              <w:rPr>
                <w:rFonts w:ascii="Arial" w:cs="Arial" w:eastAsia="Arial" w:hAnsi="Arial"/>
                <w:sz w:val="17"/>
                <w:szCs w:val="17"/>
              </w:rPr>
              <w:t xml:space="preserve">Implemented as you suggest. The reference project now assumes no transmission or interconnection cost: all such facilities are assumed to be built by the Transmission Network Provider (NGCP). Changes: Sec. 9.3 states this assumption; the All-In Project Cost definition (Sec. 4), the All-In Project Cost description in Table 1, and Annex Item A.3 no longer include interconnection; and the 'Interconnection/Transmission Cost' row in Table 1 is deleted. The double-recovery computation you asked about is removed: if a Winning Bidder builds its own connection anyway, it recovers that cost within its own GAP, and any later transfer to TransCo follows ERC Res. No. 18, s. 2026. Effect: a lower GAT Price.</w:t>
            </w:r>
          </w:p>
        </w:tc>
      </w:tr>
      <w:tr>
        <w:trPr>
          <w:cantSplit/>
        </w:trPr>
        <w:tc>
          <w:tcPr>
            <w:tcW w:type="dxa" w:w="400"/>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r>
              <w:rPr>
                <w:rFonts w:ascii="Arial" w:cs="Arial" w:eastAsia="Arial" w:hAnsi="Arial"/>
                <w:sz w:val="17"/>
                <w:szCs w:val="17"/>
              </w:rPr>
              <w:t xml:space="preserve">11</w:t>
            </w:r>
          </w:p>
        </w:tc>
        <w:tc>
          <w:tcPr>
            <w:tcW w:type="dxa" w:w="1150"/>
            <w:tcBorders>
              <w:top w:val="single" w:color="A6A6A6" w:sz="4"/>
              <w:left w:val="single" w:color="A6A6A6" w:sz="4"/>
              <w:bottom w:val="single" w:color="A6A6A6" w:sz="4"/>
              <w:right w:val="single" w:color="A6A6A6" w:sz="4"/>
            </w:tcBorders>
            <w:shd w:fill="FCE4D6" w:color="auto" w:val="clear"/>
            <w:tcMar>
              <w:top w:type="dxa" w:w="60"/>
              <w:left w:type="dxa" w:w="90"/>
              <w:bottom w:type="dxa" w:w="60"/>
              <w:right w:type="dxa" w:w="90"/>
            </w:tcMar>
            <w:vAlign w:val="top"/>
          </w:tcPr>
          <w:p>
            <w:r>
              <w:rPr>
                <w:rFonts w:ascii="Arial" w:cs="Arial" w:eastAsia="Arial" w:hAnsi="Arial"/>
                <w:b/>
                <w:bCs/>
                <w:sz w:val="17"/>
                <w:szCs w:val="17"/>
              </w:rPr>
              <w:t xml:space="preserve">Sharon</w:t>
            </w:r>
          </w:p>
        </w:tc>
        <w:tc>
          <w:tcPr>
            <w:tcW w:type="dxa" w:w="950"/>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r>
              <w:rPr>
                <w:rFonts w:ascii="Arial" w:cs="Arial" w:eastAsia="Arial" w:hAnsi="Arial"/>
                <w:sz w:val="17"/>
                <w:szCs w:val="17"/>
              </w:rPr>
              <w:t xml:space="preserve">p. 39</w:t>
            </w:r>
          </w:p>
          <w:p>
            <w:r>
              <w:rPr>
                <w:rFonts w:ascii="Arial" w:cs="Arial" w:eastAsia="Arial" w:hAnsi="Arial"/>
                <w:sz w:val="17"/>
                <w:szCs w:val="17"/>
              </w:rPr>
              <w:t xml:space="preserve">(footer: Page 35)</w:t>
            </w:r>
          </w:p>
        </w:tc>
        <w:tc>
          <w:tcPr>
            <w:tcW w:type="dxa" w:w="1450"/>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r>
              <w:rPr>
                <w:rFonts w:ascii="Arial" w:cs="Arial" w:eastAsia="Arial" w:hAnsi="Arial"/>
                <w:b/>
                <w:bCs/>
                <w:sz w:val="17"/>
                <w:szCs w:val="17"/>
              </w:rPr>
              <w:t xml:space="preserve">Sec. 11</w:t>
            </w:r>
          </w:p>
        </w:tc>
        <w:tc>
          <w:tcPr>
            <w:tcW w:type="dxa" w:w="2700"/>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r>
              <w:rPr>
                <w:rFonts w:ascii="Arial" w:cs="Arial" w:eastAsia="Arial" w:hAnsi="Arial"/>
                <w:sz w:val="17"/>
                <w:szCs w:val="17"/>
              </w:rPr>
              <w:t xml:space="preserve">Do you mean extension from the initial 10 years under the TOR? This is not ideal given that the award was through bidding. If they extend, under this provision, they can submit cost breakdown and ERC will evaluate. So it will not be different cost parameters per project that will extend and this will be a deviation already from what was awarded rate by the DOE.</w:t>
            </w:r>
          </w:p>
        </w:tc>
        <w:tc>
          <w:tcPr>
            <w:tcW w:type="dxa" w:w="1250"/>
            <w:tcBorders>
              <w:top w:val="single" w:color="A6A6A6" w:sz="4"/>
              <w:left w:val="single" w:color="A6A6A6" w:sz="4"/>
              <w:bottom w:val="single" w:color="A6A6A6" w:sz="4"/>
              <w:right w:val="single" w:color="A6A6A6" w:sz="4"/>
            </w:tcBorders>
            <w:shd w:fill="DDEBF7" w:color="auto" w:val="clear"/>
            <w:tcMar>
              <w:top w:type="dxa" w:w="60"/>
              <w:left w:type="dxa" w:w="90"/>
              <w:bottom w:type="dxa" w:w="60"/>
              <w:right w:type="dxa" w:w="90"/>
            </w:tcMar>
            <w:vAlign w:val="top"/>
          </w:tcPr>
          <w:p>
            <w:r>
              <w:rPr>
                <w:rFonts w:ascii="Arial" w:cs="Arial" w:eastAsia="Arial" w:hAnsi="Arial"/>
                <w:b/>
                <w:bCs/>
                <w:sz w:val="17"/>
                <w:szCs w:val="17"/>
              </w:rPr>
              <w:t xml:space="preserve">Answered + edited</w:t>
            </w:r>
          </w:p>
        </w:tc>
        <w:tc>
          <w:tcPr>
            <w:tcW w:type="dxa" w:w="6000"/>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r>
              <w:rPr>
                <w:rFonts w:ascii="Arial" w:cs="Arial" w:eastAsia="Arial" w:hAnsi="Arial"/>
                <w:sz w:val="17"/>
                <w:szCs w:val="17"/>
              </w:rPr>
              <w:t xml:space="preserve">Answer: this covers only the Lot 1 extension (existing plants), not the 10-year Lot 2 term. Under TOR Secs. 1.2.1.1 and 18.3, Lot 1's 5-year Supply Delivery Period may be extended by up to 5 years after retrofitting, and the TOR itself makes the extension GAP 'subject to review and approval of the ERC' under the GAT Price methodology, so the Rules need this section. To address your concern that project-specific parameters would depart from the auctioned rate, I revised it: (1) the section now names Lot 1 and the 5-year extension; (2) Sec. 11.2 now requires the Commission to use the same Key Parameters as the GAT Price for Existing Facilities in the most recent Auction Round, changing only the verified retrofit cost and the remaining useful life; and (3) the adjusted GAP cannot exceed that GAT Price.</w:t>
            </w:r>
          </w:p>
        </w:tc>
      </w:tr>
      <w:tr>
        <w:trPr>
          <w:cantSplit/>
        </w:trPr>
        <w:tc>
          <w:tcPr>
            <w:tcW w:type="dxa" w:w="400"/>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r>
              <w:rPr>
                <w:rFonts w:ascii="Arial" w:cs="Arial" w:eastAsia="Arial" w:hAnsi="Arial"/>
                <w:sz w:val="17"/>
                <w:szCs w:val="17"/>
              </w:rPr>
              <w:t xml:space="preserve">12</w:t>
            </w:r>
          </w:p>
        </w:tc>
        <w:tc>
          <w:tcPr>
            <w:tcW w:type="dxa" w:w="1150"/>
            <w:tcBorders>
              <w:top w:val="single" w:color="A6A6A6" w:sz="4"/>
              <w:left w:val="single" w:color="A6A6A6" w:sz="4"/>
              <w:bottom w:val="single" w:color="A6A6A6" w:sz="4"/>
              <w:right w:val="single" w:color="A6A6A6" w:sz="4"/>
            </w:tcBorders>
            <w:shd w:fill="FCE4D6" w:color="auto" w:val="clear"/>
            <w:tcMar>
              <w:top w:type="dxa" w:w="60"/>
              <w:left w:type="dxa" w:w="90"/>
              <w:bottom w:type="dxa" w:w="60"/>
              <w:right w:type="dxa" w:w="90"/>
            </w:tcMar>
            <w:vAlign w:val="top"/>
          </w:tcPr>
          <w:p>
            <w:r>
              <w:rPr>
                <w:rFonts w:ascii="Arial" w:cs="Arial" w:eastAsia="Arial" w:hAnsi="Arial"/>
                <w:b/>
                <w:bCs/>
                <w:sz w:val="17"/>
                <w:szCs w:val="17"/>
              </w:rPr>
              <w:t xml:space="preserve">Sharon</w:t>
            </w:r>
          </w:p>
        </w:tc>
        <w:tc>
          <w:tcPr>
            <w:tcW w:type="dxa" w:w="950"/>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r>
              <w:rPr>
                <w:rFonts w:ascii="Arial" w:cs="Arial" w:eastAsia="Arial" w:hAnsi="Arial"/>
                <w:sz w:val="17"/>
                <w:szCs w:val="17"/>
              </w:rPr>
              <w:t xml:space="preserve">p. 40</w:t>
            </w:r>
          </w:p>
          <w:p>
            <w:r>
              <w:rPr>
                <w:rFonts w:ascii="Arial" w:cs="Arial" w:eastAsia="Arial" w:hAnsi="Arial"/>
                <w:sz w:val="17"/>
                <w:szCs w:val="17"/>
              </w:rPr>
              <w:t xml:space="preserve">(footer: Page 36)</w:t>
            </w:r>
          </w:p>
        </w:tc>
        <w:tc>
          <w:tcPr>
            <w:tcW w:type="dxa" w:w="1450"/>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r>
              <w:rPr>
                <w:rFonts w:ascii="Arial" w:cs="Arial" w:eastAsia="Arial" w:hAnsi="Arial"/>
                <w:b/>
                <w:bCs/>
                <w:sz w:val="17"/>
                <w:szCs w:val="17"/>
              </w:rPr>
              <w:t xml:space="preserve">Sec. 11.4</w:t>
            </w:r>
          </w:p>
        </w:tc>
        <w:tc>
          <w:tcPr>
            <w:tcW w:type="dxa" w:w="2700"/>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r>
              <w:rPr>
                <w:rFonts w:ascii="Arial" w:cs="Arial" w:eastAsia="Arial" w:hAnsi="Arial"/>
                <w:sz w:val="17"/>
                <w:szCs w:val="17"/>
              </w:rPr>
              <w:t xml:space="preserve">Is this a formal application?</w:t>
            </w:r>
          </w:p>
        </w:tc>
        <w:tc>
          <w:tcPr>
            <w:tcW w:type="dxa" w:w="1250"/>
            <w:tcBorders>
              <w:top w:val="single" w:color="A6A6A6" w:sz="4"/>
              <w:left w:val="single" w:color="A6A6A6" w:sz="4"/>
              <w:bottom w:val="single" w:color="A6A6A6" w:sz="4"/>
              <w:right w:val="single" w:color="A6A6A6" w:sz="4"/>
            </w:tcBorders>
            <w:shd w:fill="DDEBF7" w:color="auto" w:val="clear"/>
            <w:tcMar>
              <w:top w:type="dxa" w:w="60"/>
              <w:left w:type="dxa" w:w="90"/>
              <w:bottom w:type="dxa" w:w="60"/>
              <w:right w:type="dxa" w:w="90"/>
            </w:tcMar>
            <w:vAlign w:val="top"/>
          </w:tcPr>
          <w:p>
            <w:r>
              <w:rPr>
                <w:rFonts w:ascii="Arial" w:cs="Arial" w:eastAsia="Arial" w:hAnsi="Arial"/>
                <w:b/>
                <w:bCs/>
                <w:sz w:val="17"/>
                <w:szCs w:val="17"/>
              </w:rPr>
              <w:t xml:space="preserve">Answered + edited</w:t>
            </w:r>
          </w:p>
        </w:tc>
        <w:tc>
          <w:tcPr>
            <w:tcW w:type="dxa" w:w="6000"/>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r>
              <w:rPr>
                <w:rFonts w:ascii="Arial" w:cs="Arial" w:eastAsia="Arial" w:hAnsi="Arial"/>
                <w:sz w:val="17"/>
                <w:szCs w:val="17"/>
              </w:rPr>
              <w:t xml:space="preserve">Yes. Sec. 11 now says it is a verified application filed under the Commission's Rules of Practice and Procedure. I also deleted the cross-reference to 'Section 33' in 11.4, which was wrong: Sec. 33 is the MO's settlement approval condition, not a filing rule.</w:t>
            </w:r>
          </w:p>
        </w:tc>
      </w:tr>
      <w:tr>
        <w:trPr>
          <w:cantSplit/>
        </w:trPr>
        <w:tc>
          <w:tcPr>
            <w:tcW w:type="dxa" w:w="400"/>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r>
              <w:rPr>
                <w:rFonts w:ascii="Arial" w:cs="Arial" w:eastAsia="Arial" w:hAnsi="Arial"/>
                <w:sz w:val="17"/>
                <w:szCs w:val="17"/>
              </w:rPr>
              <w:t xml:space="preserve">13</w:t>
            </w:r>
          </w:p>
        </w:tc>
        <w:tc>
          <w:tcPr>
            <w:tcW w:type="dxa" w:w="1150"/>
            <w:tcBorders>
              <w:top w:val="single" w:color="A6A6A6" w:sz="4"/>
              <w:left w:val="single" w:color="A6A6A6" w:sz="4"/>
              <w:bottom w:val="single" w:color="A6A6A6" w:sz="4"/>
              <w:right w:val="single" w:color="A6A6A6" w:sz="4"/>
            </w:tcBorders>
            <w:shd w:fill="FCE4D6" w:color="auto" w:val="clear"/>
            <w:tcMar>
              <w:top w:type="dxa" w:w="60"/>
              <w:left w:type="dxa" w:w="90"/>
              <w:bottom w:type="dxa" w:w="60"/>
              <w:right w:type="dxa" w:w="90"/>
            </w:tcMar>
            <w:vAlign w:val="top"/>
          </w:tcPr>
          <w:p>
            <w:r>
              <w:rPr>
                <w:rFonts w:ascii="Arial" w:cs="Arial" w:eastAsia="Arial" w:hAnsi="Arial"/>
                <w:b/>
                <w:bCs/>
                <w:sz w:val="17"/>
                <w:szCs w:val="17"/>
              </w:rPr>
              <w:t xml:space="preserve">Sharon</w:t>
            </w:r>
          </w:p>
        </w:tc>
        <w:tc>
          <w:tcPr>
            <w:tcW w:type="dxa" w:w="950"/>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r>
              <w:rPr>
                <w:rFonts w:ascii="Arial" w:cs="Arial" w:eastAsia="Arial" w:hAnsi="Arial"/>
                <w:sz w:val="17"/>
                <w:szCs w:val="17"/>
              </w:rPr>
              <w:t xml:space="preserve">p. 41</w:t>
            </w:r>
          </w:p>
          <w:p>
            <w:r>
              <w:rPr>
                <w:rFonts w:ascii="Arial" w:cs="Arial" w:eastAsia="Arial" w:hAnsi="Arial"/>
                <w:sz w:val="17"/>
                <w:szCs w:val="17"/>
              </w:rPr>
              <w:t xml:space="preserve">(footer: Page 37)</w:t>
            </w:r>
          </w:p>
        </w:tc>
        <w:tc>
          <w:tcPr>
            <w:tcW w:type="dxa" w:w="1450"/>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r>
              <w:rPr>
                <w:rFonts w:ascii="Arial" w:cs="Arial" w:eastAsia="Arial" w:hAnsi="Arial"/>
                <w:b/>
                <w:bCs/>
                <w:sz w:val="17"/>
                <w:szCs w:val="17"/>
              </w:rPr>
              <w:t xml:space="preserve">Sec. 13.2</w:t>
            </w:r>
          </w:p>
        </w:tc>
        <w:tc>
          <w:tcPr>
            <w:tcW w:type="dxa" w:w="2700"/>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r>
              <w:rPr>
                <w:rFonts w:ascii="Arial" w:cs="Arial" w:eastAsia="Arial" w:hAnsi="Arial"/>
                <w:sz w:val="17"/>
                <w:szCs w:val="17"/>
              </w:rPr>
              <w:t xml:space="preserve">This is like the CLLC? Or on top of the CLLC?</w:t>
            </w:r>
          </w:p>
        </w:tc>
        <w:tc>
          <w:tcPr>
            <w:tcW w:type="dxa" w:w="1250"/>
            <w:tcBorders>
              <w:top w:val="single" w:color="A6A6A6" w:sz="4"/>
              <w:left w:val="single" w:color="A6A6A6" w:sz="4"/>
              <w:bottom w:val="single" w:color="A6A6A6" w:sz="4"/>
              <w:right w:val="single" w:color="A6A6A6" w:sz="4"/>
            </w:tcBorders>
            <w:shd w:fill="DDEBF7" w:color="auto" w:val="clear"/>
            <w:tcMar>
              <w:top w:type="dxa" w:w="60"/>
              <w:left w:type="dxa" w:w="90"/>
              <w:bottom w:type="dxa" w:w="60"/>
              <w:right w:type="dxa" w:w="90"/>
            </w:tcMar>
            <w:vAlign w:val="top"/>
          </w:tcPr>
          <w:p>
            <w:r>
              <w:rPr>
                <w:rFonts w:ascii="Arial" w:cs="Arial" w:eastAsia="Arial" w:hAnsi="Arial"/>
                <w:b/>
                <w:bCs/>
                <w:sz w:val="17"/>
                <w:szCs w:val="17"/>
              </w:rPr>
              <w:t xml:space="preserve">Answered + edited</w:t>
            </w:r>
          </w:p>
        </w:tc>
        <w:tc>
          <w:tcPr>
            <w:tcW w:type="dxa" w:w="6000"/>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r>
              <w:rPr>
                <w:rFonts w:ascii="Arial" w:cs="Arial" w:eastAsia="Arial" w:hAnsi="Arial"/>
                <w:sz w:val="17"/>
                <w:szCs w:val="17"/>
              </w:rPr>
              <w:t xml:space="preserve">Answer: they are the same thing, not on top. The Allowable Add-On Costs listed in Sec. 17 (Table 2) are the components of the CLLC; Sec. 13.4 embeds them in the GAT Price and keeps them out of the monthly Fuel Cost Pass-Through. I added a clause to Sec. 13.2 saying this expressly.</w:t>
            </w:r>
          </w:p>
        </w:tc>
      </w:tr>
      <w:tr>
        <w:trPr>
          <w:cantSplit/>
        </w:trPr>
        <w:tc>
          <w:tcPr>
            <w:tcW w:type="dxa" w:w="400"/>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r>
              <w:rPr>
                <w:rFonts w:ascii="Arial" w:cs="Arial" w:eastAsia="Arial" w:hAnsi="Arial"/>
                <w:sz w:val="17"/>
                <w:szCs w:val="17"/>
              </w:rPr>
              <w:t xml:space="preserve">14</w:t>
            </w:r>
          </w:p>
        </w:tc>
        <w:tc>
          <w:tcPr>
            <w:tcW w:type="dxa" w:w="1150"/>
            <w:tcBorders>
              <w:top w:val="single" w:color="A6A6A6" w:sz="4"/>
              <w:left w:val="single" w:color="A6A6A6" w:sz="4"/>
              <w:bottom w:val="single" w:color="A6A6A6" w:sz="4"/>
              <w:right w:val="single" w:color="A6A6A6" w:sz="4"/>
            </w:tcBorders>
            <w:shd w:fill="FCE4D6" w:color="auto" w:val="clear"/>
            <w:tcMar>
              <w:top w:type="dxa" w:w="60"/>
              <w:left w:type="dxa" w:w="90"/>
              <w:bottom w:type="dxa" w:w="60"/>
              <w:right w:type="dxa" w:w="90"/>
            </w:tcMar>
            <w:vAlign w:val="top"/>
          </w:tcPr>
          <w:p>
            <w:r>
              <w:rPr>
                <w:rFonts w:ascii="Arial" w:cs="Arial" w:eastAsia="Arial" w:hAnsi="Arial"/>
                <w:b/>
                <w:bCs/>
                <w:sz w:val="17"/>
                <w:szCs w:val="17"/>
              </w:rPr>
              <w:t xml:space="preserve">Sharon</w:t>
            </w:r>
          </w:p>
        </w:tc>
        <w:tc>
          <w:tcPr>
            <w:tcW w:type="dxa" w:w="950"/>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r>
              <w:rPr>
                <w:rFonts w:ascii="Arial" w:cs="Arial" w:eastAsia="Arial" w:hAnsi="Arial"/>
                <w:sz w:val="17"/>
                <w:szCs w:val="17"/>
              </w:rPr>
              <w:t xml:space="preserve">p. 42</w:t>
            </w:r>
          </w:p>
          <w:p>
            <w:r>
              <w:rPr>
                <w:rFonts w:ascii="Arial" w:cs="Arial" w:eastAsia="Arial" w:hAnsi="Arial"/>
                <w:sz w:val="17"/>
                <w:szCs w:val="17"/>
              </w:rPr>
              <w:t xml:space="preserve">(footer: Page 38)</w:t>
            </w:r>
          </w:p>
        </w:tc>
        <w:tc>
          <w:tcPr>
            <w:tcW w:type="dxa" w:w="1450"/>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r>
              <w:rPr>
                <w:rFonts w:ascii="Arial" w:cs="Arial" w:eastAsia="Arial" w:hAnsi="Arial"/>
                <w:b/>
                <w:bCs/>
                <w:sz w:val="17"/>
                <w:szCs w:val="17"/>
              </w:rPr>
              <w:t xml:space="preserve">Sec. 14.1(a) / 14.2</w:t>
            </w:r>
          </w:p>
        </w:tc>
        <w:tc>
          <w:tcPr>
            <w:tcW w:type="dxa" w:w="2700"/>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r>
              <w:rPr>
                <w:rFonts w:ascii="Arial" w:cs="Arial" w:eastAsia="Arial" w:hAnsi="Arial"/>
                <w:sz w:val="17"/>
                <w:szCs w:val="17"/>
              </w:rPr>
              <w:t xml:space="preserve">Is the GSPA approved by any government entity? If yes, can we use already the GSPA?</w:t>
            </w:r>
          </w:p>
        </w:tc>
        <w:tc>
          <w:tcPr>
            <w:tcW w:type="dxa" w:w="1250"/>
            <w:tcBorders>
              <w:top w:val="single" w:color="A6A6A6" w:sz="4"/>
              <w:left w:val="single" w:color="A6A6A6" w:sz="4"/>
              <w:bottom w:val="single" w:color="A6A6A6" w:sz="4"/>
              <w:right w:val="single" w:color="A6A6A6" w:sz="4"/>
            </w:tcBorders>
            <w:shd w:fill="DDEBF7" w:color="auto" w:val="clear"/>
            <w:tcMar>
              <w:top w:type="dxa" w:w="60"/>
              <w:left w:type="dxa" w:w="90"/>
              <w:bottom w:type="dxa" w:w="60"/>
              <w:right w:type="dxa" w:w="90"/>
            </w:tcMar>
            <w:vAlign w:val="top"/>
          </w:tcPr>
          <w:p>
            <w:r>
              <w:rPr>
                <w:rFonts w:ascii="Arial" w:cs="Arial" w:eastAsia="Arial" w:hAnsi="Arial"/>
                <w:b/>
                <w:bCs/>
                <w:sz w:val="17"/>
                <w:szCs w:val="17"/>
              </w:rPr>
              <w:t xml:space="preserve">Answered + edited</w:t>
            </w:r>
          </w:p>
        </w:tc>
        <w:tc>
          <w:tcPr>
            <w:tcW w:type="dxa" w:w="6000"/>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r>
              <w:rPr>
                <w:rFonts w:ascii="Arial" w:cs="Arial" w:eastAsia="Arial" w:hAnsi="Arial"/>
                <w:sz w:val="17"/>
                <w:szCs w:val="17"/>
              </w:rPr>
              <w:t xml:space="preserve">Answer: these Rules do not require ERC approval of GSPAs, and I am not aware of a government price approval for them. Under TOR Sec. 3.2, the GSPA goes to the DOE-Oil Industry Management Bureau for verification and certification of the declared Fuel Source Category; that is a verification, not a price approval. Sec. 14.1(a) already uses verified GSPA prices as one benchmark. As you suggest, I added a proviso to Sec. 14.2: where the Winning Bidder's GSPA has been verified by the DOE-OIMB, the Commission may adopt the GSPA price as that bidder's Reference Gas Price, still capped at import parity under Sec. 14.3.</w:t>
            </w:r>
          </w:p>
        </w:tc>
      </w:tr>
      <w:tr>
        <w:trPr>
          <w:cantSplit/>
        </w:trPr>
        <w:tc>
          <w:tcPr>
            <w:tcW w:type="dxa" w:w="400"/>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r>
              <w:rPr>
                <w:rFonts w:ascii="Arial" w:cs="Arial" w:eastAsia="Arial" w:hAnsi="Arial"/>
                <w:sz w:val="17"/>
                <w:szCs w:val="17"/>
              </w:rPr>
              <w:t xml:space="preserve">15</w:t>
            </w:r>
          </w:p>
        </w:tc>
        <w:tc>
          <w:tcPr>
            <w:tcW w:type="dxa" w:w="1150"/>
            <w:tcBorders>
              <w:top w:val="single" w:color="A6A6A6" w:sz="4"/>
              <w:left w:val="single" w:color="A6A6A6" w:sz="4"/>
              <w:bottom w:val="single" w:color="A6A6A6" w:sz="4"/>
              <w:right w:val="single" w:color="A6A6A6" w:sz="4"/>
            </w:tcBorders>
            <w:shd w:fill="FCE4D6" w:color="auto" w:val="clear"/>
            <w:tcMar>
              <w:top w:type="dxa" w:w="60"/>
              <w:left w:type="dxa" w:w="90"/>
              <w:bottom w:type="dxa" w:w="60"/>
              <w:right w:type="dxa" w:w="90"/>
            </w:tcMar>
            <w:vAlign w:val="top"/>
          </w:tcPr>
          <w:p>
            <w:r>
              <w:rPr>
                <w:rFonts w:ascii="Arial" w:cs="Arial" w:eastAsia="Arial" w:hAnsi="Arial"/>
                <w:b/>
                <w:bCs/>
                <w:sz w:val="17"/>
                <w:szCs w:val="17"/>
              </w:rPr>
              <w:t xml:space="preserve">Sharon</w:t>
            </w:r>
          </w:p>
        </w:tc>
        <w:tc>
          <w:tcPr>
            <w:tcW w:type="dxa" w:w="950"/>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r>
              <w:rPr>
                <w:rFonts w:ascii="Arial" w:cs="Arial" w:eastAsia="Arial" w:hAnsi="Arial"/>
                <w:sz w:val="17"/>
                <w:szCs w:val="17"/>
              </w:rPr>
              <w:t xml:space="preserve">p. 43</w:t>
            </w:r>
          </w:p>
          <w:p>
            <w:r>
              <w:rPr>
                <w:rFonts w:ascii="Arial" w:cs="Arial" w:eastAsia="Arial" w:hAnsi="Arial"/>
                <w:sz w:val="17"/>
                <w:szCs w:val="17"/>
              </w:rPr>
              <w:t xml:space="preserve">(footer: Page 39)</w:t>
            </w:r>
          </w:p>
        </w:tc>
        <w:tc>
          <w:tcPr>
            <w:tcW w:type="dxa" w:w="1450"/>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r>
              <w:rPr>
                <w:rFonts w:ascii="Arial" w:cs="Arial" w:eastAsia="Arial" w:hAnsi="Arial"/>
                <w:b/>
                <w:bCs/>
                <w:sz w:val="17"/>
                <w:szCs w:val="17"/>
              </w:rPr>
              <w:t xml:space="preserve">Sec. 14.4</w:t>
            </w:r>
          </w:p>
        </w:tc>
        <w:tc>
          <w:tcPr>
            <w:tcW w:type="dxa" w:w="2700"/>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r>
              <w:rPr>
                <w:rFonts w:ascii="Arial" w:cs="Arial" w:eastAsia="Arial" w:hAnsi="Arial"/>
                <w:sz w:val="17"/>
                <w:szCs w:val="17"/>
              </w:rPr>
              <w:t xml:space="preserve">This means prescribing the gas....</w:t>
            </w:r>
          </w:p>
        </w:tc>
        <w:tc>
          <w:tcPr>
            <w:tcW w:type="dxa" w:w="1250"/>
            <w:tcBorders>
              <w:top w:val="single" w:color="A6A6A6" w:sz="4"/>
              <w:left w:val="single" w:color="A6A6A6" w:sz="4"/>
              <w:bottom w:val="single" w:color="A6A6A6" w:sz="4"/>
              <w:right w:val="single" w:color="A6A6A6" w:sz="4"/>
            </w:tcBorders>
            <w:shd w:fill="E2EFDA" w:color="auto" w:val="clear"/>
            <w:tcMar>
              <w:top w:type="dxa" w:w="60"/>
              <w:left w:type="dxa" w:w="90"/>
              <w:bottom w:type="dxa" w:w="60"/>
              <w:right w:type="dxa" w:w="90"/>
            </w:tcMar>
            <w:vAlign w:val="top"/>
          </w:tcPr>
          <w:p>
            <w:r>
              <w:rPr>
                <w:rFonts w:ascii="Arial" w:cs="Arial" w:eastAsia="Arial" w:hAnsi="Arial"/>
                <w:b/>
                <w:bCs/>
                <w:sz w:val="17"/>
                <w:szCs w:val="17"/>
              </w:rPr>
              <w:t xml:space="preserve">Implemented</w:t>
            </w:r>
          </w:p>
        </w:tc>
        <w:tc>
          <w:tcPr>
            <w:tcW w:type="dxa" w:w="6000"/>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r>
              <w:rPr>
                <w:rFonts w:ascii="Arial" w:cs="Arial" w:eastAsia="Arial" w:hAnsi="Arial"/>
                <w:sz w:val="17"/>
                <w:szCs w:val="17"/>
              </w:rPr>
              <w:t xml:space="preserve">Agreed. As written, 14.4 had the ERC dictating the type and term of the gas contract (fixed-price, long-term). Revised: the Commission does not prescribe the fuel source, supplier, or contract structure, which follow the declared Fuel Source Category under the TOR; the Winning Bidder only submits its GSPA for benchmarking and verification. The same change is made to Sec. 15.4 for LNG.</w:t>
            </w:r>
          </w:p>
        </w:tc>
      </w:tr>
      <w:tr>
        <w:trPr>
          <w:cantSplit/>
        </w:trPr>
        <w:tc>
          <w:tcPr>
            <w:tcW w:type="dxa" w:w="400"/>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r>
              <w:rPr>
                <w:rFonts w:ascii="Arial" w:cs="Arial" w:eastAsia="Arial" w:hAnsi="Arial"/>
                <w:sz w:val="17"/>
                <w:szCs w:val="17"/>
              </w:rPr>
              <w:t xml:space="preserve">16</w:t>
            </w:r>
          </w:p>
        </w:tc>
        <w:tc>
          <w:tcPr>
            <w:tcW w:type="dxa" w:w="1150"/>
            <w:tcBorders>
              <w:top w:val="single" w:color="A6A6A6" w:sz="4"/>
              <w:left w:val="single" w:color="A6A6A6" w:sz="4"/>
              <w:bottom w:val="single" w:color="A6A6A6" w:sz="4"/>
              <w:right w:val="single" w:color="A6A6A6" w:sz="4"/>
            </w:tcBorders>
            <w:shd w:fill="FCE4D6" w:color="auto" w:val="clear"/>
            <w:tcMar>
              <w:top w:type="dxa" w:w="60"/>
              <w:left w:type="dxa" w:w="90"/>
              <w:bottom w:type="dxa" w:w="60"/>
              <w:right w:type="dxa" w:w="90"/>
            </w:tcMar>
            <w:vAlign w:val="top"/>
          </w:tcPr>
          <w:p>
            <w:r>
              <w:rPr>
                <w:rFonts w:ascii="Arial" w:cs="Arial" w:eastAsia="Arial" w:hAnsi="Arial"/>
                <w:b/>
                <w:bCs/>
                <w:sz w:val="17"/>
                <w:szCs w:val="17"/>
              </w:rPr>
              <w:t xml:space="preserve">Sharon</w:t>
            </w:r>
          </w:p>
        </w:tc>
        <w:tc>
          <w:tcPr>
            <w:tcW w:type="dxa" w:w="950"/>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r>
              <w:rPr>
                <w:rFonts w:ascii="Arial" w:cs="Arial" w:eastAsia="Arial" w:hAnsi="Arial"/>
                <w:sz w:val="17"/>
                <w:szCs w:val="17"/>
              </w:rPr>
              <w:t xml:space="preserve">p. 44</w:t>
            </w:r>
          </w:p>
          <w:p>
            <w:r>
              <w:rPr>
                <w:rFonts w:ascii="Arial" w:cs="Arial" w:eastAsia="Arial" w:hAnsi="Arial"/>
                <w:sz w:val="17"/>
                <w:szCs w:val="17"/>
              </w:rPr>
              <w:t xml:space="preserve">(footer: Page 40)</w:t>
            </w:r>
          </w:p>
        </w:tc>
        <w:tc>
          <w:tcPr>
            <w:tcW w:type="dxa" w:w="1450"/>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r>
              <w:rPr>
                <w:rFonts w:ascii="Arial" w:cs="Arial" w:eastAsia="Arial" w:hAnsi="Arial"/>
                <w:b/>
                <w:bCs/>
                <w:sz w:val="17"/>
                <w:szCs w:val="17"/>
              </w:rPr>
              <w:t xml:space="preserve">Sec. 15.3</w:t>
            </w:r>
          </w:p>
        </w:tc>
        <w:tc>
          <w:tcPr>
            <w:tcW w:type="dxa" w:w="2700"/>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r>
              <w:rPr>
                <w:rFonts w:ascii="Arial" w:cs="Arial" w:eastAsia="Arial" w:hAnsi="Arial"/>
                <w:sz w:val="17"/>
                <w:szCs w:val="17"/>
              </w:rPr>
              <w:t xml:space="preserve">Publish in the website?</w:t>
            </w:r>
          </w:p>
        </w:tc>
        <w:tc>
          <w:tcPr>
            <w:tcW w:type="dxa" w:w="1250"/>
            <w:tcBorders>
              <w:top w:val="single" w:color="A6A6A6" w:sz="4"/>
              <w:left w:val="single" w:color="A6A6A6" w:sz="4"/>
              <w:bottom w:val="single" w:color="A6A6A6" w:sz="4"/>
              <w:right w:val="single" w:color="A6A6A6" w:sz="4"/>
            </w:tcBorders>
            <w:shd w:fill="DDEBF7" w:color="auto" w:val="clear"/>
            <w:tcMar>
              <w:top w:type="dxa" w:w="60"/>
              <w:left w:type="dxa" w:w="90"/>
              <w:bottom w:type="dxa" w:w="60"/>
              <w:right w:type="dxa" w:w="90"/>
            </w:tcMar>
            <w:vAlign w:val="top"/>
          </w:tcPr>
          <w:p>
            <w:r>
              <w:rPr>
                <w:rFonts w:ascii="Arial" w:cs="Arial" w:eastAsia="Arial" w:hAnsi="Arial"/>
                <w:b/>
                <w:bCs/>
                <w:sz w:val="17"/>
                <w:szCs w:val="17"/>
              </w:rPr>
              <w:t xml:space="preserve">Answered + edited</w:t>
            </w:r>
          </w:p>
        </w:tc>
        <w:tc>
          <w:tcPr>
            <w:tcW w:type="dxa" w:w="6000"/>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r>
              <w:rPr>
                <w:rFonts w:ascii="Arial" w:cs="Arial" w:eastAsia="Arial" w:hAnsi="Arial"/>
                <w:sz w:val="17"/>
                <w:szCs w:val="17"/>
              </w:rPr>
              <w:t xml:space="preserve">Yes. Sec. 15.3 now says the Commission publishes it on its official website.</w:t>
            </w:r>
          </w:p>
        </w:tc>
      </w:tr>
      <w:tr>
        <w:trPr>
          <w:cantSplit/>
        </w:trPr>
        <w:tc>
          <w:tcPr>
            <w:tcW w:type="dxa" w:w="400"/>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r>
              <w:rPr>
                <w:rFonts w:ascii="Arial" w:cs="Arial" w:eastAsia="Arial" w:hAnsi="Arial"/>
                <w:sz w:val="17"/>
                <w:szCs w:val="17"/>
              </w:rPr>
              <w:t xml:space="preserve">17</w:t>
            </w:r>
          </w:p>
        </w:tc>
        <w:tc>
          <w:tcPr>
            <w:tcW w:type="dxa" w:w="1150"/>
            <w:tcBorders>
              <w:top w:val="single" w:color="A6A6A6" w:sz="4"/>
              <w:left w:val="single" w:color="A6A6A6" w:sz="4"/>
              <w:bottom w:val="single" w:color="A6A6A6" w:sz="4"/>
              <w:right w:val="single" w:color="A6A6A6" w:sz="4"/>
            </w:tcBorders>
            <w:shd w:fill="FCE4D6" w:color="auto" w:val="clear"/>
            <w:tcMar>
              <w:top w:type="dxa" w:w="60"/>
              <w:left w:type="dxa" w:w="90"/>
              <w:bottom w:type="dxa" w:w="60"/>
              <w:right w:type="dxa" w:w="90"/>
            </w:tcMar>
            <w:vAlign w:val="top"/>
          </w:tcPr>
          <w:p>
            <w:r>
              <w:rPr>
                <w:rFonts w:ascii="Arial" w:cs="Arial" w:eastAsia="Arial" w:hAnsi="Arial"/>
                <w:b/>
                <w:bCs/>
                <w:sz w:val="17"/>
                <w:szCs w:val="17"/>
              </w:rPr>
              <w:t xml:space="preserve">Sharon</w:t>
            </w:r>
          </w:p>
        </w:tc>
        <w:tc>
          <w:tcPr>
            <w:tcW w:type="dxa" w:w="950"/>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r>
              <w:rPr>
                <w:rFonts w:ascii="Arial" w:cs="Arial" w:eastAsia="Arial" w:hAnsi="Arial"/>
                <w:sz w:val="17"/>
                <w:szCs w:val="17"/>
              </w:rPr>
              <w:t xml:space="preserve">p. 45</w:t>
            </w:r>
          </w:p>
          <w:p>
            <w:r>
              <w:rPr>
                <w:rFonts w:ascii="Arial" w:cs="Arial" w:eastAsia="Arial" w:hAnsi="Arial"/>
                <w:sz w:val="17"/>
                <w:szCs w:val="17"/>
              </w:rPr>
              <w:t xml:space="preserve">(footer: Page 41)</w:t>
            </w:r>
          </w:p>
        </w:tc>
        <w:tc>
          <w:tcPr>
            <w:tcW w:type="dxa" w:w="1450"/>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r>
              <w:rPr>
                <w:rFonts w:ascii="Arial" w:cs="Arial" w:eastAsia="Arial" w:hAnsi="Arial"/>
                <w:b/>
                <w:bCs/>
                <w:sz w:val="17"/>
                <w:szCs w:val="17"/>
              </w:rPr>
              <w:t xml:space="preserve">Sec. 15.4</w:t>
            </w:r>
          </w:p>
        </w:tc>
        <w:tc>
          <w:tcPr>
            <w:tcW w:type="dxa" w:w="2700"/>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r>
              <w:rPr>
                <w:rFonts w:ascii="Arial" w:cs="Arial" w:eastAsia="Arial" w:hAnsi="Arial"/>
                <w:sz w:val="17"/>
                <w:szCs w:val="17"/>
              </w:rPr>
              <w:t xml:space="preserve">Does the TOR of the DOE specify that they will also propose what fuel to use? Or will it prescribe a blend?</w:t>
            </w:r>
          </w:p>
        </w:tc>
        <w:tc>
          <w:tcPr>
            <w:tcW w:type="dxa" w:w="1250"/>
            <w:tcBorders>
              <w:top w:val="single" w:color="A6A6A6" w:sz="4"/>
              <w:left w:val="single" w:color="A6A6A6" w:sz="4"/>
              <w:bottom w:val="single" w:color="A6A6A6" w:sz="4"/>
              <w:right w:val="single" w:color="A6A6A6" w:sz="4"/>
            </w:tcBorders>
            <w:shd w:fill="DDEBF7" w:color="auto" w:val="clear"/>
            <w:tcMar>
              <w:top w:type="dxa" w:w="60"/>
              <w:left w:type="dxa" w:w="90"/>
              <w:bottom w:type="dxa" w:w="60"/>
              <w:right w:type="dxa" w:w="90"/>
            </w:tcMar>
            <w:vAlign w:val="top"/>
          </w:tcPr>
          <w:p>
            <w:r>
              <w:rPr>
                <w:rFonts w:ascii="Arial" w:cs="Arial" w:eastAsia="Arial" w:hAnsi="Arial"/>
                <w:b/>
                <w:bCs/>
                <w:sz w:val="17"/>
                <w:szCs w:val="17"/>
              </w:rPr>
              <w:t xml:space="preserve">Answered + edited</w:t>
            </w:r>
          </w:p>
        </w:tc>
        <w:tc>
          <w:tcPr>
            <w:tcW w:type="dxa" w:w="6000"/>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r>
              <w:rPr>
                <w:rFonts w:ascii="Arial" w:cs="Arial" w:eastAsia="Arial" w:hAnsi="Arial"/>
                <w:sz w:val="17"/>
                <w:szCs w:val="17"/>
              </w:rPr>
              <w:t xml:space="preserve">Answer: under TOR Sec. 3.1, each bidder declares its own Fuel Source Category (Indigenous, Blended, or Non-Indigenous). The DOE does not prescribe a fuel or a blend ratio, but it ranks bids by category first, Indigenous first (TOR Sec. 10.2.1). Replacement fuel is governed by TOR Sec. 3.3. Consistent with your comment on 14.4, Sec. 15.4 no longer requires a long-term LNG contract; the Winning Bidder submits its LNG supply or hedging arrangement for benchmarking.</w:t>
            </w:r>
          </w:p>
        </w:tc>
      </w:tr>
      <w:tr>
        <w:trPr>
          <w:cantSplit/>
        </w:trPr>
        <w:tc>
          <w:tcPr>
            <w:tcW w:type="dxa" w:w="400"/>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r>
              <w:rPr>
                <w:rFonts w:ascii="Arial" w:cs="Arial" w:eastAsia="Arial" w:hAnsi="Arial"/>
                <w:sz w:val="17"/>
                <w:szCs w:val="17"/>
              </w:rPr>
              <w:t xml:space="preserve">18</w:t>
            </w:r>
          </w:p>
        </w:tc>
        <w:tc>
          <w:tcPr>
            <w:tcW w:type="dxa" w:w="1150"/>
            <w:tcBorders>
              <w:top w:val="single" w:color="A6A6A6" w:sz="4"/>
              <w:left w:val="single" w:color="A6A6A6" w:sz="4"/>
              <w:bottom w:val="single" w:color="A6A6A6" w:sz="4"/>
              <w:right w:val="single" w:color="A6A6A6" w:sz="4"/>
            </w:tcBorders>
            <w:shd w:fill="FCE4D6" w:color="auto" w:val="clear"/>
            <w:tcMar>
              <w:top w:type="dxa" w:w="60"/>
              <w:left w:type="dxa" w:w="90"/>
              <w:bottom w:type="dxa" w:w="60"/>
              <w:right w:type="dxa" w:w="90"/>
            </w:tcMar>
            <w:vAlign w:val="top"/>
          </w:tcPr>
          <w:p>
            <w:r>
              <w:rPr>
                <w:rFonts w:ascii="Arial" w:cs="Arial" w:eastAsia="Arial" w:hAnsi="Arial"/>
                <w:b/>
                <w:bCs/>
                <w:sz w:val="17"/>
                <w:szCs w:val="17"/>
              </w:rPr>
              <w:t xml:space="preserve">Sharon</w:t>
            </w:r>
          </w:p>
        </w:tc>
        <w:tc>
          <w:tcPr>
            <w:tcW w:type="dxa" w:w="950"/>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r>
              <w:rPr>
                <w:rFonts w:ascii="Arial" w:cs="Arial" w:eastAsia="Arial" w:hAnsi="Arial"/>
                <w:sz w:val="17"/>
                <w:szCs w:val="17"/>
              </w:rPr>
              <w:t xml:space="preserve">p. 48</w:t>
            </w:r>
          </w:p>
          <w:p>
            <w:r>
              <w:rPr>
                <w:rFonts w:ascii="Arial" w:cs="Arial" w:eastAsia="Arial" w:hAnsi="Arial"/>
                <w:sz w:val="17"/>
                <w:szCs w:val="17"/>
              </w:rPr>
              <w:t xml:space="preserve">(footer: Page 44)</w:t>
            </w:r>
          </w:p>
        </w:tc>
        <w:tc>
          <w:tcPr>
            <w:tcW w:type="dxa" w:w="1450"/>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r>
              <w:rPr>
                <w:rFonts w:ascii="Arial" w:cs="Arial" w:eastAsia="Arial" w:hAnsi="Arial"/>
                <w:b/>
                <w:bCs/>
                <w:sz w:val="17"/>
                <w:szCs w:val="17"/>
              </w:rPr>
              <w:t xml:space="preserve">Sec. 17 – BOG</w:t>
            </w:r>
          </w:p>
        </w:tc>
        <w:tc>
          <w:tcPr>
            <w:tcW w:type="dxa" w:w="2700"/>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r>
              <w:rPr>
                <w:rFonts w:ascii="Arial" w:cs="Arial" w:eastAsia="Arial" w:hAnsi="Arial"/>
                <w:sz w:val="17"/>
                <w:szCs w:val="17"/>
              </w:rPr>
              <w:t xml:space="preserve">Can we remove this as an allowable pass through cost?</w:t>
            </w:r>
          </w:p>
        </w:tc>
        <w:tc>
          <w:tcPr>
            <w:tcW w:type="dxa" w:w="1250"/>
            <w:tcBorders>
              <w:top w:val="single" w:color="A6A6A6" w:sz="4"/>
              <w:left w:val="single" w:color="A6A6A6" w:sz="4"/>
              <w:bottom w:val="single" w:color="A6A6A6" w:sz="4"/>
              <w:right w:val="single" w:color="A6A6A6" w:sz="4"/>
            </w:tcBorders>
            <w:shd w:fill="E2EFDA" w:color="auto" w:val="clear"/>
            <w:tcMar>
              <w:top w:type="dxa" w:w="60"/>
              <w:left w:type="dxa" w:w="90"/>
              <w:bottom w:type="dxa" w:w="60"/>
              <w:right w:type="dxa" w:w="90"/>
            </w:tcMar>
            <w:vAlign w:val="top"/>
          </w:tcPr>
          <w:p>
            <w:r>
              <w:rPr>
                <w:rFonts w:ascii="Arial" w:cs="Arial" w:eastAsia="Arial" w:hAnsi="Arial"/>
                <w:b/>
                <w:bCs/>
                <w:sz w:val="17"/>
                <w:szCs w:val="17"/>
              </w:rPr>
              <w:t xml:space="preserve">Implemented</w:t>
            </w:r>
          </w:p>
        </w:tc>
        <w:tc>
          <w:tcPr>
            <w:tcW w:type="dxa" w:w="6000"/>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r>
              <w:rPr>
                <w:rFonts w:ascii="Arial" w:cs="Arial" w:eastAsia="Arial" w:hAnsi="Arial"/>
                <w:sz w:val="17"/>
                <w:szCs w:val="17"/>
              </w:rPr>
              <w:t xml:space="preserve">Implemented. BOG loss is removed as an allowable add-on cost: the BOG row in Table 2 (Sec. 17) and in the audit-procedures table is deleted, and BOG is taken out of the CLLC list in Sec. 8.6, the add-on caps in the Gas Price Benchmark Annex, and the audit lists. Audit item (h) now states that BOG losses are borne by the Winning Bidder. Note: BOG was never a pass-through; it was a capped item inside the CLLC in the GAT Price, so this lowers the GAT Price by the BOG allowance.</w:t>
            </w:r>
          </w:p>
        </w:tc>
      </w:tr>
      <w:tr>
        <w:trPr>
          <w:cantSplit/>
        </w:trPr>
        <w:tc>
          <w:tcPr>
            <w:tcW w:type="dxa" w:w="400"/>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r>
              <w:rPr>
                <w:rFonts w:ascii="Arial" w:cs="Arial" w:eastAsia="Arial" w:hAnsi="Arial"/>
                <w:sz w:val="17"/>
                <w:szCs w:val="17"/>
              </w:rPr>
              <w:t xml:space="preserve">19</w:t>
            </w:r>
          </w:p>
        </w:tc>
        <w:tc>
          <w:tcPr>
            <w:tcW w:type="dxa" w:w="1150"/>
            <w:tcBorders>
              <w:top w:val="single" w:color="A6A6A6" w:sz="4"/>
              <w:left w:val="single" w:color="A6A6A6" w:sz="4"/>
              <w:bottom w:val="single" w:color="A6A6A6" w:sz="4"/>
              <w:right w:val="single" w:color="A6A6A6" w:sz="4"/>
            </w:tcBorders>
            <w:shd w:fill="FCE4D6" w:color="auto" w:val="clear"/>
            <w:tcMar>
              <w:top w:type="dxa" w:w="60"/>
              <w:left w:type="dxa" w:w="90"/>
              <w:bottom w:type="dxa" w:w="60"/>
              <w:right w:type="dxa" w:w="90"/>
            </w:tcMar>
            <w:vAlign w:val="top"/>
          </w:tcPr>
          <w:p>
            <w:r>
              <w:rPr>
                <w:rFonts w:ascii="Arial" w:cs="Arial" w:eastAsia="Arial" w:hAnsi="Arial"/>
                <w:b/>
                <w:bCs/>
                <w:sz w:val="17"/>
                <w:szCs w:val="17"/>
              </w:rPr>
              <w:t xml:space="preserve">Sharon</w:t>
            </w:r>
          </w:p>
        </w:tc>
        <w:tc>
          <w:tcPr>
            <w:tcW w:type="dxa" w:w="950"/>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r>
              <w:rPr>
                <w:rFonts w:ascii="Arial" w:cs="Arial" w:eastAsia="Arial" w:hAnsi="Arial"/>
                <w:sz w:val="17"/>
                <w:szCs w:val="17"/>
              </w:rPr>
              <w:t xml:space="preserve">p. 49</w:t>
            </w:r>
          </w:p>
          <w:p>
            <w:r>
              <w:rPr>
                <w:rFonts w:ascii="Arial" w:cs="Arial" w:eastAsia="Arial" w:hAnsi="Arial"/>
                <w:sz w:val="17"/>
                <w:szCs w:val="17"/>
              </w:rPr>
              <w:t xml:space="preserve">(footer: Page 45)</w:t>
            </w:r>
          </w:p>
        </w:tc>
        <w:tc>
          <w:tcPr>
            <w:tcW w:type="dxa" w:w="1450"/>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r>
              <w:rPr>
                <w:rFonts w:ascii="Arial" w:cs="Arial" w:eastAsia="Arial" w:hAnsi="Arial"/>
                <w:b/>
                <w:bCs/>
                <w:sz w:val="17"/>
                <w:szCs w:val="17"/>
              </w:rPr>
              <w:t xml:space="preserve">Sec. 17 (above-cap costs)</w:t>
            </w:r>
          </w:p>
        </w:tc>
        <w:tc>
          <w:tcPr>
            <w:tcW w:type="dxa" w:w="2700"/>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r>
              <w:rPr>
                <w:rFonts w:ascii="Arial" w:cs="Arial" w:eastAsia="Arial" w:hAnsi="Arial"/>
                <w:sz w:val="17"/>
                <w:szCs w:val="17"/>
              </w:rPr>
              <w:t xml:space="preserve">How to ensure that they negotiated the CLLC at the least cost?</w:t>
            </w:r>
          </w:p>
        </w:tc>
        <w:tc>
          <w:tcPr>
            <w:tcW w:type="dxa" w:w="1250"/>
            <w:tcBorders>
              <w:top w:val="single" w:color="A6A6A6" w:sz="4"/>
              <w:left w:val="single" w:color="A6A6A6" w:sz="4"/>
              <w:bottom w:val="single" w:color="A6A6A6" w:sz="4"/>
              <w:right w:val="single" w:color="A6A6A6" w:sz="4"/>
            </w:tcBorders>
            <w:shd w:fill="F2F2F2" w:color="auto" w:val="clear"/>
            <w:tcMar>
              <w:top w:type="dxa" w:w="60"/>
              <w:left w:type="dxa" w:w="90"/>
              <w:bottom w:type="dxa" w:w="60"/>
              <w:right w:type="dxa" w:w="90"/>
            </w:tcMar>
            <w:vAlign w:val="top"/>
          </w:tcPr>
          <w:p>
            <w:r>
              <w:rPr>
                <w:rFonts w:ascii="Arial" w:cs="Arial" w:eastAsia="Arial" w:hAnsi="Arial"/>
                <w:b/>
                <w:bCs/>
                <w:sz w:val="17"/>
                <w:szCs w:val="17"/>
              </w:rPr>
              <w:t xml:space="preserve">Answered – no change</w:t>
            </w:r>
          </w:p>
        </w:tc>
        <w:tc>
          <w:tcPr>
            <w:tcW w:type="dxa" w:w="6000"/>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r>
              <w:rPr>
                <w:rFonts w:ascii="Arial" w:cs="Arial" w:eastAsia="Arial" w:hAnsi="Arial"/>
                <w:sz w:val="17"/>
                <w:szCs w:val="17"/>
              </w:rPr>
              <w:t xml:space="preserve">Answer: three safeguards are already in the Rules. (1) Each add-on cost has a cap (Sec. 17); anything above the cap is borne by the Winning Bidder. (2) Above-cap costs need prior Commission approval, judged on a least-cost criterion with documented third-party quotations, executed terminal and pipeline agreements, and comparison against the default cap (this paragraph). (3) Actual logistics costs are audited (Sec. 25) and reconciled annually against the CLLC in the bidder's GAT Price, and sustained excess feeds into the next round's caps. Because the CLLC is fixed in the bid, the bidder, not the consumer, keeps any saving or absorbs any overrun. No text change made.</w:t>
            </w:r>
          </w:p>
        </w:tc>
      </w:tr>
      <w:tr>
        <w:trPr>
          <w:cantSplit/>
        </w:trPr>
        <w:tc>
          <w:tcPr>
            <w:tcW w:type="dxa" w:w="400"/>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r>
              <w:rPr>
                <w:rFonts w:ascii="Arial" w:cs="Arial" w:eastAsia="Arial" w:hAnsi="Arial"/>
                <w:sz w:val="17"/>
                <w:szCs w:val="17"/>
              </w:rPr>
              <w:t xml:space="preserve">20</w:t>
            </w:r>
          </w:p>
        </w:tc>
        <w:tc>
          <w:tcPr>
            <w:tcW w:type="dxa" w:w="1150"/>
            <w:tcBorders>
              <w:top w:val="single" w:color="A6A6A6" w:sz="4"/>
              <w:left w:val="single" w:color="A6A6A6" w:sz="4"/>
              <w:bottom w:val="single" w:color="A6A6A6" w:sz="4"/>
              <w:right w:val="single" w:color="A6A6A6" w:sz="4"/>
            </w:tcBorders>
            <w:shd w:fill="FCE4D6" w:color="auto" w:val="clear"/>
            <w:tcMar>
              <w:top w:type="dxa" w:w="60"/>
              <w:left w:type="dxa" w:w="90"/>
              <w:bottom w:type="dxa" w:w="60"/>
              <w:right w:type="dxa" w:w="90"/>
            </w:tcMar>
            <w:vAlign w:val="top"/>
          </w:tcPr>
          <w:p>
            <w:r>
              <w:rPr>
                <w:rFonts w:ascii="Arial" w:cs="Arial" w:eastAsia="Arial" w:hAnsi="Arial"/>
                <w:b/>
                <w:bCs/>
                <w:sz w:val="17"/>
                <w:szCs w:val="17"/>
              </w:rPr>
              <w:t xml:space="preserve">Sharon</w:t>
            </w:r>
          </w:p>
        </w:tc>
        <w:tc>
          <w:tcPr>
            <w:tcW w:type="dxa" w:w="950"/>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r>
              <w:rPr>
                <w:rFonts w:ascii="Arial" w:cs="Arial" w:eastAsia="Arial" w:hAnsi="Arial"/>
                <w:sz w:val="17"/>
                <w:szCs w:val="17"/>
              </w:rPr>
              <w:t xml:space="preserve">p. 52</w:t>
            </w:r>
          </w:p>
          <w:p>
            <w:r>
              <w:rPr>
                <w:rFonts w:ascii="Arial" w:cs="Arial" w:eastAsia="Arial" w:hAnsi="Arial"/>
                <w:sz w:val="17"/>
                <w:szCs w:val="17"/>
              </w:rPr>
              <w:t xml:space="preserve">(footer: Page 48)</w:t>
            </w:r>
          </w:p>
        </w:tc>
        <w:tc>
          <w:tcPr>
            <w:tcW w:type="dxa" w:w="1450"/>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r>
              <w:rPr>
                <w:rFonts w:ascii="Arial" w:cs="Arial" w:eastAsia="Arial" w:hAnsi="Arial"/>
                <w:b/>
                <w:bCs/>
                <w:sz w:val="17"/>
                <w:szCs w:val="17"/>
              </w:rPr>
              <w:t xml:space="preserve">Sec. 21.1</w:t>
            </w:r>
          </w:p>
        </w:tc>
        <w:tc>
          <w:tcPr>
            <w:tcW w:type="dxa" w:w="2700"/>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r>
              <w:rPr>
                <w:rFonts w:ascii="Arial" w:cs="Arial" w:eastAsia="Arial" w:hAnsi="Arial"/>
                <w:sz w:val="17"/>
                <w:szCs w:val="17"/>
              </w:rPr>
              <w:t xml:space="preserve">Is there any restriction in the TOR on replacement fuel. If not, okay with me.</w:t>
            </w:r>
          </w:p>
        </w:tc>
        <w:tc>
          <w:tcPr>
            <w:tcW w:type="dxa" w:w="1250"/>
            <w:tcBorders>
              <w:top w:val="single" w:color="A6A6A6" w:sz="4"/>
              <w:left w:val="single" w:color="A6A6A6" w:sz="4"/>
              <w:bottom w:val="single" w:color="A6A6A6" w:sz="4"/>
              <w:right w:val="single" w:color="A6A6A6" w:sz="4"/>
            </w:tcBorders>
            <w:shd w:fill="F2F2F2" w:color="auto" w:val="clear"/>
            <w:tcMar>
              <w:top w:type="dxa" w:w="60"/>
              <w:left w:type="dxa" w:w="90"/>
              <w:bottom w:type="dxa" w:w="60"/>
              <w:right w:type="dxa" w:w="90"/>
            </w:tcMar>
            <w:vAlign w:val="top"/>
          </w:tcPr>
          <w:p>
            <w:r>
              <w:rPr>
                <w:rFonts w:ascii="Arial" w:cs="Arial" w:eastAsia="Arial" w:hAnsi="Arial"/>
                <w:b/>
                <w:bCs/>
                <w:sz w:val="17"/>
                <w:szCs w:val="17"/>
              </w:rPr>
              <w:t xml:space="preserve">Answered – no change</w:t>
            </w:r>
          </w:p>
        </w:tc>
        <w:tc>
          <w:tcPr>
            <w:tcW w:type="dxa" w:w="6000"/>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r>
              <w:rPr>
                <w:rFonts w:ascii="Arial" w:cs="Arial" w:eastAsia="Arial" w:hAnsi="Arial"/>
                <w:sz w:val="17"/>
                <w:szCs w:val="17"/>
              </w:rPr>
              <w:t xml:space="preserve">Answer: yes, the TOR restricts it (TOR Sec. 3.3). Replacement fuel is allowed only as permitted by the NGAC, with documentary proof that the declared fuel is unavailable, at least 3 months' notice (or immediate notice in emergencies), and cost pass-through at the lower of the declared fuel cost and the actual replacement-fuel cost, unless caused by verified force majeure. Sec. 21.1 follows these conditions. No change made.</w:t>
            </w:r>
          </w:p>
        </w:tc>
      </w:tr>
      <w:tr>
        <w:trPr>
          <w:cantSplit/>
        </w:trPr>
        <w:tc>
          <w:tcPr>
            <w:tcW w:type="dxa" w:w="400"/>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r>
              <w:rPr>
                <w:rFonts w:ascii="Arial" w:cs="Arial" w:eastAsia="Arial" w:hAnsi="Arial"/>
                <w:sz w:val="17"/>
                <w:szCs w:val="17"/>
              </w:rPr>
              <w:t xml:space="preserve">21</w:t>
            </w:r>
          </w:p>
        </w:tc>
        <w:tc>
          <w:tcPr>
            <w:tcW w:type="dxa" w:w="1150"/>
            <w:tcBorders>
              <w:top w:val="single" w:color="A6A6A6" w:sz="4"/>
              <w:left w:val="single" w:color="A6A6A6" w:sz="4"/>
              <w:bottom w:val="single" w:color="A6A6A6" w:sz="4"/>
              <w:right w:val="single" w:color="A6A6A6" w:sz="4"/>
            </w:tcBorders>
            <w:shd w:fill="FCE4D6" w:color="auto" w:val="clear"/>
            <w:tcMar>
              <w:top w:type="dxa" w:w="60"/>
              <w:left w:type="dxa" w:w="90"/>
              <w:bottom w:type="dxa" w:w="60"/>
              <w:right w:type="dxa" w:w="90"/>
            </w:tcMar>
            <w:vAlign w:val="top"/>
          </w:tcPr>
          <w:p>
            <w:r>
              <w:rPr>
                <w:rFonts w:ascii="Arial" w:cs="Arial" w:eastAsia="Arial" w:hAnsi="Arial"/>
                <w:b/>
                <w:bCs/>
                <w:sz w:val="17"/>
                <w:szCs w:val="17"/>
              </w:rPr>
              <w:t xml:space="preserve">Sharon</w:t>
            </w:r>
          </w:p>
        </w:tc>
        <w:tc>
          <w:tcPr>
            <w:tcW w:type="dxa" w:w="950"/>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r>
              <w:rPr>
                <w:rFonts w:ascii="Arial" w:cs="Arial" w:eastAsia="Arial" w:hAnsi="Arial"/>
                <w:sz w:val="17"/>
                <w:szCs w:val="17"/>
              </w:rPr>
              <w:t xml:space="preserve">p. 59</w:t>
            </w:r>
          </w:p>
          <w:p>
            <w:r>
              <w:rPr>
                <w:rFonts w:ascii="Arial" w:cs="Arial" w:eastAsia="Arial" w:hAnsi="Arial"/>
                <w:sz w:val="17"/>
                <w:szCs w:val="17"/>
              </w:rPr>
              <w:t xml:space="preserve">(footer: Page 55)</w:t>
            </w:r>
          </w:p>
        </w:tc>
        <w:tc>
          <w:tcPr>
            <w:tcW w:type="dxa" w:w="1450"/>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r>
              <w:rPr>
                <w:rFonts w:ascii="Arial" w:cs="Arial" w:eastAsia="Arial" w:hAnsi="Arial"/>
                <w:b/>
                <w:bCs/>
                <w:sz w:val="17"/>
                <w:szCs w:val="17"/>
              </w:rPr>
              <w:t xml:space="preserve">Sec. 27</w:t>
            </w:r>
          </w:p>
        </w:tc>
        <w:tc>
          <w:tcPr>
            <w:tcW w:type="dxa" w:w="2700"/>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r>
              <w:rPr>
                <w:rFonts w:ascii="Arial" w:cs="Arial" w:eastAsia="Arial" w:hAnsi="Arial"/>
                <w:sz w:val="17"/>
                <w:szCs w:val="17"/>
              </w:rPr>
              <w:t xml:space="preserve">effectivity of DOE Circular or the ERC Rules?</w:t>
            </w:r>
          </w:p>
        </w:tc>
        <w:tc>
          <w:tcPr>
            <w:tcW w:type="dxa" w:w="1250"/>
            <w:tcBorders>
              <w:top w:val="single" w:color="A6A6A6" w:sz="4"/>
              <w:left w:val="single" w:color="A6A6A6" w:sz="4"/>
              <w:bottom w:val="single" w:color="A6A6A6" w:sz="4"/>
              <w:right w:val="single" w:color="A6A6A6" w:sz="4"/>
            </w:tcBorders>
            <w:shd w:fill="DDEBF7" w:color="auto" w:val="clear"/>
            <w:tcMar>
              <w:top w:type="dxa" w:w="60"/>
              <w:left w:type="dxa" w:w="90"/>
              <w:bottom w:type="dxa" w:w="60"/>
              <w:right w:type="dxa" w:w="90"/>
            </w:tcMar>
            <w:vAlign w:val="top"/>
          </w:tcPr>
          <w:p>
            <w:r>
              <w:rPr>
                <w:rFonts w:ascii="Arial" w:cs="Arial" w:eastAsia="Arial" w:hAnsi="Arial"/>
                <w:b/>
                <w:bCs/>
                <w:sz w:val="17"/>
                <w:szCs w:val="17"/>
              </w:rPr>
              <w:t xml:space="preserve">Answered + edited</w:t>
            </w:r>
          </w:p>
        </w:tc>
        <w:tc>
          <w:tcPr>
            <w:tcW w:type="dxa" w:w="6000"/>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r>
              <w:rPr>
                <w:rFonts w:ascii="Arial" w:cs="Arial" w:eastAsia="Arial" w:hAnsi="Arial"/>
                <w:sz w:val="17"/>
                <w:szCs w:val="17"/>
              </w:rPr>
              <w:t xml:space="preserve">Answer: the DOE Circular. Sec. 27 mirrors Sec. 19.2.1 of DC2026-06-0013, which counts the 30 days from the Circular's effectivity; the sentence now says so. Since that period may already have run before these Rules take effect, I added a proviso: if the MO has already submitted a Settlement Mechanism, it must submit conforming amendments within 30 days from the effectivity of these Rules.</w:t>
            </w:r>
          </w:p>
        </w:tc>
      </w:tr>
      <w:tr>
        <w:trPr>
          <w:cantSplit/>
        </w:trPr>
        <w:tc>
          <w:tcPr>
            <w:tcW w:type="dxa" w:w="400"/>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r>
              <w:rPr>
                <w:rFonts w:ascii="Arial" w:cs="Arial" w:eastAsia="Arial" w:hAnsi="Arial"/>
                <w:sz w:val="17"/>
                <w:szCs w:val="17"/>
              </w:rPr>
              <w:t xml:space="preserve">22</w:t>
            </w:r>
          </w:p>
        </w:tc>
        <w:tc>
          <w:tcPr>
            <w:tcW w:type="dxa" w:w="1150"/>
            <w:tcBorders>
              <w:top w:val="single" w:color="A6A6A6" w:sz="4"/>
              <w:left w:val="single" w:color="A6A6A6" w:sz="4"/>
              <w:bottom w:val="single" w:color="A6A6A6" w:sz="4"/>
              <w:right w:val="single" w:color="A6A6A6" w:sz="4"/>
            </w:tcBorders>
            <w:shd w:fill="FCE4D6" w:color="auto" w:val="clear"/>
            <w:tcMar>
              <w:top w:type="dxa" w:w="60"/>
              <w:left w:type="dxa" w:w="90"/>
              <w:bottom w:type="dxa" w:w="60"/>
              <w:right w:type="dxa" w:w="90"/>
            </w:tcMar>
            <w:vAlign w:val="top"/>
          </w:tcPr>
          <w:p>
            <w:r>
              <w:rPr>
                <w:rFonts w:ascii="Arial" w:cs="Arial" w:eastAsia="Arial" w:hAnsi="Arial"/>
                <w:b/>
                <w:bCs/>
                <w:sz w:val="17"/>
                <w:szCs w:val="17"/>
              </w:rPr>
              <w:t xml:space="preserve">Sharon</w:t>
            </w:r>
          </w:p>
        </w:tc>
        <w:tc>
          <w:tcPr>
            <w:tcW w:type="dxa" w:w="950"/>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r>
              <w:rPr>
                <w:rFonts w:ascii="Arial" w:cs="Arial" w:eastAsia="Arial" w:hAnsi="Arial"/>
                <w:sz w:val="17"/>
                <w:szCs w:val="17"/>
              </w:rPr>
              <w:t xml:space="preserve">p. 61</w:t>
            </w:r>
          </w:p>
          <w:p>
            <w:r>
              <w:rPr>
                <w:rFonts w:ascii="Arial" w:cs="Arial" w:eastAsia="Arial" w:hAnsi="Arial"/>
                <w:sz w:val="17"/>
                <w:szCs w:val="17"/>
              </w:rPr>
              <w:t xml:space="preserve">(footer: Page 57)</w:t>
            </w:r>
          </w:p>
        </w:tc>
        <w:tc>
          <w:tcPr>
            <w:tcW w:type="dxa" w:w="1450"/>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r>
              <w:rPr>
                <w:rFonts w:ascii="Arial" w:cs="Arial" w:eastAsia="Arial" w:hAnsi="Arial"/>
                <w:b/>
                <w:bCs/>
                <w:sz w:val="17"/>
                <w:szCs w:val="17"/>
              </w:rPr>
              <w:t xml:space="preserve">Sec. 28(k)</w:t>
            </w:r>
          </w:p>
        </w:tc>
        <w:tc>
          <w:tcPr>
            <w:tcW w:type="dxa" w:w="2700"/>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r>
              <w:rPr>
                <w:rFonts w:ascii="Arial" w:cs="Arial" w:eastAsia="Arial" w:hAnsi="Arial"/>
                <w:sz w:val="17"/>
                <w:szCs w:val="17"/>
              </w:rPr>
              <w:t xml:space="preserve">Do we include this here? Or just reference it to any BIR Ruling?</w:t>
            </w:r>
          </w:p>
        </w:tc>
        <w:tc>
          <w:tcPr>
            <w:tcW w:type="dxa" w:w="1250"/>
            <w:tcBorders>
              <w:top w:val="single" w:color="A6A6A6" w:sz="4"/>
              <w:left w:val="single" w:color="A6A6A6" w:sz="4"/>
              <w:bottom w:val="single" w:color="A6A6A6" w:sz="4"/>
              <w:right w:val="single" w:color="A6A6A6" w:sz="4"/>
            </w:tcBorders>
            <w:shd w:fill="DDEBF7" w:color="auto" w:val="clear"/>
            <w:tcMar>
              <w:top w:type="dxa" w:w="60"/>
              <w:left w:type="dxa" w:w="90"/>
              <w:bottom w:type="dxa" w:w="60"/>
              <w:right w:type="dxa" w:w="90"/>
            </w:tcMar>
            <w:vAlign w:val="top"/>
          </w:tcPr>
          <w:p>
            <w:r>
              <w:rPr>
                <w:rFonts w:ascii="Arial" w:cs="Arial" w:eastAsia="Arial" w:hAnsi="Arial"/>
                <w:b/>
                <w:bCs/>
                <w:sz w:val="17"/>
                <w:szCs w:val="17"/>
              </w:rPr>
              <w:t xml:space="preserve">Answered + edited</w:t>
            </w:r>
          </w:p>
        </w:tc>
        <w:tc>
          <w:tcPr>
            <w:tcW w:type="dxa" w:w="6000"/>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r>
              <w:rPr>
                <w:rFonts w:ascii="Arial" w:cs="Arial" w:eastAsia="Arial" w:hAnsi="Arial"/>
                <w:sz w:val="17"/>
                <w:szCs w:val="17"/>
              </w:rPr>
              <w:t xml:space="preserve">Answer: a reference to the BIR is enough. (k) now refers to the applicable BIR revenue regulations and rulings instead of a specific Revenue Regulation number. I kept the proviso that the MMSA/ETA comparison is made before withholding and that nothing is grossed up, because that affects the settlement amounts and is within our scope.</w:t>
            </w:r>
          </w:p>
        </w:tc>
      </w:tr>
      <w:tr>
        <w:trPr>
          <w:cantSplit/>
        </w:trPr>
        <w:tc>
          <w:tcPr>
            <w:tcW w:type="dxa" w:w="400"/>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r>
              <w:rPr>
                <w:rFonts w:ascii="Arial" w:cs="Arial" w:eastAsia="Arial" w:hAnsi="Arial"/>
                <w:sz w:val="17"/>
                <w:szCs w:val="17"/>
              </w:rPr>
              <w:t xml:space="preserve">23</w:t>
            </w:r>
          </w:p>
        </w:tc>
        <w:tc>
          <w:tcPr>
            <w:tcW w:type="dxa" w:w="1150"/>
            <w:tcBorders>
              <w:top w:val="single" w:color="A6A6A6" w:sz="4"/>
              <w:left w:val="single" w:color="A6A6A6" w:sz="4"/>
              <w:bottom w:val="single" w:color="A6A6A6" w:sz="4"/>
              <w:right w:val="single" w:color="A6A6A6" w:sz="4"/>
            </w:tcBorders>
            <w:shd w:fill="E4DFEC" w:color="auto" w:val="clear"/>
            <w:tcMar>
              <w:top w:type="dxa" w:w="60"/>
              <w:left w:type="dxa" w:w="90"/>
              <w:bottom w:type="dxa" w:w="60"/>
              <w:right w:type="dxa" w:w="90"/>
            </w:tcMar>
            <w:vAlign w:val="top"/>
          </w:tcPr>
          <w:p>
            <w:r>
              <w:rPr>
                <w:rFonts w:ascii="Arial" w:cs="Arial" w:eastAsia="Arial" w:hAnsi="Arial"/>
                <w:b/>
                <w:bCs/>
                <w:sz w:val="17"/>
                <w:szCs w:val="17"/>
              </w:rPr>
              <w:t xml:space="preserve">Antonette</w:t>
            </w:r>
          </w:p>
        </w:tc>
        <w:tc>
          <w:tcPr>
            <w:tcW w:type="dxa" w:w="950"/>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r>
              <w:rPr>
                <w:rFonts w:ascii="Arial" w:cs="Arial" w:eastAsia="Arial" w:hAnsi="Arial"/>
                <w:sz w:val="17"/>
                <w:szCs w:val="17"/>
              </w:rPr>
              <w:t xml:space="preserve">p. 62</w:t>
            </w:r>
          </w:p>
          <w:p>
            <w:r>
              <w:rPr>
                <w:rFonts w:ascii="Arial" w:cs="Arial" w:eastAsia="Arial" w:hAnsi="Arial"/>
                <w:sz w:val="17"/>
                <w:szCs w:val="17"/>
              </w:rPr>
              <w:t xml:space="preserve">(footer: Page 58)</w:t>
            </w:r>
          </w:p>
        </w:tc>
        <w:tc>
          <w:tcPr>
            <w:tcW w:type="dxa" w:w="1450"/>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r>
              <w:rPr>
                <w:rFonts w:ascii="Arial" w:cs="Arial" w:eastAsia="Arial" w:hAnsi="Arial"/>
                <w:b/>
                <w:bCs/>
                <w:sz w:val="17"/>
                <w:szCs w:val="17"/>
              </w:rPr>
              <w:t xml:space="preserve">Sec. 29 (ETA)</w:t>
            </w:r>
          </w:p>
        </w:tc>
        <w:tc>
          <w:tcPr>
            <w:tcW w:type="dxa" w:w="2700"/>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r>
              <w:rPr>
                <w:rFonts w:ascii="Arial" w:cs="Arial" w:eastAsia="Arial" w:hAnsi="Arial"/>
                <w:sz w:val="17"/>
                <w:szCs w:val="17"/>
              </w:rPr>
              <w:t xml:space="preserve">WESM ETA covers all WESM transactions (sales and purchases). Suggest to define ETA for Mid-Merit windows interval only.</w:t>
            </w:r>
          </w:p>
        </w:tc>
        <w:tc>
          <w:tcPr>
            <w:tcW w:type="dxa" w:w="1250"/>
            <w:tcBorders>
              <w:top w:val="single" w:color="A6A6A6" w:sz="4"/>
              <w:left w:val="single" w:color="A6A6A6" w:sz="4"/>
              <w:bottom w:val="single" w:color="A6A6A6" w:sz="4"/>
              <w:right w:val="single" w:color="A6A6A6" w:sz="4"/>
            </w:tcBorders>
            <w:shd w:fill="FFF2CC" w:color="auto" w:val="clear"/>
            <w:tcMar>
              <w:top w:type="dxa" w:w="60"/>
              <w:left w:type="dxa" w:w="90"/>
              <w:bottom w:type="dxa" w:w="60"/>
              <w:right w:type="dxa" w:w="90"/>
            </w:tcMar>
            <w:vAlign w:val="top"/>
          </w:tcPr>
          <w:p>
            <w:r>
              <w:rPr>
                <w:rFonts w:ascii="Arial" w:cs="Arial" w:eastAsia="Arial" w:hAnsi="Arial"/>
                <w:b/>
                <w:bCs/>
                <w:sz w:val="17"/>
                <w:szCs w:val="17"/>
              </w:rPr>
              <w:t xml:space="preserve">Proposed – not yet in text</w:t>
            </w:r>
          </w:p>
        </w:tc>
        <w:tc>
          <w:tcPr>
            <w:tcW w:type="dxa" w:w="6000"/>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r>
              <w:rPr>
                <w:rFonts w:ascii="Arial" w:cs="Arial" w:eastAsia="Arial" w:hAnsi="Arial"/>
                <w:sz w:val="17"/>
                <w:szCs w:val="17"/>
              </w:rPr>
              <w:t xml:space="preserve">Thank you, Antonette. Agreed: the ETA as defined in Sec. 4 covers all WESM transactions, while the MMSA covers only Energy Delivered in the Mid-Merit Operating Period. Proposed fix: define ETA(g) in Sec. 29 as the WESM settlement amount for trading intervals within the Mid-Merit Operating Period only. Not yet reflected in the text; I will make the change once Ma'am Sharon confirms.</w:t>
            </w:r>
          </w:p>
        </w:tc>
      </w:tr>
      <w:tr>
        <w:trPr>
          <w:cantSplit/>
        </w:trPr>
        <w:tc>
          <w:tcPr>
            <w:tcW w:type="dxa" w:w="400"/>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r>
              <w:rPr>
                <w:rFonts w:ascii="Arial" w:cs="Arial" w:eastAsia="Arial" w:hAnsi="Arial"/>
                <w:sz w:val="17"/>
                <w:szCs w:val="17"/>
              </w:rPr>
              <w:t xml:space="preserve">24</w:t>
            </w:r>
          </w:p>
        </w:tc>
        <w:tc>
          <w:tcPr>
            <w:tcW w:type="dxa" w:w="1150"/>
            <w:tcBorders>
              <w:top w:val="single" w:color="A6A6A6" w:sz="4"/>
              <w:left w:val="single" w:color="A6A6A6" w:sz="4"/>
              <w:bottom w:val="single" w:color="A6A6A6" w:sz="4"/>
              <w:right w:val="single" w:color="A6A6A6" w:sz="4"/>
            </w:tcBorders>
            <w:shd w:fill="E4DFEC" w:color="auto" w:val="clear"/>
            <w:tcMar>
              <w:top w:type="dxa" w:w="60"/>
              <w:left w:type="dxa" w:w="90"/>
              <w:bottom w:type="dxa" w:w="60"/>
              <w:right w:type="dxa" w:w="90"/>
            </w:tcMar>
            <w:vAlign w:val="top"/>
          </w:tcPr>
          <w:p>
            <w:r>
              <w:rPr>
                <w:rFonts w:ascii="Arial" w:cs="Arial" w:eastAsia="Arial" w:hAnsi="Arial"/>
                <w:b/>
                <w:bCs/>
                <w:sz w:val="17"/>
                <w:szCs w:val="17"/>
              </w:rPr>
              <w:t xml:space="preserve">Antonette</w:t>
            </w:r>
          </w:p>
        </w:tc>
        <w:tc>
          <w:tcPr>
            <w:tcW w:type="dxa" w:w="950"/>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r>
              <w:rPr>
                <w:rFonts w:ascii="Arial" w:cs="Arial" w:eastAsia="Arial" w:hAnsi="Arial"/>
                <w:sz w:val="17"/>
                <w:szCs w:val="17"/>
              </w:rPr>
              <w:t xml:space="preserve">p. 62</w:t>
            </w:r>
          </w:p>
          <w:p>
            <w:r>
              <w:rPr>
                <w:rFonts w:ascii="Arial" w:cs="Arial" w:eastAsia="Arial" w:hAnsi="Arial"/>
                <w:sz w:val="17"/>
                <w:szCs w:val="17"/>
              </w:rPr>
              <w:t xml:space="preserve">(footer: Page 58)</w:t>
            </w:r>
          </w:p>
        </w:tc>
        <w:tc>
          <w:tcPr>
            <w:tcW w:type="dxa" w:w="1450"/>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r>
              <w:rPr>
                <w:rFonts w:ascii="Arial" w:cs="Arial" w:eastAsia="Arial" w:hAnsi="Arial"/>
                <w:b/>
                <w:bCs/>
                <w:sz w:val="17"/>
                <w:szCs w:val="17"/>
              </w:rPr>
              <w:t xml:space="preserve">Sec. 29(i)</w:t>
            </w:r>
          </w:p>
        </w:tc>
        <w:tc>
          <w:tcPr>
            <w:tcW w:type="dxa" w:w="2700"/>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r>
              <w:rPr>
                <w:rFonts w:ascii="Arial" w:cs="Arial" w:eastAsia="Arial" w:hAnsi="Arial"/>
                <w:sz w:val="17"/>
                <w:szCs w:val="17"/>
              </w:rPr>
              <w:t xml:space="preserve">Sec. 29(i): 'paid based on the Fuel Cost alone' does not say who pays or how. Suggest to specify the formula and whether the amount is collected from WESM participants (customers) through the same GESQ allocation as Sec. 30 or settled otherwise. For consideration po.</w:t>
            </w:r>
          </w:p>
        </w:tc>
        <w:tc>
          <w:tcPr>
            <w:tcW w:type="dxa" w:w="1250"/>
            <w:tcBorders>
              <w:top w:val="single" w:color="A6A6A6" w:sz="4"/>
              <w:left w:val="single" w:color="A6A6A6" w:sz="4"/>
              <w:bottom w:val="single" w:color="A6A6A6" w:sz="4"/>
              <w:right w:val="single" w:color="A6A6A6" w:sz="4"/>
            </w:tcBorders>
            <w:shd w:fill="FFF2CC" w:color="auto" w:val="clear"/>
            <w:tcMar>
              <w:top w:type="dxa" w:w="60"/>
              <w:left w:type="dxa" w:w="90"/>
              <w:bottom w:type="dxa" w:w="60"/>
              <w:right w:type="dxa" w:w="90"/>
            </w:tcMar>
            <w:vAlign w:val="top"/>
          </w:tcPr>
          <w:p>
            <w:r>
              <w:rPr>
                <w:rFonts w:ascii="Arial" w:cs="Arial" w:eastAsia="Arial" w:hAnsi="Arial"/>
                <w:b/>
                <w:bCs/>
                <w:sz w:val="17"/>
                <w:szCs w:val="17"/>
              </w:rPr>
              <w:t xml:space="preserve">Proposed – not yet in text</w:t>
            </w:r>
          </w:p>
        </w:tc>
        <w:tc>
          <w:tcPr>
            <w:tcW w:type="dxa" w:w="6000"/>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r>
              <w:rPr>
                <w:rFonts w:ascii="Arial" w:cs="Arial" w:eastAsia="Arial" w:hAnsi="Arial"/>
                <w:sz w:val="17"/>
                <w:szCs w:val="17"/>
              </w:rPr>
              <w:t xml:space="preserve">Thank you. Agreed, 29(i) does not say who pays or how. Proposed: energy delivered in the Non-Mid-Merit Operating Period, up to the equivalent energy offtake, is paid at FC(g) x Energy Delivered, collected from and allocated to WESM customers through the MO using the same GESQ pro-rating as Sec. 30, net of the WESM ETA for those intervals. Not yet reflected in the text; for confirmation.</w:t>
            </w:r>
          </w:p>
        </w:tc>
      </w:tr>
      <w:tr>
        <w:trPr>
          <w:cantSplit/>
        </w:trPr>
        <w:tc>
          <w:tcPr>
            <w:tcW w:type="dxa" w:w="400"/>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r>
              <w:rPr>
                <w:rFonts w:ascii="Arial" w:cs="Arial" w:eastAsia="Arial" w:hAnsi="Arial"/>
                <w:sz w:val="17"/>
                <w:szCs w:val="17"/>
              </w:rPr>
              <w:t xml:space="preserve">25</w:t>
            </w:r>
          </w:p>
        </w:tc>
        <w:tc>
          <w:tcPr>
            <w:tcW w:type="dxa" w:w="1150"/>
            <w:tcBorders>
              <w:top w:val="single" w:color="A6A6A6" w:sz="4"/>
              <w:left w:val="single" w:color="A6A6A6" w:sz="4"/>
              <w:bottom w:val="single" w:color="A6A6A6" w:sz="4"/>
              <w:right w:val="single" w:color="A6A6A6" w:sz="4"/>
            </w:tcBorders>
            <w:shd w:fill="E4DFEC" w:color="auto" w:val="clear"/>
            <w:tcMar>
              <w:top w:type="dxa" w:w="60"/>
              <w:left w:type="dxa" w:w="90"/>
              <w:bottom w:type="dxa" w:w="60"/>
              <w:right w:type="dxa" w:w="90"/>
            </w:tcMar>
            <w:vAlign w:val="top"/>
          </w:tcPr>
          <w:p>
            <w:r>
              <w:rPr>
                <w:rFonts w:ascii="Arial" w:cs="Arial" w:eastAsia="Arial" w:hAnsi="Arial"/>
                <w:b/>
                <w:bCs/>
                <w:sz w:val="17"/>
                <w:szCs w:val="17"/>
              </w:rPr>
              <w:t xml:space="preserve">Antonette</w:t>
            </w:r>
          </w:p>
        </w:tc>
        <w:tc>
          <w:tcPr>
            <w:tcW w:type="dxa" w:w="950"/>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r>
              <w:rPr>
                <w:rFonts w:ascii="Arial" w:cs="Arial" w:eastAsia="Arial" w:hAnsi="Arial"/>
                <w:sz w:val="17"/>
                <w:szCs w:val="17"/>
              </w:rPr>
              <w:t xml:space="preserve">p. 63</w:t>
            </w:r>
          </w:p>
          <w:p>
            <w:r>
              <w:rPr>
                <w:rFonts w:ascii="Arial" w:cs="Arial" w:eastAsia="Arial" w:hAnsi="Arial"/>
                <w:sz w:val="17"/>
                <w:szCs w:val="17"/>
              </w:rPr>
              <w:t xml:space="preserve">(footer: Page 59)</w:t>
            </w:r>
          </w:p>
        </w:tc>
        <w:tc>
          <w:tcPr>
            <w:tcW w:type="dxa" w:w="1450"/>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r>
              <w:rPr>
                <w:rFonts w:ascii="Arial" w:cs="Arial" w:eastAsia="Arial" w:hAnsi="Arial"/>
                <w:b/>
                <w:bCs/>
                <w:sz w:val="17"/>
                <w:szCs w:val="17"/>
              </w:rPr>
              <w:t xml:space="preserve">Sec. 30 (GESQ total)</w:t>
            </w:r>
          </w:p>
        </w:tc>
        <w:tc>
          <w:tcPr>
            <w:tcW w:type="dxa" w:w="2700"/>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r>
              <w:rPr>
                <w:rFonts w:ascii="Arial" w:cs="Arial" w:eastAsia="Arial" w:hAnsi="Arial"/>
                <w:sz w:val="17"/>
                <w:szCs w:val="17"/>
              </w:rPr>
              <w:t xml:space="preserve">Revised for consideration po. This is to cover the same customers as the numerator pool. Sec. 30 limits collection to WESM customers within the grid or grids covered by the Terms of Reference, but the where-clause said "all WESM customers".</w:t>
            </w:r>
          </w:p>
        </w:tc>
        <w:tc>
          <w:tcPr>
            <w:tcW w:type="dxa" w:w="1250"/>
            <w:tcBorders>
              <w:top w:val="single" w:color="A6A6A6" w:sz="4"/>
              <w:left w:val="single" w:color="A6A6A6" w:sz="4"/>
              <w:bottom w:val="single" w:color="A6A6A6" w:sz="4"/>
              <w:right w:val="single" w:color="A6A6A6" w:sz="4"/>
            </w:tcBorders>
            <w:shd w:fill="E2EFDA" w:color="auto" w:val="clear"/>
            <w:tcMar>
              <w:top w:type="dxa" w:w="60"/>
              <w:left w:type="dxa" w:w="90"/>
              <w:bottom w:type="dxa" w:w="60"/>
              <w:right w:type="dxa" w:w="90"/>
            </w:tcMar>
            <w:vAlign w:val="top"/>
          </w:tcPr>
          <w:p>
            <w:r>
              <w:rPr>
                <w:rFonts w:ascii="Arial" w:cs="Arial" w:eastAsia="Arial" w:hAnsi="Arial"/>
                <w:b/>
                <w:bCs/>
                <w:sz w:val="17"/>
                <w:szCs w:val="17"/>
              </w:rPr>
              <w:t xml:space="preserve">Kept her revision</w:t>
            </w:r>
          </w:p>
        </w:tc>
        <w:tc>
          <w:tcPr>
            <w:tcW w:type="dxa" w:w="6000"/>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r>
              <w:rPr>
                <w:rFonts w:ascii="Arial" w:cs="Arial" w:eastAsia="Arial" w:hAnsi="Arial"/>
                <w:sz w:val="17"/>
                <w:szCs w:val="17"/>
              </w:rPr>
              <w:t xml:space="preserve">Thank you, agreed. The denominator must be the same customer pool as the numerator. Your revised wording limits GESQ(total) to WESM customers within the grid or grids covered by the TOR, which matches Sec. 30 and the WESM Customer definition. Keeping your revision.</w:t>
            </w:r>
          </w:p>
        </w:tc>
      </w:tr>
      <w:tr>
        <w:trPr>
          <w:cantSplit/>
        </w:trPr>
        <w:tc>
          <w:tcPr>
            <w:tcW w:type="dxa" w:w="400"/>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r>
              <w:rPr>
                <w:rFonts w:ascii="Arial" w:cs="Arial" w:eastAsia="Arial" w:hAnsi="Arial"/>
                <w:sz w:val="17"/>
                <w:szCs w:val="17"/>
              </w:rPr>
              <w:t xml:space="preserve">26</w:t>
            </w:r>
          </w:p>
        </w:tc>
        <w:tc>
          <w:tcPr>
            <w:tcW w:type="dxa" w:w="1150"/>
            <w:tcBorders>
              <w:top w:val="single" w:color="A6A6A6" w:sz="4"/>
              <w:left w:val="single" w:color="A6A6A6" w:sz="4"/>
              <w:bottom w:val="single" w:color="A6A6A6" w:sz="4"/>
              <w:right w:val="single" w:color="A6A6A6" w:sz="4"/>
            </w:tcBorders>
            <w:shd w:fill="FCE4D6" w:color="auto" w:val="clear"/>
            <w:tcMar>
              <w:top w:type="dxa" w:w="60"/>
              <w:left w:type="dxa" w:w="90"/>
              <w:bottom w:type="dxa" w:w="60"/>
              <w:right w:type="dxa" w:w="90"/>
            </w:tcMar>
            <w:vAlign w:val="top"/>
          </w:tcPr>
          <w:p>
            <w:r>
              <w:rPr>
                <w:rFonts w:ascii="Arial" w:cs="Arial" w:eastAsia="Arial" w:hAnsi="Arial"/>
                <w:b/>
                <w:bCs/>
                <w:sz w:val="17"/>
                <w:szCs w:val="17"/>
              </w:rPr>
              <w:t xml:space="preserve">Sharon</w:t>
            </w:r>
          </w:p>
        </w:tc>
        <w:tc>
          <w:tcPr>
            <w:tcW w:type="dxa" w:w="950"/>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r>
              <w:rPr>
                <w:rFonts w:ascii="Arial" w:cs="Arial" w:eastAsia="Arial" w:hAnsi="Arial"/>
                <w:sz w:val="17"/>
                <w:szCs w:val="17"/>
              </w:rPr>
              <w:t xml:space="preserve">p. 67</w:t>
            </w:r>
          </w:p>
          <w:p>
            <w:r>
              <w:rPr>
                <w:rFonts w:ascii="Arial" w:cs="Arial" w:eastAsia="Arial" w:hAnsi="Arial"/>
                <w:sz w:val="17"/>
                <w:szCs w:val="17"/>
              </w:rPr>
              <w:t xml:space="preserve">(footer: Page 63)</w:t>
            </w:r>
          </w:p>
        </w:tc>
        <w:tc>
          <w:tcPr>
            <w:tcW w:type="dxa" w:w="1450"/>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r>
              <w:rPr>
                <w:rFonts w:ascii="Arial" w:cs="Arial" w:eastAsia="Arial" w:hAnsi="Arial"/>
                <w:b/>
                <w:bCs/>
                <w:sz w:val="17"/>
                <w:szCs w:val="17"/>
              </w:rPr>
              <w:t xml:space="preserve">Sec. 33</w:t>
            </w:r>
          </w:p>
        </w:tc>
        <w:tc>
          <w:tcPr>
            <w:tcW w:type="dxa" w:w="2700"/>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r>
              <w:rPr>
                <w:rFonts w:ascii="Arial" w:cs="Arial" w:eastAsia="Arial" w:hAnsi="Arial"/>
                <w:sz w:val="17"/>
                <w:szCs w:val="17"/>
              </w:rPr>
              <w:t xml:space="preserve">What submission is this?</w:t>
            </w:r>
          </w:p>
        </w:tc>
        <w:tc>
          <w:tcPr>
            <w:tcW w:type="dxa" w:w="1250"/>
            <w:tcBorders>
              <w:top w:val="single" w:color="A6A6A6" w:sz="4"/>
              <w:left w:val="single" w:color="A6A6A6" w:sz="4"/>
              <w:bottom w:val="single" w:color="A6A6A6" w:sz="4"/>
              <w:right w:val="single" w:color="A6A6A6" w:sz="4"/>
            </w:tcBorders>
            <w:shd w:fill="DDEBF7" w:color="auto" w:val="clear"/>
            <w:tcMar>
              <w:top w:type="dxa" w:w="60"/>
              <w:left w:type="dxa" w:w="90"/>
              <w:bottom w:type="dxa" w:w="60"/>
              <w:right w:type="dxa" w:w="90"/>
            </w:tcMar>
            <w:vAlign w:val="top"/>
          </w:tcPr>
          <w:p>
            <w:r>
              <w:rPr>
                <w:rFonts w:ascii="Arial" w:cs="Arial" w:eastAsia="Arial" w:hAnsi="Arial"/>
                <w:b/>
                <w:bCs/>
                <w:sz w:val="17"/>
                <w:szCs w:val="17"/>
              </w:rPr>
              <w:t xml:space="preserve">Answered + edited</w:t>
            </w:r>
          </w:p>
        </w:tc>
        <w:tc>
          <w:tcPr>
            <w:tcW w:type="dxa" w:w="6000"/>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r>
              <w:rPr>
                <w:rFonts w:ascii="Arial" w:cs="Arial" w:eastAsia="Arial" w:hAnsi="Arial"/>
                <w:sz w:val="17"/>
                <w:szCs w:val="17"/>
              </w:rPr>
              <w:t xml:space="preserve">It is the MO's proposed Settlement Mechanism submitted under Sec. 27. The sentence now says so.</w:t>
            </w:r>
          </w:p>
        </w:tc>
      </w:tr>
      <w:tr>
        <w:trPr>
          <w:cantSplit/>
        </w:trPr>
        <w:tc>
          <w:tcPr>
            <w:tcW w:type="dxa" w:w="400"/>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r>
              <w:rPr>
                <w:rFonts w:ascii="Arial" w:cs="Arial" w:eastAsia="Arial" w:hAnsi="Arial"/>
                <w:sz w:val="17"/>
                <w:szCs w:val="17"/>
              </w:rPr>
              <w:t xml:space="preserve">27</w:t>
            </w:r>
          </w:p>
        </w:tc>
        <w:tc>
          <w:tcPr>
            <w:tcW w:type="dxa" w:w="1150"/>
            <w:tcBorders>
              <w:top w:val="single" w:color="A6A6A6" w:sz="4"/>
              <w:left w:val="single" w:color="A6A6A6" w:sz="4"/>
              <w:bottom w:val="single" w:color="A6A6A6" w:sz="4"/>
              <w:right w:val="single" w:color="A6A6A6" w:sz="4"/>
            </w:tcBorders>
            <w:shd w:fill="FCE4D6" w:color="auto" w:val="clear"/>
            <w:tcMar>
              <w:top w:type="dxa" w:w="60"/>
              <w:left w:type="dxa" w:w="90"/>
              <w:bottom w:type="dxa" w:w="60"/>
              <w:right w:type="dxa" w:w="90"/>
            </w:tcMar>
            <w:vAlign w:val="top"/>
          </w:tcPr>
          <w:p>
            <w:r>
              <w:rPr>
                <w:rFonts w:ascii="Arial" w:cs="Arial" w:eastAsia="Arial" w:hAnsi="Arial"/>
                <w:b/>
                <w:bCs/>
                <w:sz w:val="17"/>
                <w:szCs w:val="17"/>
              </w:rPr>
              <w:t xml:space="preserve">Sharon</w:t>
            </w:r>
          </w:p>
        </w:tc>
        <w:tc>
          <w:tcPr>
            <w:tcW w:type="dxa" w:w="950"/>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r>
              <w:rPr>
                <w:rFonts w:ascii="Arial" w:cs="Arial" w:eastAsia="Arial" w:hAnsi="Arial"/>
                <w:sz w:val="17"/>
                <w:szCs w:val="17"/>
              </w:rPr>
              <w:t xml:space="preserve">p. 69</w:t>
            </w:r>
          </w:p>
          <w:p>
            <w:r>
              <w:rPr>
                <w:rFonts w:ascii="Arial" w:cs="Arial" w:eastAsia="Arial" w:hAnsi="Arial"/>
                <w:sz w:val="17"/>
                <w:szCs w:val="17"/>
              </w:rPr>
              <w:t xml:space="preserve">(footer: Page 65)</w:t>
            </w:r>
          </w:p>
        </w:tc>
        <w:tc>
          <w:tcPr>
            <w:tcW w:type="dxa" w:w="1450"/>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r>
              <w:rPr>
                <w:rFonts w:ascii="Arial" w:cs="Arial" w:eastAsia="Arial" w:hAnsi="Arial"/>
                <w:b/>
                <w:bCs/>
                <w:sz w:val="17"/>
                <w:szCs w:val="17"/>
              </w:rPr>
              <w:t xml:space="preserve">Sec. 37</w:t>
            </w:r>
          </w:p>
        </w:tc>
        <w:tc>
          <w:tcPr>
            <w:tcW w:type="dxa" w:w="2700"/>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r>
              <w:rPr>
                <w:rFonts w:ascii="Arial" w:cs="Arial" w:eastAsia="Arial" w:hAnsi="Arial"/>
                <w:sz w:val="17"/>
                <w:szCs w:val="17"/>
              </w:rPr>
              <w:t xml:space="preserve">I think we should leave this to DOE since it is the one conduction the Auction.</w:t>
            </w:r>
          </w:p>
        </w:tc>
        <w:tc>
          <w:tcPr>
            <w:tcW w:type="dxa" w:w="1250"/>
            <w:tcBorders>
              <w:top w:val="single" w:color="A6A6A6" w:sz="4"/>
              <w:left w:val="single" w:color="A6A6A6" w:sz="4"/>
              <w:bottom w:val="single" w:color="A6A6A6" w:sz="4"/>
              <w:right w:val="single" w:color="A6A6A6" w:sz="4"/>
            </w:tcBorders>
            <w:shd w:fill="E2EFDA" w:color="auto" w:val="clear"/>
            <w:tcMar>
              <w:top w:type="dxa" w:w="60"/>
              <w:left w:type="dxa" w:w="90"/>
              <w:bottom w:type="dxa" w:w="60"/>
              <w:right w:type="dxa" w:w="90"/>
            </w:tcMar>
            <w:vAlign w:val="top"/>
          </w:tcPr>
          <w:p>
            <w:r>
              <w:rPr>
                <w:rFonts w:ascii="Arial" w:cs="Arial" w:eastAsia="Arial" w:hAnsi="Arial"/>
                <w:b/>
                <w:bCs/>
                <w:sz w:val="17"/>
                <w:szCs w:val="17"/>
              </w:rPr>
              <w:t xml:space="preserve">Implemented</w:t>
            </w:r>
          </w:p>
        </w:tc>
        <w:tc>
          <w:tcPr>
            <w:tcW w:type="dxa" w:w="6000"/>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r>
              <w:rPr>
                <w:rFonts w:ascii="Arial" w:cs="Arial" w:eastAsia="Arial" w:hAnsi="Arial"/>
                <w:sz w:val="17"/>
                <w:szCs w:val="17"/>
              </w:rPr>
              <w:t xml:space="preserve">Implemented. Sec. 37 is deleted; the conduct of the auction, including bid rigging, is for the DOE (and for the Philippine Competition Commission under RA 10667). Sections 39 to 41 are renumbered 37 to 39.</w:t>
            </w:r>
          </w:p>
        </w:tc>
      </w:tr>
      <w:tr>
        <w:trPr>
          <w:cantSplit/>
        </w:trPr>
        <w:tc>
          <w:tcPr>
            <w:tcW w:type="dxa" w:w="400"/>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r>
              <w:rPr>
                <w:rFonts w:ascii="Arial" w:cs="Arial" w:eastAsia="Arial" w:hAnsi="Arial"/>
                <w:sz w:val="17"/>
                <w:szCs w:val="17"/>
              </w:rPr>
              <w:t xml:space="preserve">28</w:t>
            </w:r>
          </w:p>
        </w:tc>
        <w:tc>
          <w:tcPr>
            <w:tcW w:type="dxa" w:w="1150"/>
            <w:tcBorders>
              <w:top w:val="single" w:color="A6A6A6" w:sz="4"/>
              <w:left w:val="single" w:color="A6A6A6" w:sz="4"/>
              <w:bottom w:val="single" w:color="A6A6A6" w:sz="4"/>
              <w:right w:val="single" w:color="A6A6A6" w:sz="4"/>
            </w:tcBorders>
            <w:shd w:fill="FCE4D6" w:color="auto" w:val="clear"/>
            <w:tcMar>
              <w:top w:type="dxa" w:w="60"/>
              <w:left w:type="dxa" w:w="90"/>
              <w:bottom w:type="dxa" w:w="60"/>
              <w:right w:type="dxa" w:w="90"/>
            </w:tcMar>
            <w:vAlign w:val="top"/>
          </w:tcPr>
          <w:p>
            <w:r>
              <w:rPr>
                <w:rFonts w:ascii="Arial" w:cs="Arial" w:eastAsia="Arial" w:hAnsi="Arial"/>
                <w:b/>
                <w:bCs/>
                <w:sz w:val="17"/>
                <w:szCs w:val="17"/>
              </w:rPr>
              <w:t xml:space="preserve">Sharon</w:t>
            </w:r>
          </w:p>
        </w:tc>
        <w:tc>
          <w:tcPr>
            <w:tcW w:type="dxa" w:w="950"/>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r>
              <w:rPr>
                <w:rFonts w:ascii="Arial" w:cs="Arial" w:eastAsia="Arial" w:hAnsi="Arial"/>
                <w:sz w:val="17"/>
                <w:szCs w:val="17"/>
              </w:rPr>
              <w:t xml:space="preserve">p. 69</w:t>
            </w:r>
          </w:p>
          <w:p>
            <w:r>
              <w:rPr>
                <w:rFonts w:ascii="Arial" w:cs="Arial" w:eastAsia="Arial" w:hAnsi="Arial"/>
                <w:sz w:val="17"/>
                <w:szCs w:val="17"/>
              </w:rPr>
              <w:t xml:space="preserve">(footer: Page 65)</w:t>
            </w:r>
          </w:p>
        </w:tc>
        <w:tc>
          <w:tcPr>
            <w:tcW w:type="dxa" w:w="1450"/>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r>
              <w:rPr>
                <w:rFonts w:ascii="Arial" w:cs="Arial" w:eastAsia="Arial" w:hAnsi="Arial"/>
                <w:b/>
                <w:bCs/>
                <w:sz w:val="17"/>
                <w:szCs w:val="17"/>
              </w:rPr>
              <w:t xml:space="preserve">Sec. 38</w:t>
            </w:r>
          </w:p>
        </w:tc>
        <w:tc>
          <w:tcPr>
            <w:tcW w:type="dxa" w:w="2700"/>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r>
              <w:rPr>
                <w:rFonts w:ascii="Arial" w:cs="Arial" w:eastAsia="Arial" w:hAnsi="Arial"/>
                <w:sz w:val="17"/>
                <w:szCs w:val="17"/>
              </w:rPr>
              <w:t xml:space="preserve">I think we can delete this. Similar to FIT and GEAP, we have no provision such as this.</w:t>
            </w:r>
          </w:p>
        </w:tc>
        <w:tc>
          <w:tcPr>
            <w:tcW w:type="dxa" w:w="1250"/>
            <w:tcBorders>
              <w:top w:val="single" w:color="A6A6A6" w:sz="4"/>
              <w:left w:val="single" w:color="A6A6A6" w:sz="4"/>
              <w:bottom w:val="single" w:color="A6A6A6" w:sz="4"/>
              <w:right w:val="single" w:color="A6A6A6" w:sz="4"/>
            </w:tcBorders>
            <w:shd w:fill="E2EFDA" w:color="auto" w:val="clear"/>
            <w:tcMar>
              <w:top w:type="dxa" w:w="60"/>
              <w:left w:type="dxa" w:w="90"/>
              <w:bottom w:type="dxa" w:w="60"/>
              <w:right w:type="dxa" w:w="90"/>
            </w:tcMar>
            <w:vAlign w:val="top"/>
          </w:tcPr>
          <w:p>
            <w:r>
              <w:rPr>
                <w:rFonts w:ascii="Arial" w:cs="Arial" w:eastAsia="Arial" w:hAnsi="Arial"/>
                <w:b/>
                <w:bCs/>
                <w:sz w:val="17"/>
                <w:szCs w:val="17"/>
              </w:rPr>
              <w:t xml:space="preserve">Implemented</w:t>
            </w:r>
          </w:p>
        </w:tc>
        <w:tc>
          <w:tcPr>
            <w:tcW w:type="dxa" w:w="6000"/>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r>
              <w:rPr>
                <w:rFonts w:ascii="Arial" w:cs="Arial" w:eastAsia="Arial" w:hAnsi="Arial"/>
                <w:sz w:val="17"/>
                <w:szCs w:val="17"/>
              </w:rPr>
              <w:t xml:space="preserve">Implemented. Sec. 38 is deleted, consistent with the FIT and GEAP rules. ERC officials remain covered by RA 6713 and RA 3019 in any case.</w:t>
            </w:r>
          </w:p>
        </w:tc>
      </w:tr>
      <w:tr>
        <w:trPr>
          <w:cantSplit/>
        </w:trPr>
        <w:tc>
          <w:tcPr>
            <w:tcW w:type="dxa" w:w="400"/>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r>
              <w:rPr>
                <w:rFonts w:ascii="Arial" w:cs="Arial" w:eastAsia="Arial" w:hAnsi="Arial"/>
                <w:sz w:val="17"/>
                <w:szCs w:val="17"/>
              </w:rPr>
              <w:t xml:space="preserve">29</w:t>
            </w:r>
          </w:p>
        </w:tc>
        <w:tc>
          <w:tcPr>
            <w:tcW w:type="dxa" w:w="1150"/>
            <w:tcBorders>
              <w:top w:val="single" w:color="A6A6A6" w:sz="4"/>
              <w:left w:val="single" w:color="A6A6A6" w:sz="4"/>
              <w:bottom w:val="single" w:color="A6A6A6" w:sz="4"/>
              <w:right w:val="single" w:color="A6A6A6" w:sz="4"/>
            </w:tcBorders>
            <w:shd w:fill="FCE4D6" w:color="auto" w:val="clear"/>
            <w:tcMar>
              <w:top w:type="dxa" w:w="60"/>
              <w:left w:type="dxa" w:w="90"/>
              <w:bottom w:type="dxa" w:w="60"/>
              <w:right w:type="dxa" w:w="90"/>
            </w:tcMar>
            <w:vAlign w:val="top"/>
          </w:tcPr>
          <w:p>
            <w:r>
              <w:rPr>
                <w:rFonts w:ascii="Arial" w:cs="Arial" w:eastAsia="Arial" w:hAnsi="Arial"/>
                <w:b/>
                <w:bCs/>
                <w:sz w:val="17"/>
                <w:szCs w:val="17"/>
              </w:rPr>
              <w:t xml:space="preserve">Sharon</w:t>
            </w:r>
          </w:p>
        </w:tc>
        <w:tc>
          <w:tcPr>
            <w:tcW w:type="dxa" w:w="950"/>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r>
              <w:rPr>
                <w:rFonts w:ascii="Arial" w:cs="Arial" w:eastAsia="Arial" w:hAnsi="Arial"/>
                <w:sz w:val="17"/>
                <w:szCs w:val="17"/>
              </w:rPr>
              <w:t xml:space="preserve">p. 70</w:t>
            </w:r>
          </w:p>
          <w:p>
            <w:r>
              <w:rPr>
                <w:rFonts w:ascii="Arial" w:cs="Arial" w:eastAsia="Arial" w:hAnsi="Arial"/>
                <w:sz w:val="17"/>
                <w:szCs w:val="17"/>
              </w:rPr>
              <w:t xml:space="preserve">(footer: Page 66)</w:t>
            </w:r>
          </w:p>
        </w:tc>
        <w:tc>
          <w:tcPr>
            <w:tcW w:type="dxa" w:w="1450"/>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r>
              <w:rPr>
                <w:rFonts w:ascii="Arial" w:cs="Arial" w:eastAsia="Arial" w:hAnsi="Arial"/>
                <w:b/>
                <w:bCs/>
                <w:sz w:val="17"/>
                <w:szCs w:val="17"/>
              </w:rPr>
              <w:t xml:space="preserve">Sec. 41 (now 39)</w:t>
            </w:r>
          </w:p>
        </w:tc>
        <w:tc>
          <w:tcPr>
            <w:tcW w:type="dxa" w:w="2700"/>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r>
              <w:rPr>
                <w:rFonts w:ascii="Arial" w:cs="Arial" w:eastAsia="Arial" w:hAnsi="Arial"/>
                <w:sz w:val="17"/>
                <w:szCs w:val="17"/>
              </w:rPr>
              <w:t xml:space="preserve">I changed to immediately given the tight deadline for us to come up with the Rules and the GATP</w:t>
            </w:r>
          </w:p>
        </w:tc>
        <w:tc>
          <w:tcPr>
            <w:tcW w:type="dxa" w:w="1250"/>
            <w:tcBorders>
              <w:top w:val="single" w:color="A6A6A6" w:sz="4"/>
              <w:left w:val="single" w:color="A6A6A6" w:sz="4"/>
              <w:bottom w:val="single" w:color="A6A6A6" w:sz="4"/>
              <w:right w:val="single" w:color="A6A6A6" w:sz="4"/>
            </w:tcBorders>
            <w:shd w:fill="F2F2F2" w:color="auto" w:val="clear"/>
            <w:tcMar>
              <w:top w:type="dxa" w:w="60"/>
              <w:left w:type="dxa" w:w="90"/>
              <w:bottom w:type="dxa" w:w="60"/>
              <w:right w:type="dxa" w:w="90"/>
            </w:tcMar>
            <w:vAlign w:val="top"/>
          </w:tcPr>
          <w:p>
            <w:r>
              <w:rPr>
                <w:rFonts w:ascii="Arial" w:cs="Arial" w:eastAsia="Arial" w:hAnsi="Arial"/>
                <w:b/>
                <w:bCs/>
                <w:sz w:val="17"/>
                <w:szCs w:val="17"/>
              </w:rPr>
              <w:t xml:space="preserve">Answered – no change</w:t>
            </w:r>
          </w:p>
        </w:tc>
        <w:tc>
          <w:tcPr>
            <w:tcW w:type="dxa" w:w="6000"/>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r>
              <w:rPr>
                <w:rFonts w:ascii="Arial" w:cs="Arial" w:eastAsia="Arial" w:hAnsi="Arial"/>
                <w:sz w:val="17"/>
                <w:szCs w:val="17"/>
              </w:rPr>
              <w:t xml:space="preserve">Noted. The text reads 'take effect immediately following their complete publication', with the ONAR filing retained. Sections are renumbered, so this is now Section 39. No further change.</w:t>
            </w:r>
          </w:p>
        </w:tc>
      </w:tr>
      <w:tr>
        <w:trPr>
          <w:cantSplit/>
        </w:trPr>
        <w:tc>
          <w:tcPr>
            <w:tcW w:type="dxa" w:w="400"/>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r>
              <w:rPr>
                <w:rFonts w:ascii="Arial" w:cs="Arial" w:eastAsia="Arial" w:hAnsi="Arial"/>
                <w:sz w:val="17"/>
                <w:szCs w:val="17"/>
              </w:rPr>
              <w:t xml:space="preserve">30</w:t>
            </w:r>
          </w:p>
        </w:tc>
        <w:tc>
          <w:tcPr>
            <w:tcW w:type="dxa" w:w="1150"/>
            <w:tcBorders>
              <w:top w:val="single" w:color="A6A6A6" w:sz="4"/>
              <w:left w:val="single" w:color="A6A6A6" w:sz="4"/>
              <w:bottom w:val="single" w:color="A6A6A6" w:sz="4"/>
              <w:right w:val="single" w:color="A6A6A6" w:sz="4"/>
            </w:tcBorders>
            <w:shd w:fill="FCE4D6" w:color="auto" w:val="clear"/>
            <w:tcMar>
              <w:top w:type="dxa" w:w="60"/>
              <w:left w:type="dxa" w:w="90"/>
              <w:bottom w:type="dxa" w:w="60"/>
              <w:right w:type="dxa" w:w="90"/>
            </w:tcMar>
            <w:vAlign w:val="top"/>
          </w:tcPr>
          <w:p>
            <w:r>
              <w:rPr>
                <w:rFonts w:ascii="Arial" w:cs="Arial" w:eastAsia="Arial" w:hAnsi="Arial"/>
                <w:b/>
                <w:bCs/>
                <w:sz w:val="17"/>
                <w:szCs w:val="17"/>
              </w:rPr>
              <w:t xml:space="preserve">Sharon</w:t>
            </w:r>
          </w:p>
        </w:tc>
        <w:tc>
          <w:tcPr>
            <w:tcW w:type="dxa" w:w="950"/>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r>
              <w:rPr>
                <w:rFonts w:ascii="Arial" w:cs="Arial" w:eastAsia="Arial" w:hAnsi="Arial"/>
                <w:sz w:val="17"/>
                <w:szCs w:val="17"/>
              </w:rPr>
              <w:t xml:space="preserve">p. 71</w:t>
            </w:r>
          </w:p>
          <w:p>
            <w:r>
              <w:rPr>
                <w:rFonts w:ascii="Arial" w:cs="Arial" w:eastAsia="Arial" w:hAnsi="Arial"/>
                <w:sz w:val="17"/>
                <w:szCs w:val="17"/>
              </w:rPr>
              <w:t xml:space="preserve">(footer: Page 67)</w:t>
            </w:r>
          </w:p>
        </w:tc>
        <w:tc>
          <w:tcPr>
            <w:tcW w:type="dxa" w:w="1450"/>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r>
              <w:rPr>
                <w:rFonts w:ascii="Arial" w:cs="Arial" w:eastAsia="Arial" w:hAnsi="Arial"/>
                <w:b/>
                <w:bCs/>
                <w:sz w:val="17"/>
                <w:szCs w:val="17"/>
              </w:rPr>
              <w:t xml:space="preserve">Annex A</w:t>
            </w:r>
          </w:p>
        </w:tc>
        <w:tc>
          <w:tcPr>
            <w:tcW w:type="dxa" w:w="2700"/>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r>
              <w:rPr>
                <w:rFonts w:ascii="Arial" w:cs="Arial" w:eastAsia="Arial" w:hAnsi="Arial"/>
                <w:sz w:val="17"/>
                <w:szCs w:val="17"/>
              </w:rPr>
              <w:t xml:space="preserve">Since the reference parameters are merely enumeration and no specifc data sets yet (which will be covered under the GATP setting), we can simplify to just one table of parameters for any technology.</w:t>
            </w:r>
          </w:p>
        </w:tc>
        <w:tc>
          <w:tcPr>
            <w:tcW w:type="dxa" w:w="1250"/>
            <w:tcBorders>
              <w:top w:val="single" w:color="A6A6A6" w:sz="4"/>
              <w:left w:val="single" w:color="A6A6A6" w:sz="4"/>
              <w:bottom w:val="single" w:color="A6A6A6" w:sz="4"/>
              <w:right w:val="single" w:color="A6A6A6" w:sz="4"/>
            </w:tcBorders>
            <w:shd w:fill="E2EFDA" w:color="auto" w:val="clear"/>
            <w:tcMar>
              <w:top w:type="dxa" w:w="60"/>
              <w:left w:type="dxa" w:w="90"/>
              <w:bottom w:type="dxa" w:w="60"/>
              <w:right w:type="dxa" w:w="90"/>
            </w:tcMar>
            <w:vAlign w:val="top"/>
          </w:tcPr>
          <w:p>
            <w:r>
              <w:rPr>
                <w:rFonts w:ascii="Arial" w:cs="Arial" w:eastAsia="Arial" w:hAnsi="Arial"/>
                <w:b/>
                <w:bCs/>
                <w:sz w:val="17"/>
                <w:szCs w:val="17"/>
              </w:rPr>
              <w:t xml:space="preserve">Implemented</w:t>
            </w:r>
          </w:p>
        </w:tc>
        <w:tc>
          <w:tcPr>
            <w:tcW w:type="dxa" w:w="6000"/>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r>
              <w:rPr>
                <w:rFonts w:ascii="Arial" w:cs="Arial" w:eastAsia="Arial" w:hAnsi="Arial"/>
                <w:sz w:val="17"/>
                <w:szCs w:val="17"/>
              </w:rPr>
              <w:t xml:space="preserve">Implemented. Annex A is now a single parameter table for all Facility Types: the heading, introduction, and table caption are generalized, and the separate OCGT (Annex 'O') and Gas-Reciprocating Engine (Annex 'G') tables and their introductions are deleted. The values per Facility Type will be set in the GATP issuance.</w:t>
            </w:r>
          </w:p>
        </w:tc>
      </w:tr>
      <w:tr>
        <w:trPr>
          <w:cantSplit/>
        </w:trPr>
        <w:tc>
          <w:tcPr>
            <w:tcW w:type="dxa" w:w="400"/>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r>
              <w:rPr>
                <w:rFonts w:ascii="Arial" w:cs="Arial" w:eastAsia="Arial" w:hAnsi="Arial"/>
                <w:sz w:val="17"/>
                <w:szCs w:val="17"/>
              </w:rPr>
              <w:t xml:space="preserve">31</w:t>
            </w:r>
          </w:p>
        </w:tc>
        <w:tc>
          <w:tcPr>
            <w:tcW w:type="dxa" w:w="1150"/>
            <w:tcBorders>
              <w:top w:val="single" w:color="A6A6A6" w:sz="4"/>
              <w:left w:val="single" w:color="A6A6A6" w:sz="4"/>
              <w:bottom w:val="single" w:color="A6A6A6" w:sz="4"/>
              <w:right w:val="single" w:color="A6A6A6" w:sz="4"/>
            </w:tcBorders>
            <w:shd w:fill="FCE4D6" w:color="auto" w:val="clear"/>
            <w:tcMar>
              <w:top w:type="dxa" w:w="60"/>
              <w:left w:type="dxa" w:w="90"/>
              <w:bottom w:type="dxa" w:w="60"/>
              <w:right w:type="dxa" w:w="90"/>
            </w:tcMar>
            <w:vAlign w:val="top"/>
          </w:tcPr>
          <w:p>
            <w:r>
              <w:rPr>
                <w:rFonts w:ascii="Arial" w:cs="Arial" w:eastAsia="Arial" w:hAnsi="Arial"/>
                <w:b/>
                <w:bCs/>
                <w:sz w:val="17"/>
                <w:szCs w:val="17"/>
              </w:rPr>
              <w:t xml:space="preserve">Sharon</w:t>
            </w:r>
          </w:p>
        </w:tc>
        <w:tc>
          <w:tcPr>
            <w:tcW w:type="dxa" w:w="950"/>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r>
              <w:rPr>
                <w:rFonts w:ascii="Arial" w:cs="Arial" w:eastAsia="Arial" w:hAnsi="Arial"/>
                <w:sz w:val="17"/>
                <w:szCs w:val="17"/>
              </w:rPr>
              <w:t xml:space="preserve">p. 80</w:t>
            </w:r>
          </w:p>
          <w:p>
            <w:r>
              <w:rPr>
                <w:rFonts w:ascii="Arial" w:cs="Arial" w:eastAsia="Arial" w:hAnsi="Arial"/>
                <w:sz w:val="17"/>
                <w:szCs w:val="17"/>
              </w:rPr>
              <w:t xml:space="preserve">(footer: Page 76)</w:t>
            </w:r>
          </w:p>
        </w:tc>
        <w:tc>
          <w:tcPr>
            <w:tcW w:type="dxa" w:w="1450"/>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r>
              <w:rPr>
                <w:rFonts w:ascii="Arial" w:cs="Arial" w:eastAsia="Arial" w:hAnsi="Arial"/>
                <w:b/>
                <w:bCs/>
                <w:sz w:val="17"/>
                <w:szCs w:val="17"/>
              </w:rPr>
              <w:t xml:space="preserve">Annex A – WACC</w:t>
            </w:r>
          </w:p>
        </w:tc>
        <w:tc>
          <w:tcPr>
            <w:tcW w:type="dxa" w:w="2700"/>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r>
              <w:rPr>
                <w:rFonts w:ascii="Arial" w:cs="Arial" w:eastAsia="Arial" w:hAnsi="Arial"/>
                <w:sz w:val="17"/>
                <w:szCs w:val="17"/>
              </w:rPr>
              <w:t xml:space="preserve">Check reference.</w:t>
            </w:r>
          </w:p>
        </w:tc>
        <w:tc>
          <w:tcPr>
            <w:tcW w:type="dxa" w:w="1250"/>
            <w:tcBorders>
              <w:top w:val="single" w:color="A6A6A6" w:sz="4"/>
              <w:left w:val="single" w:color="A6A6A6" w:sz="4"/>
              <w:bottom w:val="single" w:color="A6A6A6" w:sz="4"/>
              <w:right w:val="single" w:color="A6A6A6" w:sz="4"/>
            </w:tcBorders>
            <w:shd w:fill="DDEBF7" w:color="auto" w:val="clear"/>
            <w:tcMar>
              <w:top w:type="dxa" w:w="60"/>
              <w:left w:type="dxa" w:w="90"/>
              <w:bottom w:type="dxa" w:w="60"/>
              <w:right w:type="dxa" w:w="90"/>
            </w:tcMar>
            <w:vAlign w:val="top"/>
          </w:tcPr>
          <w:p>
            <w:r>
              <w:rPr>
                <w:rFonts w:ascii="Arial" w:cs="Arial" w:eastAsia="Arial" w:hAnsi="Arial"/>
                <w:b/>
                <w:bCs/>
                <w:sz w:val="17"/>
                <w:szCs w:val="17"/>
              </w:rPr>
              <w:t xml:space="preserve">Answered + edited</w:t>
            </w:r>
          </w:p>
        </w:tc>
        <w:tc>
          <w:tcPr>
            <w:tcW w:type="dxa" w:w="6000"/>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r>
              <w:rPr>
                <w:rFonts w:ascii="Arial" w:cs="Arial" w:eastAsia="Arial" w:hAnsi="Arial"/>
                <w:sz w:val="17"/>
                <w:szCs w:val="17"/>
              </w:rPr>
              <w:t xml:space="preserve">Checked. The WACC inputs are Items A.9 (debt:equity ratio), A.10 (cost of debt), A.12 (equity return), A.13 (local:foreign ratio, used to blend the cost of debt) and A.14 (tax rate). A.11 (repayment period) is not a WACC input, so 'A.9-A.14' now lists the items individually.</w:t>
            </w:r>
          </w:p>
        </w:tc>
      </w:tr>
      <w:tr>
        <w:trPr>
          <w:cantSplit/>
        </w:trPr>
        <w:tc>
          <w:tcPr>
            <w:tcW w:type="dxa" w:w="400"/>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r>
              <w:rPr>
                <w:rFonts w:ascii="Arial" w:cs="Arial" w:eastAsia="Arial" w:hAnsi="Arial"/>
                <w:sz w:val="17"/>
                <w:szCs w:val="17"/>
              </w:rPr>
              <w:t xml:space="preserve">32</w:t>
            </w:r>
          </w:p>
        </w:tc>
        <w:tc>
          <w:tcPr>
            <w:tcW w:type="dxa" w:w="1150"/>
            <w:tcBorders>
              <w:top w:val="single" w:color="A6A6A6" w:sz="4"/>
              <w:left w:val="single" w:color="A6A6A6" w:sz="4"/>
              <w:bottom w:val="single" w:color="A6A6A6" w:sz="4"/>
              <w:right w:val="single" w:color="A6A6A6" w:sz="4"/>
            </w:tcBorders>
            <w:shd w:fill="FCE4D6" w:color="auto" w:val="clear"/>
            <w:tcMar>
              <w:top w:type="dxa" w:w="60"/>
              <w:left w:type="dxa" w:w="90"/>
              <w:bottom w:type="dxa" w:w="60"/>
              <w:right w:type="dxa" w:w="90"/>
            </w:tcMar>
            <w:vAlign w:val="top"/>
          </w:tcPr>
          <w:p>
            <w:r>
              <w:rPr>
                <w:rFonts w:ascii="Arial" w:cs="Arial" w:eastAsia="Arial" w:hAnsi="Arial"/>
                <w:b/>
                <w:bCs/>
                <w:sz w:val="17"/>
                <w:szCs w:val="17"/>
              </w:rPr>
              <w:t xml:space="preserve">Sharon</w:t>
            </w:r>
          </w:p>
        </w:tc>
        <w:tc>
          <w:tcPr>
            <w:tcW w:type="dxa" w:w="950"/>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r>
              <w:rPr>
                <w:rFonts w:ascii="Arial" w:cs="Arial" w:eastAsia="Arial" w:hAnsi="Arial"/>
                <w:sz w:val="17"/>
                <w:szCs w:val="17"/>
              </w:rPr>
              <w:t xml:space="preserve">p. 80</w:t>
            </w:r>
          </w:p>
          <w:p>
            <w:r>
              <w:rPr>
                <w:rFonts w:ascii="Arial" w:cs="Arial" w:eastAsia="Arial" w:hAnsi="Arial"/>
                <w:sz w:val="17"/>
                <w:szCs w:val="17"/>
              </w:rPr>
              <w:t xml:space="preserve">(footer: Page 76)</w:t>
            </w:r>
          </w:p>
        </w:tc>
        <w:tc>
          <w:tcPr>
            <w:tcW w:type="dxa" w:w="1450"/>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r>
              <w:rPr>
                <w:rFonts w:ascii="Arial" w:cs="Arial" w:eastAsia="Arial" w:hAnsi="Arial"/>
                <w:b/>
                <w:bCs/>
                <w:sz w:val="17"/>
                <w:szCs w:val="17"/>
              </w:rPr>
              <w:t xml:space="preserve">Annex A – WACC legend</w:t>
            </w:r>
          </w:p>
        </w:tc>
        <w:tc>
          <w:tcPr>
            <w:tcW w:type="dxa" w:w="2700"/>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r>
              <w:rPr>
                <w:rFonts w:ascii="Arial" w:cs="Arial" w:eastAsia="Arial" w:hAnsi="Arial"/>
                <w:sz w:val="17"/>
                <w:szCs w:val="17"/>
              </w:rPr>
              <w:t xml:space="preserve">Put legend pls of the variables in the formula</w:t>
            </w:r>
          </w:p>
        </w:tc>
        <w:tc>
          <w:tcPr>
            <w:tcW w:type="dxa" w:w="1250"/>
            <w:tcBorders>
              <w:top w:val="single" w:color="A6A6A6" w:sz="4"/>
              <w:left w:val="single" w:color="A6A6A6" w:sz="4"/>
              <w:bottom w:val="single" w:color="A6A6A6" w:sz="4"/>
              <w:right w:val="single" w:color="A6A6A6" w:sz="4"/>
            </w:tcBorders>
            <w:shd w:fill="E2EFDA" w:color="auto" w:val="clear"/>
            <w:tcMar>
              <w:top w:type="dxa" w:w="60"/>
              <w:left w:type="dxa" w:w="90"/>
              <w:bottom w:type="dxa" w:w="60"/>
              <w:right w:type="dxa" w:w="90"/>
            </w:tcMar>
            <w:vAlign w:val="top"/>
          </w:tcPr>
          <w:p>
            <w:r>
              <w:rPr>
                <w:rFonts w:ascii="Arial" w:cs="Arial" w:eastAsia="Arial" w:hAnsi="Arial"/>
                <w:b/>
                <w:bCs/>
                <w:sz w:val="17"/>
                <w:szCs w:val="17"/>
              </w:rPr>
              <w:t xml:space="preserve">Implemented</w:t>
            </w:r>
          </w:p>
        </w:tc>
        <w:tc>
          <w:tcPr>
            <w:tcW w:type="dxa" w:w="6000"/>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r>
              <w:rPr>
                <w:rFonts w:ascii="Arial" w:cs="Arial" w:eastAsia="Arial" w:hAnsi="Arial"/>
                <w:sz w:val="17"/>
                <w:szCs w:val="17"/>
              </w:rPr>
              <w:t xml:space="preserve">Implemented. The 'Where' sentence is replaced by a legend listing each variable in the formula (WACC, w_e, w_d, K_e, K_d, T) with its definition and Annex item.</w:t>
            </w:r>
          </w:p>
        </w:tc>
      </w:tr>
    </w:tbl>
    <w:sectPr>
      <w:footerReference w:type="default" r:id="rId7"/>
      <w:pgSz w:w="16838" w:h="11906" w:orient="landscape"/>
      <w:pgMar w:top="1000" w:right="1000" w:bottom="1000" w:left="10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sz w:val="16"/>
        <w:szCs w:val="16"/>
      </w:rPr>
      <w:t xml:space="preserve">Page </w:t>
    </w:r>
    <w:r>
      <w:rPr>
        <w:rFonts w:ascii="Arial" w:cs="Arial" w:eastAsia="Arial" w:hAnsi="Arial"/>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240"/>
      <w:outlineLvl w:val="0"/>
    </w:pPr>
    <w:rPr>
      <w:rFonts w:ascii="Arial" w:cs="Arial" w:eastAsia="Arial" w:hAnsi="Arial"/>
      <w:b/>
      <w:bCs/>
      <w:color w:val="1F3864"/>
      <w:sz w:val="28"/>
      <w:szCs w:val="28"/>
    </w:rPr>
  </w:style>
  <w:style w:type="paragraph" w:styleId="Heading2">
    <w:name w:val="Heading 2"/>
    <w:basedOn w:val="Normal"/>
    <w:next w:val="Normal"/>
    <w:qFormat/>
    <w:pPr>
      <w:spacing w:after="100" w:before="200"/>
      <w:outlineLvl w:val="1"/>
    </w:pPr>
    <w:rPr>
      <w:rFonts w:ascii="Arial" w:cs="Arial" w:eastAsia="Arial" w:hAnsi="Arial"/>
      <w:b/>
      <w:bCs/>
      <w:color w:val="1F3864"/>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2026-10-19T06:35:30.136Z</dcterms:created>
  <dcterms:modified xsi:type="dcterms:W3CDTF">2026-10-19T06:35:30.136Z</dcterms:modified>
</cp:coreProperties>
</file>

<file path=docProps/custom.xml><?xml version="1.0" encoding="utf-8"?>
<Properties xmlns="http://schemas.openxmlformats.org/officeDocument/2006/custom-properties" xmlns:vt="http://schemas.openxmlformats.org/officeDocument/2006/docPropsVTypes"/>
</file>