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4E41" w:rsidRPr="00AB4676" w:rsidRDefault="00E64E41"/>
    <w:p w:rsidR="00FF0F8E" w:rsidRPr="00AB4676" w:rsidRDefault="00FF0F8E" w:rsidP="00FF0F8E">
      <w:pPr>
        <w:jc w:val="center"/>
        <w:rPr>
          <w:b/>
          <w:bCs/>
        </w:rPr>
      </w:pPr>
      <w:r w:rsidRPr="00AB4676">
        <w:rPr>
          <w:b/>
          <w:bCs/>
        </w:rPr>
        <w:t>A RESOLUTION ADOPTING THE RULES ON THE GAS AUCTION THRESHOLD PRICE DETERMINATION METHODOLOGY, GAS PRICE BENCHMARK, AND SETTLEMENT MECHANISM FOR THE MID-MERIT NATURAL GAS CAPACITY AUCTION PROGRAM UNDER DEPARTMENT OF ENERGY DEPARTMENT CIRCULAR NO. DC2026-06-0013</w:t>
      </w:r>
    </w:p>
    <w:p w:rsidR="00FF0F8E" w:rsidRPr="00AB4676" w:rsidRDefault="00FF0F8E" w:rsidP="00FF0F8E">
      <w:pPr>
        <w:jc w:val="center"/>
        <w:rPr>
          <w:b/>
          <w:bCs/>
        </w:rPr>
      </w:pPr>
    </w:p>
    <w:p w:rsidR="00FF0F8E" w:rsidRPr="00AB4676" w:rsidRDefault="00FF0F8E">
      <w:r w:rsidRPr="00AB4676">
        <w:rPr>
          <w:b/>
          <w:bCs/>
        </w:rPr>
        <w:t>Company:</w:t>
      </w:r>
      <w:r w:rsidRPr="00AB4676">
        <w:t xml:space="preserve"> South Premiere Power Corp and Excellent Energy Resources Inc. </w:t>
      </w:r>
    </w:p>
    <w:p w:rsidR="00FF0F8E" w:rsidRPr="00AB4676" w:rsidRDefault="00FF0F8E"/>
    <w:tbl>
      <w:tblPr>
        <w:tblStyle w:val="TableGrid"/>
        <w:tblW w:w="0" w:type="auto"/>
        <w:tblLook w:val="04A0" w:firstRow="1" w:lastRow="0" w:firstColumn="1" w:lastColumn="0" w:noHBand="0" w:noVBand="1"/>
      </w:tblPr>
      <w:tblGrid>
        <w:gridCol w:w="2335"/>
        <w:gridCol w:w="4320"/>
        <w:gridCol w:w="6295"/>
      </w:tblGrid>
      <w:tr w:rsidR="00FF0F8E" w:rsidRPr="00AB4676" w:rsidTr="00E8465F">
        <w:tc>
          <w:tcPr>
            <w:tcW w:w="2335" w:type="dxa"/>
          </w:tcPr>
          <w:p w:rsidR="00FF0F8E" w:rsidRPr="00AB4676" w:rsidRDefault="00FF0F8E" w:rsidP="00FF0F8E">
            <w:pPr>
              <w:jc w:val="center"/>
              <w:rPr>
                <w:b/>
                <w:bCs/>
              </w:rPr>
            </w:pPr>
            <w:r w:rsidRPr="00AB4676">
              <w:rPr>
                <w:b/>
                <w:bCs/>
              </w:rPr>
              <w:t>Page/Section Number</w:t>
            </w:r>
          </w:p>
        </w:tc>
        <w:tc>
          <w:tcPr>
            <w:tcW w:w="4320" w:type="dxa"/>
          </w:tcPr>
          <w:p w:rsidR="00FF0F8E" w:rsidRPr="00AB4676" w:rsidRDefault="00FF0F8E" w:rsidP="00FF0F8E">
            <w:pPr>
              <w:jc w:val="center"/>
              <w:rPr>
                <w:b/>
                <w:bCs/>
              </w:rPr>
            </w:pPr>
            <w:r w:rsidRPr="00AB4676">
              <w:rPr>
                <w:b/>
                <w:bCs/>
              </w:rPr>
              <w:t>Discussion of Comment(s) and/or Questions for Clarification</w:t>
            </w:r>
          </w:p>
        </w:tc>
        <w:tc>
          <w:tcPr>
            <w:tcW w:w="6295" w:type="dxa"/>
          </w:tcPr>
          <w:p w:rsidR="00FF0F8E" w:rsidRPr="00AB4676" w:rsidRDefault="00FF0F8E" w:rsidP="00FF0F8E">
            <w:pPr>
              <w:jc w:val="center"/>
              <w:rPr>
                <w:b/>
                <w:bCs/>
              </w:rPr>
            </w:pPr>
            <w:r w:rsidRPr="00AB4676">
              <w:rPr>
                <w:b/>
                <w:bCs/>
              </w:rPr>
              <w:t>Comment/s and Suggestion/s</w:t>
            </w:r>
          </w:p>
        </w:tc>
      </w:tr>
      <w:tr w:rsidR="00FF0F8E" w:rsidRPr="00AB4676" w:rsidTr="00E8465F">
        <w:tc>
          <w:tcPr>
            <w:tcW w:w="2335" w:type="dxa"/>
          </w:tcPr>
          <w:p w:rsidR="00FF0F8E" w:rsidRPr="00AB4676" w:rsidRDefault="00FF0F8E" w:rsidP="00D26992">
            <w:pPr>
              <w:rPr>
                <w:color w:val="000000"/>
              </w:rPr>
            </w:pPr>
            <w:r w:rsidRPr="00AB4676">
              <w:rPr>
                <w:color w:val="000000"/>
              </w:rPr>
              <w:t>Section 5</w:t>
            </w:r>
          </w:p>
        </w:tc>
        <w:tc>
          <w:tcPr>
            <w:tcW w:w="4320" w:type="dxa"/>
          </w:tcPr>
          <w:p w:rsidR="00FF0F8E" w:rsidRPr="00AB4676" w:rsidRDefault="001E3EA6" w:rsidP="00FF0F8E">
            <w:pPr>
              <w:jc w:val="both"/>
              <w:rPr>
                <w:color w:val="000000"/>
              </w:rPr>
            </w:pPr>
            <w:r w:rsidRPr="00AB4676">
              <w:rPr>
                <w:color w:val="000000"/>
              </w:rPr>
              <w:t xml:space="preserve">Clarification on </w:t>
            </w:r>
            <w:r w:rsidR="00FF0F8E" w:rsidRPr="00AB4676">
              <w:rPr>
                <w:color w:val="000000"/>
              </w:rPr>
              <w:t xml:space="preserve">Section 5 </w:t>
            </w:r>
            <w:r w:rsidRPr="00AB4676">
              <w:rPr>
                <w:color w:val="000000"/>
              </w:rPr>
              <w:t xml:space="preserve">which </w:t>
            </w:r>
            <w:r w:rsidR="00FF0F8E" w:rsidRPr="00AB4676">
              <w:rPr>
                <w:color w:val="000000"/>
              </w:rPr>
              <w:t>provides “xxx compute using a set of financial and technical assumptions.”</w:t>
            </w:r>
          </w:p>
        </w:tc>
        <w:tc>
          <w:tcPr>
            <w:tcW w:w="6295" w:type="dxa"/>
          </w:tcPr>
          <w:p w:rsidR="00E8465F" w:rsidRPr="00AB4676" w:rsidRDefault="00FF0F8E" w:rsidP="00FF0F8E">
            <w:pPr>
              <w:jc w:val="both"/>
              <w:rPr>
                <w:color w:val="000000"/>
              </w:rPr>
            </w:pPr>
            <w:r w:rsidRPr="00AB4676">
              <w:rPr>
                <w:color w:val="000000"/>
              </w:rPr>
              <w:t xml:space="preserve">The provision should clarify that the financial and technical assumptions used </w:t>
            </w:r>
            <w:r w:rsidR="00E8465F" w:rsidRPr="00AB4676">
              <w:rPr>
                <w:color w:val="000000"/>
              </w:rPr>
              <w:t xml:space="preserve">to compute the </w:t>
            </w:r>
            <w:r w:rsidRPr="00AB4676">
              <w:rPr>
                <w:color w:val="000000"/>
              </w:rPr>
              <w:t xml:space="preserve">GAT Price must </w:t>
            </w:r>
            <w:r w:rsidR="00E8465F" w:rsidRPr="00AB4676">
              <w:rPr>
                <w:color w:val="000000"/>
              </w:rPr>
              <w:t xml:space="preserve">remain </w:t>
            </w:r>
            <w:r w:rsidRPr="00AB4676">
              <w:rPr>
                <w:color w:val="000000"/>
              </w:rPr>
              <w:t xml:space="preserve">applicable and representative </w:t>
            </w:r>
            <w:r w:rsidR="00E8465F" w:rsidRPr="00AB4676">
              <w:rPr>
                <w:color w:val="000000"/>
              </w:rPr>
              <w:t xml:space="preserve">throughout the entire contract period of the </w:t>
            </w:r>
            <w:r w:rsidR="00D26992" w:rsidRPr="00AB4676">
              <w:rPr>
                <w:color w:val="000000"/>
              </w:rPr>
              <w:t>award.</w:t>
            </w:r>
          </w:p>
          <w:p w:rsidR="00FF0F8E" w:rsidRPr="00AB4676" w:rsidRDefault="00FF0F8E" w:rsidP="00FF0F8E">
            <w:pPr>
              <w:jc w:val="both"/>
            </w:pPr>
            <w:r w:rsidRPr="00AB4676">
              <w:rPr>
                <w:color w:val="000000"/>
              </w:rPr>
              <w:br/>
            </w:r>
            <w:r w:rsidR="00D26992" w:rsidRPr="00AB4676">
              <w:t>This will ensure that the GAT Price reflects the relevant costs and technical conditions throughout the entire contract period. Thus, the assumptions used to set the GAT Price under Section 8 and Annex A should not be based solely on current and prevailing conditions</w:t>
            </w:r>
            <w:r w:rsidR="001577DC" w:rsidRPr="00AB4676">
              <w:t xml:space="preserve"> of the reference plants. </w:t>
            </w:r>
          </w:p>
          <w:p w:rsidR="001E3EA6" w:rsidRPr="00AB4676" w:rsidRDefault="001E3EA6" w:rsidP="00FF0F8E">
            <w:pPr>
              <w:jc w:val="both"/>
              <w:rPr>
                <w:color w:val="000000"/>
              </w:rPr>
            </w:pPr>
          </w:p>
        </w:tc>
      </w:tr>
      <w:tr w:rsidR="00FF0F8E" w:rsidRPr="00AB4676" w:rsidTr="00E8465F">
        <w:tc>
          <w:tcPr>
            <w:tcW w:w="2335" w:type="dxa"/>
          </w:tcPr>
          <w:p w:rsidR="00FF0F8E" w:rsidRPr="00AB4676" w:rsidRDefault="00FF0F8E" w:rsidP="00FF0F8E">
            <w:pPr>
              <w:rPr>
                <w:color w:val="000000"/>
              </w:rPr>
            </w:pPr>
            <w:r w:rsidRPr="00AB4676">
              <w:rPr>
                <w:color w:val="000000"/>
              </w:rPr>
              <w:t>Section 6</w:t>
            </w:r>
          </w:p>
        </w:tc>
        <w:tc>
          <w:tcPr>
            <w:tcW w:w="4320" w:type="dxa"/>
          </w:tcPr>
          <w:p w:rsidR="00FF0F8E" w:rsidRPr="00AB4676" w:rsidRDefault="001E3EA6" w:rsidP="00FF0F8E">
            <w:pPr>
              <w:jc w:val="both"/>
              <w:rPr>
                <w:color w:val="000000"/>
              </w:rPr>
            </w:pPr>
            <w:r w:rsidRPr="00AB4676">
              <w:rPr>
                <w:color w:val="000000"/>
              </w:rPr>
              <w:t xml:space="preserve">Clarification on </w:t>
            </w:r>
            <w:r w:rsidR="00FF0F8E" w:rsidRPr="00AB4676">
              <w:rPr>
                <w:color w:val="000000"/>
              </w:rPr>
              <w:t>Section 6</w:t>
            </w:r>
            <w:r w:rsidRPr="00AB4676">
              <w:rPr>
                <w:color w:val="000000"/>
              </w:rPr>
              <w:t>,</w:t>
            </w:r>
            <w:r w:rsidR="00FF0F8E" w:rsidRPr="00AB4676">
              <w:rPr>
                <w:color w:val="000000"/>
              </w:rPr>
              <w:t xml:space="preserve"> </w:t>
            </w:r>
            <w:r w:rsidRPr="00AB4676">
              <w:rPr>
                <w:color w:val="000000"/>
              </w:rPr>
              <w:t xml:space="preserve">which </w:t>
            </w:r>
            <w:r w:rsidR="00FF0F8E" w:rsidRPr="00AB4676">
              <w:rPr>
                <w:color w:val="000000"/>
              </w:rPr>
              <w:t xml:space="preserve">provides the </w:t>
            </w:r>
            <w:r w:rsidR="001577DC" w:rsidRPr="00AB4676">
              <w:rPr>
                <w:color w:val="000000"/>
              </w:rPr>
              <w:t xml:space="preserve">different </w:t>
            </w:r>
            <w:r w:rsidR="00FF0F8E" w:rsidRPr="00AB4676">
              <w:rPr>
                <w:color w:val="000000"/>
              </w:rPr>
              <w:t xml:space="preserve">Facility Types. </w:t>
            </w:r>
          </w:p>
        </w:tc>
        <w:tc>
          <w:tcPr>
            <w:tcW w:w="6295" w:type="dxa"/>
          </w:tcPr>
          <w:p w:rsidR="00FF0F8E" w:rsidRPr="00AB4676" w:rsidRDefault="001E3EA6" w:rsidP="00FF0F8E">
            <w:pPr>
              <w:jc w:val="both"/>
            </w:pPr>
            <w:r w:rsidRPr="00AB4676">
              <w:t xml:space="preserve">Clarification on whether a facility initially classified as an OCGT may subsequently shift to a CCGT, and whether the Facility Type may be changed during the </w:t>
            </w:r>
            <w:r w:rsidR="001577DC" w:rsidRPr="00AB4676">
              <w:t xml:space="preserve">Contract Period. </w:t>
            </w:r>
          </w:p>
          <w:p w:rsidR="001E3EA6" w:rsidRPr="00AB4676" w:rsidRDefault="001E3EA6" w:rsidP="00FF0F8E">
            <w:pPr>
              <w:jc w:val="both"/>
              <w:rPr>
                <w:color w:val="000000"/>
              </w:rPr>
            </w:pPr>
          </w:p>
        </w:tc>
      </w:tr>
      <w:tr w:rsidR="00FF0F8E" w:rsidRPr="00AB4676" w:rsidTr="00E8465F">
        <w:tc>
          <w:tcPr>
            <w:tcW w:w="2335" w:type="dxa"/>
          </w:tcPr>
          <w:p w:rsidR="00FF0F8E" w:rsidRPr="00AB4676" w:rsidRDefault="00FF0F8E" w:rsidP="00FF0F8E">
            <w:pPr>
              <w:rPr>
                <w:color w:val="000000"/>
              </w:rPr>
            </w:pPr>
            <w:r w:rsidRPr="00AB4676">
              <w:rPr>
                <w:color w:val="000000"/>
              </w:rPr>
              <w:t>Section 7.1</w:t>
            </w:r>
          </w:p>
        </w:tc>
        <w:tc>
          <w:tcPr>
            <w:tcW w:w="4320" w:type="dxa"/>
          </w:tcPr>
          <w:p w:rsidR="001E3EA6" w:rsidRPr="00AB4676" w:rsidRDefault="001E3EA6" w:rsidP="00FF0F8E">
            <w:pPr>
              <w:jc w:val="both"/>
              <w:rPr>
                <w:rStyle w:val="font101"/>
                <w:rFonts w:ascii="Aptos" w:hAnsi="Aptos"/>
                <w:sz w:val="24"/>
                <w:szCs w:val="24"/>
              </w:rPr>
            </w:pPr>
            <w:r w:rsidRPr="00AB4676">
              <w:rPr>
                <w:rStyle w:val="font101"/>
                <w:rFonts w:ascii="Aptos" w:hAnsi="Aptos"/>
                <w:sz w:val="24"/>
                <w:szCs w:val="24"/>
              </w:rPr>
              <w:t xml:space="preserve">Clarification on </w:t>
            </w:r>
            <w:r w:rsidR="00FF0F8E" w:rsidRPr="00AB4676">
              <w:rPr>
                <w:rStyle w:val="font101"/>
                <w:rFonts w:ascii="Aptos" w:hAnsi="Aptos"/>
                <w:sz w:val="24"/>
                <w:szCs w:val="24"/>
              </w:rPr>
              <w:t>Section 7.1.</w:t>
            </w:r>
            <w:r w:rsidRPr="00AB4676">
              <w:rPr>
                <w:rStyle w:val="font101"/>
                <w:rFonts w:ascii="Aptos" w:hAnsi="Aptos"/>
                <w:sz w:val="24"/>
                <w:szCs w:val="24"/>
              </w:rPr>
              <w:t xml:space="preserve">, which provides: </w:t>
            </w:r>
          </w:p>
          <w:p w:rsidR="001E3EA6" w:rsidRPr="00AB4676" w:rsidRDefault="001E3EA6" w:rsidP="00FF0F8E">
            <w:pPr>
              <w:jc w:val="both"/>
              <w:rPr>
                <w:rStyle w:val="font101"/>
                <w:rFonts w:ascii="Aptos" w:hAnsi="Aptos"/>
                <w:sz w:val="24"/>
                <w:szCs w:val="24"/>
              </w:rPr>
            </w:pPr>
          </w:p>
          <w:p w:rsidR="001E3EA6" w:rsidRPr="00AB4676" w:rsidRDefault="001E3EA6" w:rsidP="001E3EA6">
            <w:pPr>
              <w:jc w:val="both"/>
              <w:rPr>
                <w:rStyle w:val="font101"/>
                <w:rFonts w:ascii="Aptos" w:hAnsi="Aptos"/>
                <w:sz w:val="24"/>
                <w:szCs w:val="24"/>
              </w:rPr>
            </w:pPr>
            <w:r w:rsidRPr="00AB4676">
              <w:rPr>
                <w:rStyle w:val="font101"/>
                <w:rFonts w:ascii="Aptos" w:hAnsi="Aptos"/>
                <w:sz w:val="24"/>
                <w:szCs w:val="24"/>
              </w:rPr>
              <w:t>“</w:t>
            </w:r>
            <w:r w:rsidR="00FF0F8E" w:rsidRPr="00AB4676">
              <w:rPr>
                <w:rStyle w:val="font101"/>
                <w:rFonts w:ascii="Aptos" w:hAnsi="Aptos"/>
                <w:sz w:val="24"/>
                <w:szCs w:val="24"/>
              </w:rPr>
              <w:t xml:space="preserve">No later than sixty (60) calendar days after the issuance of the ITB for the first auction round, the Commission shall issue: </w:t>
            </w:r>
            <w:r w:rsidR="00FF0F8E" w:rsidRPr="00AB4676">
              <w:rPr>
                <w:color w:val="000000"/>
              </w:rPr>
              <w:br/>
            </w:r>
            <w:r w:rsidR="00FF0F8E" w:rsidRPr="00AB4676">
              <w:rPr>
                <w:color w:val="000000"/>
              </w:rPr>
              <w:lastRenderedPageBreak/>
              <w:br/>
            </w:r>
            <w:r w:rsidR="00FF0F8E" w:rsidRPr="00AB4676">
              <w:rPr>
                <w:rStyle w:val="font101"/>
                <w:rFonts w:ascii="Aptos" w:hAnsi="Aptos"/>
                <w:sz w:val="24"/>
                <w:szCs w:val="24"/>
              </w:rPr>
              <w:t xml:space="preserve">(a) The approved Gas Auction Threshold Price Determination Methodology in accordance with these Rules; </w:t>
            </w:r>
            <w:r w:rsidR="00FF0F8E" w:rsidRPr="00AB4676">
              <w:rPr>
                <w:rStyle w:val="font121"/>
                <w:rFonts w:ascii="Aptos" w:hAnsi="Aptos"/>
                <w:color w:val="0070C0"/>
                <w:sz w:val="24"/>
                <w:szCs w:val="24"/>
              </w:rPr>
              <w:t>or</w:t>
            </w:r>
            <w:r w:rsidR="00FF0F8E" w:rsidRPr="00AB4676">
              <w:rPr>
                <w:rStyle w:val="font121"/>
                <w:rFonts w:ascii="Aptos" w:hAnsi="Aptos"/>
                <w:sz w:val="24"/>
                <w:szCs w:val="24"/>
              </w:rPr>
              <w:t xml:space="preserve"> </w:t>
            </w:r>
            <w:r w:rsidR="00FF0F8E" w:rsidRPr="00AB4676">
              <w:rPr>
                <w:b/>
                <w:bCs/>
                <w:color w:val="FF0000"/>
                <w:u w:val="single"/>
              </w:rPr>
              <w:br/>
            </w:r>
          </w:p>
          <w:p w:rsidR="001E3EA6" w:rsidRPr="00AB4676" w:rsidRDefault="00FF0F8E" w:rsidP="001E3EA6">
            <w:pPr>
              <w:jc w:val="both"/>
              <w:rPr>
                <w:rStyle w:val="font101"/>
                <w:rFonts w:ascii="Aptos" w:hAnsi="Aptos"/>
                <w:sz w:val="24"/>
                <w:szCs w:val="24"/>
              </w:rPr>
            </w:pPr>
            <w:r w:rsidRPr="00AB4676">
              <w:rPr>
                <w:rStyle w:val="font101"/>
                <w:rFonts w:ascii="Aptos" w:hAnsi="Aptos"/>
                <w:sz w:val="24"/>
                <w:szCs w:val="24"/>
              </w:rPr>
              <w:t>(b) The initial GAT Price for each applicable Facility Type.”</w:t>
            </w:r>
          </w:p>
          <w:p w:rsidR="00FF0F8E" w:rsidRPr="00AB4676" w:rsidRDefault="00FF0F8E" w:rsidP="001E3EA6">
            <w:pPr>
              <w:jc w:val="both"/>
              <w:rPr>
                <w:color w:val="000000"/>
              </w:rPr>
            </w:pPr>
          </w:p>
        </w:tc>
        <w:tc>
          <w:tcPr>
            <w:tcW w:w="6295" w:type="dxa"/>
          </w:tcPr>
          <w:p w:rsidR="001E3EA6" w:rsidRPr="00AB4676" w:rsidRDefault="001E3EA6" w:rsidP="001E3EA6">
            <w:pPr>
              <w:jc w:val="both"/>
              <w:rPr>
                <w:rStyle w:val="font101"/>
                <w:rFonts w:ascii="Aptos" w:hAnsi="Aptos"/>
                <w:sz w:val="24"/>
                <w:szCs w:val="24"/>
              </w:rPr>
            </w:pPr>
            <w:r w:rsidRPr="00AB4676">
              <w:rPr>
                <w:rStyle w:val="font101"/>
                <w:rFonts w:ascii="Aptos" w:hAnsi="Aptos"/>
                <w:sz w:val="24"/>
                <w:szCs w:val="24"/>
              </w:rPr>
              <w:lastRenderedPageBreak/>
              <w:t>The DOE mandates the ERC to issue both the approved Price Methodology and the corresponding GAT Price. Accordingly, the provision should require the issuance of both, rather than allowing the Commission to issue either one of the two.</w:t>
            </w:r>
          </w:p>
          <w:p w:rsidR="001E3EA6" w:rsidRPr="00AB4676" w:rsidRDefault="001E3EA6" w:rsidP="001E3EA6">
            <w:pPr>
              <w:jc w:val="both"/>
              <w:rPr>
                <w:rStyle w:val="font91"/>
                <w:rFonts w:ascii="Aptos" w:hAnsi="Aptos"/>
                <w:sz w:val="24"/>
                <w:szCs w:val="24"/>
              </w:rPr>
            </w:pPr>
          </w:p>
          <w:p w:rsidR="001E3EA6" w:rsidRPr="00AB4676" w:rsidRDefault="00FF0F8E" w:rsidP="001E3EA6">
            <w:pPr>
              <w:jc w:val="both"/>
              <w:rPr>
                <w:rStyle w:val="font91"/>
                <w:rFonts w:ascii="Aptos" w:hAnsi="Aptos"/>
                <w:sz w:val="24"/>
                <w:szCs w:val="24"/>
              </w:rPr>
            </w:pPr>
            <w:r w:rsidRPr="00AB4676">
              <w:rPr>
                <w:rStyle w:val="font91"/>
                <w:rFonts w:ascii="Aptos" w:hAnsi="Aptos"/>
                <w:sz w:val="24"/>
                <w:szCs w:val="24"/>
              </w:rPr>
              <w:t>Proposed Revision:</w:t>
            </w:r>
          </w:p>
          <w:p w:rsidR="001E3EA6" w:rsidRPr="00AB4676" w:rsidRDefault="00FF0F8E" w:rsidP="001E3EA6">
            <w:pPr>
              <w:jc w:val="both"/>
              <w:rPr>
                <w:rStyle w:val="font91"/>
                <w:rFonts w:ascii="Aptos" w:hAnsi="Aptos"/>
                <w:sz w:val="24"/>
                <w:szCs w:val="24"/>
              </w:rPr>
            </w:pPr>
            <w:r w:rsidRPr="00AB4676">
              <w:rPr>
                <w:rStyle w:val="font91"/>
                <w:rFonts w:ascii="Aptos" w:hAnsi="Aptos"/>
                <w:sz w:val="24"/>
                <w:szCs w:val="24"/>
              </w:rPr>
              <w:lastRenderedPageBreak/>
              <w:t xml:space="preserve"> </w:t>
            </w:r>
            <w:r w:rsidRPr="00AB4676">
              <w:rPr>
                <w:color w:val="000000"/>
              </w:rPr>
              <w:br/>
            </w:r>
            <w:r w:rsidRPr="00AB4676">
              <w:rPr>
                <w:rStyle w:val="font91"/>
                <w:rFonts w:ascii="Aptos" w:hAnsi="Aptos"/>
                <w:sz w:val="24"/>
                <w:szCs w:val="24"/>
              </w:rPr>
              <w:t>Section 7.1. No later than sixty (60) calendar days after the issuance of the ITB for the first auction round, the Commission shall issue:</w:t>
            </w:r>
          </w:p>
          <w:p w:rsidR="001E3EA6" w:rsidRPr="00AB4676" w:rsidRDefault="00FF0F8E" w:rsidP="001E3EA6">
            <w:pPr>
              <w:jc w:val="both"/>
              <w:rPr>
                <w:rStyle w:val="font111"/>
                <w:rFonts w:ascii="Aptos" w:hAnsi="Aptos"/>
                <w:color w:val="0070C0"/>
                <w:sz w:val="24"/>
                <w:szCs w:val="24"/>
                <w:u w:val="single"/>
              </w:rPr>
            </w:pPr>
            <w:r w:rsidRPr="00AB4676">
              <w:rPr>
                <w:rStyle w:val="font91"/>
                <w:rFonts w:ascii="Aptos" w:hAnsi="Aptos"/>
                <w:sz w:val="24"/>
                <w:szCs w:val="24"/>
              </w:rPr>
              <w:t xml:space="preserve"> </w:t>
            </w:r>
            <w:r w:rsidRPr="00AB4676">
              <w:rPr>
                <w:color w:val="000000"/>
              </w:rPr>
              <w:br/>
            </w:r>
            <w:r w:rsidRPr="00AB4676">
              <w:rPr>
                <w:rStyle w:val="font91"/>
                <w:rFonts w:ascii="Aptos" w:hAnsi="Aptos"/>
                <w:sz w:val="24"/>
                <w:szCs w:val="24"/>
              </w:rPr>
              <w:t xml:space="preserve">(a) The approved Gas Auction Threshold Price Determination Methodology in accordance with these Rules; </w:t>
            </w:r>
            <w:r w:rsidRPr="00AB4676">
              <w:rPr>
                <w:rStyle w:val="font111"/>
                <w:rFonts w:ascii="Aptos" w:hAnsi="Aptos"/>
                <w:color w:val="0070C0"/>
                <w:sz w:val="24"/>
                <w:szCs w:val="24"/>
                <w:u w:val="single"/>
              </w:rPr>
              <w:t>and</w:t>
            </w:r>
          </w:p>
          <w:p w:rsidR="00FF0F8E" w:rsidRPr="00AB4676" w:rsidRDefault="00FF0F8E" w:rsidP="001E3EA6">
            <w:pPr>
              <w:jc w:val="both"/>
              <w:rPr>
                <w:rStyle w:val="font91"/>
                <w:rFonts w:ascii="Aptos" w:hAnsi="Aptos"/>
                <w:sz w:val="24"/>
                <w:szCs w:val="24"/>
              </w:rPr>
            </w:pPr>
            <w:r w:rsidRPr="00AB4676">
              <w:rPr>
                <w:b/>
                <w:bCs/>
                <w:color w:val="FF0000"/>
              </w:rPr>
              <w:br/>
            </w:r>
            <w:r w:rsidRPr="00AB4676">
              <w:rPr>
                <w:rStyle w:val="font91"/>
                <w:rFonts w:ascii="Aptos" w:hAnsi="Aptos"/>
                <w:sz w:val="24"/>
                <w:szCs w:val="24"/>
              </w:rPr>
              <w:t>(b) The initial GAT Price for each applicable Facility Type.”</w:t>
            </w:r>
          </w:p>
          <w:p w:rsidR="001E3EA6" w:rsidRPr="00AB4676" w:rsidRDefault="001E3EA6" w:rsidP="001E3EA6">
            <w:pPr>
              <w:jc w:val="both"/>
              <w:rPr>
                <w:color w:val="000000"/>
              </w:rPr>
            </w:pPr>
          </w:p>
        </w:tc>
      </w:tr>
      <w:tr w:rsidR="00EE0609" w:rsidRPr="00AB4676" w:rsidTr="00641C4C">
        <w:trPr>
          <w:trHeight w:val="2168"/>
        </w:trPr>
        <w:tc>
          <w:tcPr>
            <w:tcW w:w="2335" w:type="dxa"/>
          </w:tcPr>
          <w:p w:rsidR="00EE0609" w:rsidRPr="00AB4676" w:rsidRDefault="00EE0609" w:rsidP="00641C4C">
            <w:pPr>
              <w:jc w:val="both"/>
              <w:rPr>
                <w:color w:val="000000"/>
              </w:rPr>
            </w:pPr>
            <w:r w:rsidRPr="00AB4676">
              <w:rPr>
                <w:color w:val="000000"/>
              </w:rPr>
              <w:lastRenderedPageBreak/>
              <w:t>Section 8</w:t>
            </w:r>
          </w:p>
        </w:tc>
        <w:tc>
          <w:tcPr>
            <w:tcW w:w="4320" w:type="dxa"/>
          </w:tcPr>
          <w:p w:rsidR="00EE0609" w:rsidRPr="00AB4676" w:rsidRDefault="00EE0609" w:rsidP="00641C4C">
            <w:pPr>
              <w:spacing w:after="240"/>
              <w:jc w:val="both"/>
              <w:rPr>
                <w:color w:val="000000"/>
              </w:rPr>
            </w:pPr>
            <w:r w:rsidRPr="00AB4676">
              <w:rPr>
                <w:color w:val="000000"/>
              </w:rPr>
              <w:t xml:space="preserve">Section 8.3 does not specify whether Fixed O&amp;M, Variable O&amp;M, and G&amp;A Costs are held constant in nominal terms </w:t>
            </w:r>
            <w:r w:rsidR="00641C4C" w:rsidRPr="00AB4676">
              <w:rPr>
                <w:color w:val="000000"/>
              </w:rPr>
              <w:t>throughout</w:t>
            </w:r>
            <w:r w:rsidRPr="00AB4676">
              <w:rPr>
                <w:color w:val="000000"/>
              </w:rPr>
              <w:t xml:space="preserve"> the Reference Operating Period when </w:t>
            </w:r>
            <w:r w:rsidR="00641C4C" w:rsidRPr="00AB4676">
              <w:rPr>
                <w:color w:val="000000"/>
              </w:rPr>
              <w:t>calculating</w:t>
            </w:r>
            <w:r w:rsidRPr="00AB4676">
              <w:rPr>
                <w:color w:val="000000"/>
              </w:rPr>
              <w:t xml:space="preserve"> the levelized GAT Price, or </w:t>
            </w:r>
            <w:r w:rsidR="00641C4C" w:rsidRPr="00AB4676">
              <w:rPr>
                <w:color w:val="000000"/>
              </w:rPr>
              <w:t xml:space="preserve">are </w:t>
            </w:r>
            <w:r w:rsidRPr="00AB4676">
              <w:rPr>
                <w:color w:val="000000"/>
              </w:rPr>
              <w:t>escalated for inflation before t</w:t>
            </w:r>
            <w:r w:rsidR="00641C4C" w:rsidRPr="00AB4676">
              <w:rPr>
                <w:color w:val="000000"/>
              </w:rPr>
              <w:t xml:space="preserve">he calculation. </w:t>
            </w:r>
          </w:p>
        </w:tc>
        <w:tc>
          <w:tcPr>
            <w:tcW w:w="6295" w:type="dxa"/>
            <w:vMerge w:val="restart"/>
          </w:tcPr>
          <w:p w:rsidR="00641C4C" w:rsidRPr="00AB4676" w:rsidRDefault="00641C4C" w:rsidP="00641C4C">
            <w:pPr>
              <w:pStyle w:val="pdq2pgselectionanchorcontainer"/>
              <w:jc w:val="both"/>
              <w:rPr>
                <w:rFonts w:ascii="Aptos" w:hAnsi="Aptos"/>
              </w:rPr>
            </w:pPr>
            <w:r w:rsidRPr="00AB4676">
              <w:rPr>
                <w:rFonts w:ascii="Aptos" w:hAnsi="Aptos"/>
              </w:rPr>
              <w:t>Section 11.5 allows a one-time indexation adjustment between the date of the Certificate of Award and the Commercial Operations Date. However, the last sentence</w:t>
            </w:r>
            <w:r w:rsidRPr="00AB4676">
              <w:rPr>
                <w:rFonts w:ascii="Aptos" w:hAnsi="Aptos"/>
              </w:rPr>
              <w:t xml:space="preserve"> of the said provision, </w:t>
            </w:r>
            <w:r w:rsidRPr="00AB4676">
              <w:rPr>
                <w:rFonts w:ascii="Aptos" w:hAnsi="Aptos"/>
              </w:rPr>
              <w:t xml:space="preserve"> provides that there will be no further indexation of </w:t>
            </w:r>
            <w:r w:rsidRPr="00AB4676">
              <w:rPr>
                <w:rFonts w:ascii="Aptos" w:hAnsi="Aptos"/>
                <w:u w:val="single"/>
              </w:rPr>
              <w:t>the GAT Price or GAP</w:t>
            </w:r>
            <w:r w:rsidRPr="00AB4676">
              <w:rPr>
                <w:rFonts w:ascii="Aptos" w:hAnsi="Aptos"/>
              </w:rPr>
              <w:t xml:space="preserve"> for the remainder of the term of the Certificate of Award.</w:t>
            </w:r>
          </w:p>
          <w:p w:rsidR="00641C4C" w:rsidRPr="00AB4676" w:rsidRDefault="00641C4C" w:rsidP="00641C4C">
            <w:pPr>
              <w:pStyle w:val="pdq2pgselectionanchorcontainer"/>
              <w:jc w:val="both"/>
              <w:rPr>
                <w:rFonts w:ascii="Aptos" w:hAnsi="Aptos"/>
              </w:rPr>
            </w:pPr>
            <w:r w:rsidRPr="00AB4676">
              <w:rPr>
                <w:rFonts w:ascii="Aptos" w:hAnsi="Aptos"/>
              </w:rPr>
              <w:t>If so, since the GAT Price</w:t>
            </w:r>
            <w:r w:rsidRPr="00AB4676">
              <w:rPr>
                <w:rFonts w:ascii="Aptos" w:hAnsi="Aptos"/>
              </w:rPr>
              <w:t xml:space="preserve"> and GAP</w:t>
            </w:r>
            <w:r w:rsidRPr="00AB4676">
              <w:rPr>
                <w:rFonts w:ascii="Aptos" w:hAnsi="Aptos"/>
              </w:rPr>
              <w:t xml:space="preserve"> will be fixed for the term and will not be indexed after COD, the initial DCF calculation should already incorporate the expected inflationary escalation of recurring Fixed O&amp;M, Variable O&amp;M, and G&amp;A costs. </w:t>
            </w:r>
            <w:r w:rsidRPr="00AB4676">
              <w:rPr>
                <w:rFonts w:ascii="Aptos" w:hAnsi="Aptos"/>
                <w:i/>
                <w:iCs/>
              </w:rPr>
              <w:t xml:space="preserve">( e.g. </w:t>
            </w:r>
            <w:r w:rsidRPr="00AB4676">
              <w:rPr>
                <w:rFonts w:ascii="Aptos" w:hAnsi="Aptos"/>
                <w:i/>
                <w:iCs/>
              </w:rPr>
              <w:t>escalated year-over-year using a published inflation index (</w:t>
            </w:r>
            <w:proofErr w:type="spellStart"/>
            <w:r w:rsidRPr="00AB4676">
              <w:rPr>
                <w:rFonts w:ascii="Aptos" w:hAnsi="Aptos"/>
                <w:i/>
                <w:iCs/>
              </w:rPr>
              <w:t>i.e</w:t>
            </w:r>
            <w:proofErr w:type="spellEnd"/>
            <w:r w:rsidRPr="00AB4676">
              <w:rPr>
                <w:rFonts w:ascii="Aptos" w:hAnsi="Aptos"/>
                <w:i/>
                <w:iCs/>
              </w:rPr>
              <w:t xml:space="preserve"> Philippine CPI for capital goods and services)</w:t>
            </w:r>
            <w:r w:rsidRPr="00AB4676">
              <w:rPr>
                <w:rFonts w:ascii="Aptos" w:hAnsi="Aptos"/>
              </w:rPr>
              <w:t>, throughout the Reference Operating Period to ensure that the resulting GAT Price provides adequate cost recovery.</w:t>
            </w:r>
          </w:p>
          <w:p w:rsidR="00641C4C" w:rsidRPr="00AB4676" w:rsidRDefault="00641C4C" w:rsidP="00641C4C">
            <w:pPr>
              <w:pStyle w:val="pdq2pgselectionanchorcontainer"/>
              <w:jc w:val="both"/>
              <w:rPr>
                <w:rFonts w:ascii="Aptos" w:hAnsi="Aptos"/>
              </w:rPr>
            </w:pPr>
          </w:p>
        </w:tc>
      </w:tr>
      <w:tr w:rsidR="00EE0609" w:rsidRPr="00AB4676" w:rsidTr="00E8465F">
        <w:tc>
          <w:tcPr>
            <w:tcW w:w="2335" w:type="dxa"/>
          </w:tcPr>
          <w:p w:rsidR="00EE0609" w:rsidRPr="00AB4676" w:rsidRDefault="00EE0609" w:rsidP="00FF0F8E">
            <w:pPr>
              <w:rPr>
                <w:color w:val="000000"/>
              </w:rPr>
            </w:pPr>
            <w:r w:rsidRPr="00AB4676">
              <w:rPr>
                <w:color w:val="000000"/>
              </w:rPr>
              <w:t>Section 11.5</w:t>
            </w:r>
          </w:p>
        </w:tc>
        <w:tc>
          <w:tcPr>
            <w:tcW w:w="4320" w:type="dxa"/>
          </w:tcPr>
          <w:p w:rsidR="00641C4C" w:rsidRPr="00AB4676" w:rsidRDefault="00641C4C" w:rsidP="00FF0F8E">
            <w:pPr>
              <w:spacing w:after="240"/>
              <w:jc w:val="both"/>
              <w:rPr>
                <w:rStyle w:val="font101"/>
                <w:rFonts w:ascii="Aptos" w:hAnsi="Aptos"/>
                <w:sz w:val="24"/>
                <w:szCs w:val="24"/>
              </w:rPr>
            </w:pPr>
            <w:r w:rsidRPr="00AB4676">
              <w:rPr>
                <w:rStyle w:val="font101"/>
                <w:rFonts w:ascii="Aptos" w:hAnsi="Aptos"/>
                <w:sz w:val="24"/>
                <w:szCs w:val="24"/>
              </w:rPr>
              <w:t xml:space="preserve">Clarification on </w:t>
            </w:r>
            <w:r w:rsidRPr="00AB4676">
              <w:rPr>
                <w:rStyle w:val="font101"/>
                <w:rFonts w:ascii="Aptos" w:hAnsi="Aptos"/>
                <w:sz w:val="24"/>
                <w:szCs w:val="24"/>
              </w:rPr>
              <w:t xml:space="preserve">Section 11.5 which provides: </w:t>
            </w:r>
          </w:p>
          <w:p w:rsidR="00EE0609" w:rsidRPr="00AB4676" w:rsidRDefault="00641C4C" w:rsidP="00FF0F8E">
            <w:pPr>
              <w:spacing w:after="240"/>
              <w:jc w:val="both"/>
              <w:rPr>
                <w:color w:val="000000"/>
              </w:rPr>
            </w:pPr>
            <w:r w:rsidRPr="00AB4676">
              <w:rPr>
                <w:rStyle w:val="font101"/>
                <w:rFonts w:ascii="Aptos" w:hAnsi="Aptos"/>
                <w:sz w:val="24"/>
                <w:szCs w:val="24"/>
              </w:rPr>
              <w:t xml:space="preserve"> “</w:t>
            </w:r>
            <w:r w:rsidR="00EE0609" w:rsidRPr="00AB4676">
              <w:rPr>
                <w:rStyle w:val="font181"/>
                <w:rFonts w:ascii="Aptos" w:hAnsi="Aptos"/>
                <w:sz w:val="24"/>
                <w:szCs w:val="24"/>
              </w:rPr>
              <w:t xml:space="preserve">xxx No further indexation shall be applied to the </w:t>
            </w:r>
            <w:r w:rsidR="00EE0609" w:rsidRPr="00AB4676">
              <w:rPr>
                <w:rStyle w:val="font181"/>
                <w:rFonts w:ascii="Aptos" w:hAnsi="Aptos"/>
                <w:b/>
                <w:bCs/>
                <w:sz w:val="24"/>
                <w:szCs w:val="24"/>
                <w:u w:val="single"/>
              </w:rPr>
              <w:t>GAT Price</w:t>
            </w:r>
            <w:r w:rsidR="00EE0609" w:rsidRPr="00AB4676">
              <w:rPr>
                <w:rStyle w:val="font181"/>
                <w:rFonts w:ascii="Aptos" w:hAnsi="Aptos"/>
                <w:sz w:val="24"/>
                <w:szCs w:val="24"/>
                <w:u w:val="single"/>
              </w:rPr>
              <w:t xml:space="preserve"> </w:t>
            </w:r>
            <w:r w:rsidR="00EE0609" w:rsidRPr="00AB4676">
              <w:rPr>
                <w:rStyle w:val="font191"/>
                <w:rFonts w:ascii="Aptos" w:hAnsi="Aptos"/>
                <w:sz w:val="24"/>
                <w:szCs w:val="24"/>
                <w:u w:val="single"/>
              </w:rPr>
              <w:t>or GAP</w:t>
            </w:r>
            <w:r w:rsidR="00EE0609" w:rsidRPr="00AB4676">
              <w:rPr>
                <w:rStyle w:val="font191"/>
                <w:rFonts w:ascii="Aptos" w:hAnsi="Aptos"/>
                <w:sz w:val="24"/>
                <w:szCs w:val="24"/>
              </w:rPr>
              <w:t xml:space="preserve"> </w:t>
            </w:r>
            <w:r w:rsidR="00EE0609" w:rsidRPr="00AB4676">
              <w:rPr>
                <w:rStyle w:val="font181"/>
                <w:rFonts w:ascii="Aptos" w:hAnsi="Aptos"/>
                <w:sz w:val="24"/>
                <w:szCs w:val="24"/>
              </w:rPr>
              <w:t>for the remainder of the term of the Certificate of Award.</w:t>
            </w:r>
            <w:r w:rsidRPr="00AB4676">
              <w:rPr>
                <w:rStyle w:val="font181"/>
                <w:rFonts w:ascii="Aptos" w:hAnsi="Aptos"/>
                <w:sz w:val="24"/>
                <w:szCs w:val="24"/>
              </w:rPr>
              <w:t>”</w:t>
            </w:r>
          </w:p>
        </w:tc>
        <w:tc>
          <w:tcPr>
            <w:tcW w:w="6295" w:type="dxa"/>
            <w:vMerge/>
          </w:tcPr>
          <w:p w:rsidR="00EE0609" w:rsidRPr="00AB4676" w:rsidRDefault="00EE0609" w:rsidP="00FF0F8E">
            <w:pPr>
              <w:jc w:val="both"/>
              <w:rPr>
                <w:color w:val="000000"/>
              </w:rPr>
            </w:pPr>
          </w:p>
        </w:tc>
      </w:tr>
      <w:tr w:rsidR="00FF0F8E" w:rsidRPr="00AB4676" w:rsidTr="00E8465F">
        <w:tc>
          <w:tcPr>
            <w:tcW w:w="2335" w:type="dxa"/>
          </w:tcPr>
          <w:p w:rsidR="00FF0F8E" w:rsidRPr="00AB4676" w:rsidRDefault="00FF0F8E" w:rsidP="00FF0F8E">
            <w:pPr>
              <w:rPr>
                <w:color w:val="000000"/>
              </w:rPr>
            </w:pPr>
            <w:r w:rsidRPr="00AB4676">
              <w:rPr>
                <w:color w:val="000000"/>
              </w:rPr>
              <w:t>Section 13.4</w:t>
            </w:r>
          </w:p>
        </w:tc>
        <w:tc>
          <w:tcPr>
            <w:tcW w:w="4320" w:type="dxa"/>
          </w:tcPr>
          <w:p w:rsidR="00641C4C" w:rsidRPr="00AB4676" w:rsidRDefault="00641C4C" w:rsidP="00FF0F8E">
            <w:pPr>
              <w:jc w:val="both"/>
              <w:rPr>
                <w:rStyle w:val="font101"/>
                <w:rFonts w:ascii="Aptos" w:hAnsi="Aptos"/>
                <w:sz w:val="24"/>
                <w:szCs w:val="24"/>
              </w:rPr>
            </w:pPr>
            <w:r w:rsidRPr="00AB4676">
              <w:rPr>
                <w:rStyle w:val="font101"/>
                <w:rFonts w:ascii="Aptos" w:hAnsi="Aptos"/>
                <w:sz w:val="24"/>
                <w:szCs w:val="24"/>
              </w:rPr>
              <w:t>Clarification on Section 1</w:t>
            </w:r>
            <w:r w:rsidRPr="00AB4676">
              <w:rPr>
                <w:rStyle w:val="font101"/>
                <w:rFonts w:ascii="Aptos" w:hAnsi="Aptos"/>
                <w:sz w:val="24"/>
                <w:szCs w:val="24"/>
              </w:rPr>
              <w:t xml:space="preserve">3.4 </w:t>
            </w:r>
            <w:r w:rsidRPr="00AB4676">
              <w:rPr>
                <w:rStyle w:val="font101"/>
                <w:rFonts w:ascii="Aptos" w:hAnsi="Aptos"/>
                <w:sz w:val="24"/>
                <w:szCs w:val="24"/>
              </w:rPr>
              <w:t>which provides</w:t>
            </w:r>
            <w:r w:rsidRPr="00AB4676">
              <w:rPr>
                <w:rStyle w:val="font101"/>
                <w:rFonts w:ascii="Aptos" w:hAnsi="Aptos"/>
                <w:sz w:val="24"/>
                <w:szCs w:val="24"/>
              </w:rPr>
              <w:t xml:space="preserve">: </w:t>
            </w:r>
          </w:p>
          <w:p w:rsidR="00641C4C" w:rsidRPr="00AB4676" w:rsidRDefault="00641C4C" w:rsidP="00FF0F8E">
            <w:pPr>
              <w:jc w:val="both"/>
              <w:rPr>
                <w:rStyle w:val="font101"/>
                <w:rFonts w:ascii="Aptos" w:hAnsi="Aptos"/>
                <w:sz w:val="24"/>
                <w:szCs w:val="24"/>
              </w:rPr>
            </w:pPr>
          </w:p>
          <w:p w:rsidR="00FF0F8E" w:rsidRPr="00AB4676" w:rsidRDefault="00641C4C" w:rsidP="00FF0F8E">
            <w:pPr>
              <w:jc w:val="both"/>
              <w:rPr>
                <w:color w:val="000000"/>
              </w:rPr>
            </w:pPr>
            <w:r w:rsidRPr="00AB4676">
              <w:rPr>
                <w:rStyle w:val="font101"/>
                <w:rFonts w:ascii="Aptos" w:hAnsi="Aptos"/>
                <w:sz w:val="24"/>
                <w:szCs w:val="24"/>
              </w:rPr>
              <w:t>“</w:t>
            </w:r>
            <w:r w:rsidR="00FF0F8E" w:rsidRPr="00AB4676">
              <w:rPr>
                <w:color w:val="000000"/>
              </w:rPr>
              <w:t xml:space="preserve">Capped Landed Logistics Cost Allocations. </w:t>
            </w:r>
            <w:r w:rsidRPr="00AB4676">
              <w:rPr>
                <w:color w:val="000000"/>
              </w:rPr>
              <w:t xml:space="preserve">xxx </w:t>
            </w:r>
            <w:r w:rsidR="00FF0F8E" w:rsidRPr="00AB4676">
              <w:rPr>
                <w:color w:val="000000"/>
              </w:rPr>
              <w:t>The allowable Add-on costs enumerated in Section 17 (regasification/terminal fees, pipeline transportation fees,</w:t>
            </w:r>
            <w:r w:rsidRPr="00AB4676">
              <w:rPr>
                <w:color w:val="000000"/>
              </w:rPr>
              <w:t xml:space="preserve"> </w:t>
            </w:r>
            <w:r w:rsidR="00FF0F8E" w:rsidRPr="00AB4676">
              <w:rPr>
                <w:color w:val="000000"/>
              </w:rPr>
              <w:t xml:space="preserve">and the boil-off gas allowance) shall be embedded, on a levelized and capped basis, in the GAT Price. </w:t>
            </w:r>
            <w:r w:rsidR="00F54CCC" w:rsidRPr="00AB4676">
              <w:rPr>
                <w:color w:val="000000"/>
              </w:rPr>
              <w:t>x</w:t>
            </w:r>
            <w:r w:rsidR="00FF0F8E" w:rsidRPr="00AB4676">
              <w:rPr>
                <w:color w:val="000000"/>
              </w:rPr>
              <w:t>xx</w:t>
            </w:r>
            <w:r w:rsidRPr="00AB4676">
              <w:rPr>
                <w:color w:val="000000"/>
              </w:rPr>
              <w:t>”</w:t>
            </w:r>
          </w:p>
        </w:tc>
        <w:tc>
          <w:tcPr>
            <w:tcW w:w="6295" w:type="dxa"/>
          </w:tcPr>
          <w:p w:rsidR="00FF0F8E" w:rsidRPr="00AB4676" w:rsidRDefault="00F54CCC" w:rsidP="00FF0F8E">
            <w:pPr>
              <w:jc w:val="both"/>
              <w:rPr>
                <w:color w:val="000000"/>
              </w:rPr>
            </w:pPr>
            <w:r w:rsidRPr="00AB4676">
              <w:lastRenderedPageBreak/>
              <w:t xml:space="preserve">The cap should consider the specific characteristics of each facility, including its size, location, facility type, and </w:t>
            </w:r>
            <w:r w:rsidRPr="00AB4676">
              <w:lastRenderedPageBreak/>
              <w:t>fuel source. It should not prevent the recovery of legitimate and prudently incurred logistics costs, particularly since regasification, terminal, pipeline transportation, and boil-off gas costs may vary depending on the facility’s location, configuration, and operating requirements.</w:t>
            </w:r>
            <w:r w:rsidR="00FF0F8E" w:rsidRPr="00AB4676">
              <w:rPr>
                <w:color w:val="000000"/>
              </w:rPr>
              <w:t>.</w:t>
            </w:r>
          </w:p>
        </w:tc>
      </w:tr>
      <w:tr w:rsidR="00FF0F8E" w:rsidRPr="00AB4676" w:rsidTr="00E8465F">
        <w:tc>
          <w:tcPr>
            <w:tcW w:w="2335" w:type="dxa"/>
          </w:tcPr>
          <w:p w:rsidR="00FF0F8E" w:rsidRPr="00AB4676" w:rsidRDefault="00FF0F8E" w:rsidP="00FF0F8E">
            <w:pPr>
              <w:rPr>
                <w:color w:val="000000"/>
              </w:rPr>
            </w:pPr>
            <w:r w:rsidRPr="00AB4676">
              <w:rPr>
                <w:color w:val="000000"/>
              </w:rPr>
              <w:lastRenderedPageBreak/>
              <w:t>Section 15</w:t>
            </w:r>
          </w:p>
        </w:tc>
        <w:tc>
          <w:tcPr>
            <w:tcW w:w="4320" w:type="dxa"/>
          </w:tcPr>
          <w:p w:rsidR="00F54CCC" w:rsidRPr="00AB4676" w:rsidRDefault="00F54CCC" w:rsidP="00FF0F8E">
            <w:pPr>
              <w:jc w:val="both"/>
              <w:rPr>
                <w:color w:val="000000"/>
              </w:rPr>
            </w:pPr>
            <w:r w:rsidRPr="00AB4676">
              <w:rPr>
                <w:rStyle w:val="font101"/>
                <w:rFonts w:ascii="Aptos" w:hAnsi="Aptos"/>
                <w:sz w:val="24"/>
                <w:szCs w:val="24"/>
              </w:rPr>
              <w:t xml:space="preserve">Clarification on </w:t>
            </w:r>
            <w:r w:rsidR="00FF0F8E" w:rsidRPr="00AB4676">
              <w:rPr>
                <w:color w:val="000000"/>
              </w:rPr>
              <w:t>Section 15.1 (a) Spot LNG Benchmark</w:t>
            </w:r>
            <w:r w:rsidRPr="00AB4676">
              <w:rPr>
                <w:color w:val="000000"/>
              </w:rPr>
              <w:t xml:space="preserve"> which provides: </w:t>
            </w:r>
          </w:p>
          <w:p w:rsidR="00F54CCC" w:rsidRPr="00AB4676" w:rsidRDefault="00F54CCC" w:rsidP="00FF0F8E">
            <w:pPr>
              <w:jc w:val="both"/>
              <w:rPr>
                <w:color w:val="000000"/>
              </w:rPr>
            </w:pPr>
          </w:p>
          <w:p w:rsidR="00FF0F8E" w:rsidRPr="00AB4676" w:rsidRDefault="00F54CCC" w:rsidP="00FF0F8E">
            <w:pPr>
              <w:jc w:val="both"/>
              <w:rPr>
                <w:color w:val="000000"/>
              </w:rPr>
            </w:pPr>
            <w:r w:rsidRPr="00AB4676">
              <w:rPr>
                <w:color w:val="000000"/>
              </w:rPr>
              <w:t>“</w:t>
            </w:r>
            <w:r w:rsidR="00FF0F8E" w:rsidRPr="00AB4676">
              <w:rPr>
                <w:color w:val="000000"/>
              </w:rPr>
              <w:t xml:space="preserve">The three (3)-month trailing average of the Japan/Korea </w:t>
            </w:r>
            <w:r w:rsidR="001577DC" w:rsidRPr="00AB4676">
              <w:rPr>
                <w:color w:val="000000"/>
              </w:rPr>
              <w:t>M</w:t>
            </w:r>
            <w:r w:rsidR="00FF0F8E" w:rsidRPr="00AB4676">
              <w:rPr>
                <w:color w:val="000000"/>
              </w:rPr>
              <w:t>arker spot price for LNG, as published by S&amp;P Global Platts</w:t>
            </w:r>
            <w:r w:rsidRPr="00AB4676">
              <w:rPr>
                <w:color w:val="000000"/>
              </w:rPr>
              <w:t xml:space="preserve"> xxx”</w:t>
            </w:r>
          </w:p>
        </w:tc>
        <w:tc>
          <w:tcPr>
            <w:tcW w:w="6295" w:type="dxa"/>
          </w:tcPr>
          <w:p w:rsidR="00F54CCC" w:rsidRPr="00AB4676" w:rsidRDefault="00F54CCC" w:rsidP="00FF0F8E">
            <w:pPr>
              <w:jc w:val="both"/>
            </w:pPr>
            <w:r w:rsidRPr="00AB4676">
              <w:t xml:space="preserve">Clarification on the use of the </w:t>
            </w:r>
            <w:r w:rsidR="001577DC" w:rsidRPr="00AB4676">
              <w:rPr>
                <w:i/>
                <w:iCs/>
              </w:rPr>
              <w:t>“</w:t>
            </w:r>
            <w:r w:rsidRPr="00AB4676">
              <w:t>three-month trailing average</w:t>
            </w:r>
            <w:r w:rsidR="001577DC" w:rsidRPr="00AB4676">
              <w:t>”</w:t>
            </w:r>
            <w:r w:rsidRPr="00AB4676">
              <w:t xml:space="preserve">, considering that the actual cost of spot LNG is generally determined based on the prevailing JKM price at or around the </w:t>
            </w:r>
            <w:r w:rsidRPr="00AB4676">
              <w:rPr>
                <w:u w:val="single"/>
              </w:rPr>
              <w:t>time of delivery</w:t>
            </w:r>
            <w:r w:rsidRPr="00AB4676">
              <w:t>.</w:t>
            </w:r>
          </w:p>
          <w:p w:rsidR="00F54CCC" w:rsidRPr="00AB4676" w:rsidRDefault="00F54CCC" w:rsidP="00FF0F8E">
            <w:pPr>
              <w:jc w:val="both"/>
            </w:pPr>
          </w:p>
          <w:p w:rsidR="00F54CCC" w:rsidRPr="00AB4676" w:rsidRDefault="00F54CCC" w:rsidP="00FF0F8E">
            <w:pPr>
              <w:jc w:val="both"/>
              <w:rPr>
                <w:color w:val="000000"/>
              </w:rPr>
            </w:pPr>
            <w:r w:rsidRPr="00AB4676">
              <w:t xml:space="preserve">Accordingly, applying a three-month trailing average at the </w:t>
            </w:r>
            <w:r w:rsidRPr="00AB4676">
              <w:rPr>
                <w:u w:val="single"/>
              </w:rPr>
              <w:t>time of billing</w:t>
            </w:r>
            <w:r w:rsidRPr="00AB4676">
              <w:t xml:space="preserve"> may not accurately reflect the actual cost of LNG delivered during the relevant period.</w:t>
            </w:r>
          </w:p>
        </w:tc>
      </w:tr>
      <w:tr w:rsidR="00FF0F8E" w:rsidRPr="00AB4676" w:rsidTr="00E8465F">
        <w:tc>
          <w:tcPr>
            <w:tcW w:w="2335" w:type="dxa"/>
          </w:tcPr>
          <w:p w:rsidR="00FF0F8E" w:rsidRPr="00AB4676" w:rsidRDefault="00FF0F8E" w:rsidP="00FF0F8E">
            <w:pPr>
              <w:rPr>
                <w:color w:val="000000"/>
              </w:rPr>
            </w:pPr>
            <w:r w:rsidRPr="00AB4676">
              <w:rPr>
                <w:color w:val="000000"/>
              </w:rPr>
              <w:t>Section 15</w:t>
            </w:r>
          </w:p>
        </w:tc>
        <w:tc>
          <w:tcPr>
            <w:tcW w:w="4320" w:type="dxa"/>
          </w:tcPr>
          <w:p w:rsidR="00F54CCC" w:rsidRPr="00AB4676" w:rsidRDefault="00F54CCC" w:rsidP="00FF0F8E">
            <w:pPr>
              <w:jc w:val="both"/>
              <w:rPr>
                <w:color w:val="000000"/>
              </w:rPr>
            </w:pPr>
            <w:r w:rsidRPr="00AB4676">
              <w:rPr>
                <w:rStyle w:val="font101"/>
                <w:rFonts w:ascii="Aptos" w:hAnsi="Aptos"/>
                <w:sz w:val="24"/>
                <w:szCs w:val="24"/>
              </w:rPr>
              <w:t xml:space="preserve">Clarification on </w:t>
            </w:r>
            <w:r w:rsidR="00FF0F8E" w:rsidRPr="00AB4676">
              <w:rPr>
                <w:color w:val="000000"/>
              </w:rPr>
              <w:t>Section 15.1 (c) Long-Term Contract Equivalent</w:t>
            </w:r>
            <w:r w:rsidRPr="00AB4676">
              <w:rPr>
                <w:color w:val="000000"/>
              </w:rPr>
              <w:t xml:space="preserve"> </w:t>
            </w:r>
            <w:r w:rsidRPr="00AB4676">
              <w:rPr>
                <w:color w:val="000000"/>
              </w:rPr>
              <w:t xml:space="preserve">which provides: </w:t>
            </w:r>
          </w:p>
          <w:p w:rsidR="00F54CCC" w:rsidRPr="00AB4676" w:rsidRDefault="00F54CCC" w:rsidP="00FF0F8E">
            <w:pPr>
              <w:jc w:val="both"/>
              <w:rPr>
                <w:color w:val="000000"/>
              </w:rPr>
            </w:pPr>
          </w:p>
          <w:p w:rsidR="00FF0F8E" w:rsidRPr="00AB4676" w:rsidRDefault="00F54CCC" w:rsidP="00FF0F8E">
            <w:pPr>
              <w:jc w:val="both"/>
              <w:rPr>
                <w:color w:val="000000"/>
              </w:rPr>
            </w:pPr>
            <w:r w:rsidRPr="00AB4676">
              <w:rPr>
                <w:color w:val="000000"/>
              </w:rPr>
              <w:t>“</w:t>
            </w:r>
            <w:r w:rsidR="00FF0F8E" w:rsidRPr="00AB4676">
              <w:rPr>
                <w:color w:val="000000"/>
              </w:rPr>
              <w:t xml:space="preserve">For Winning Bidders procuring LNG under long-term sale and purchase agreements, </w:t>
            </w:r>
            <w:r w:rsidR="00FF0F8E" w:rsidRPr="00AB4676">
              <w:rPr>
                <w:color w:val="000000"/>
                <w:u w:val="single"/>
              </w:rPr>
              <w:t>the Commission shall compare the contract price against the applicable spot benchmark</w:t>
            </w:r>
            <w:r w:rsidR="00FF0F8E" w:rsidRPr="00AB4676">
              <w:rPr>
                <w:color w:val="000000"/>
              </w:rPr>
              <w:t xml:space="preserve"> and may allow the use of long-term contract price </w:t>
            </w:r>
            <w:r w:rsidR="00FF0F8E" w:rsidRPr="00AB4676">
              <w:rPr>
                <w:color w:val="000000"/>
                <w:u w:val="single"/>
              </w:rPr>
              <w:t>where it results in lower landed cost.</w:t>
            </w:r>
            <w:r w:rsidRPr="00AB4676">
              <w:rPr>
                <w:color w:val="000000"/>
                <w:u w:val="single"/>
              </w:rPr>
              <w:t>”</w:t>
            </w:r>
          </w:p>
        </w:tc>
        <w:tc>
          <w:tcPr>
            <w:tcW w:w="6295" w:type="dxa"/>
          </w:tcPr>
          <w:p w:rsidR="00FF0F8E" w:rsidRPr="00AB4676" w:rsidRDefault="00F54CCC" w:rsidP="00FF0F8E">
            <w:pPr>
              <w:jc w:val="both"/>
              <w:rPr>
                <w:color w:val="000000"/>
              </w:rPr>
            </w:pPr>
            <w:r w:rsidRPr="00AB4676">
              <w:t>Long-term LNG SPAs typically include take-or-pay commitments, regardless of market price movements. As a result, the term LNG price may, at times, be higher than the prevailing spot price</w:t>
            </w:r>
            <w:r w:rsidR="00683DCF" w:rsidRPr="00AB4676">
              <w:t xml:space="preserve"> (</w:t>
            </w:r>
            <w:r w:rsidR="00683DCF" w:rsidRPr="00AB4676">
              <w:rPr>
                <w:i/>
                <w:iCs/>
              </w:rPr>
              <w:t>e.g. fuel crisis)</w:t>
            </w:r>
            <w:r w:rsidR="00683DCF" w:rsidRPr="00AB4676">
              <w:t xml:space="preserve"> </w:t>
            </w:r>
            <w:r w:rsidRPr="00AB4676">
              <w:t>. Capping the allowable price at the lower of the term and spot prices would undermine the purpose of long-term contracting</w:t>
            </w:r>
            <w:r w:rsidRPr="00AB4676">
              <w:t xml:space="preserve">. </w:t>
            </w:r>
            <w:r w:rsidR="00683DCF" w:rsidRPr="00AB4676">
              <w:t xml:space="preserve">Accordingly, the </w:t>
            </w:r>
            <w:r w:rsidR="00683DCF" w:rsidRPr="00AB4676">
              <w:rPr>
                <w:rStyle w:val="Strong"/>
                <w:b w:val="0"/>
                <w:bCs w:val="0"/>
              </w:rPr>
              <w:t>contracted term price under the Fuel Contract should be respected and allowed for recovery.</w:t>
            </w:r>
          </w:p>
        </w:tc>
      </w:tr>
      <w:tr w:rsidR="00FF0F8E" w:rsidRPr="00AB4676" w:rsidTr="00E8465F">
        <w:tc>
          <w:tcPr>
            <w:tcW w:w="2335" w:type="dxa"/>
          </w:tcPr>
          <w:p w:rsidR="00FF0F8E" w:rsidRPr="00AB4676" w:rsidRDefault="00FF0F8E" w:rsidP="00FF0F8E">
            <w:pPr>
              <w:rPr>
                <w:color w:val="000000"/>
              </w:rPr>
            </w:pPr>
            <w:r w:rsidRPr="00AB4676">
              <w:rPr>
                <w:color w:val="000000"/>
              </w:rPr>
              <w:t>Section 17</w:t>
            </w:r>
          </w:p>
        </w:tc>
        <w:tc>
          <w:tcPr>
            <w:tcW w:w="4320" w:type="dxa"/>
          </w:tcPr>
          <w:p w:rsidR="00683DCF" w:rsidRPr="00AB4676" w:rsidRDefault="00683DCF" w:rsidP="00FF0F8E">
            <w:pPr>
              <w:jc w:val="both"/>
              <w:rPr>
                <w:color w:val="000000"/>
              </w:rPr>
            </w:pPr>
            <w:r w:rsidRPr="00AB4676">
              <w:rPr>
                <w:rStyle w:val="font101"/>
                <w:rFonts w:ascii="Aptos" w:hAnsi="Aptos"/>
                <w:sz w:val="24"/>
                <w:szCs w:val="24"/>
              </w:rPr>
              <w:t xml:space="preserve">Clarification on </w:t>
            </w:r>
            <w:r w:rsidRPr="00AB4676">
              <w:rPr>
                <w:color w:val="000000"/>
              </w:rPr>
              <w:t>Section 1</w:t>
            </w:r>
            <w:r w:rsidRPr="00AB4676">
              <w:rPr>
                <w:color w:val="000000"/>
              </w:rPr>
              <w:t xml:space="preserve">7, which provides: </w:t>
            </w:r>
          </w:p>
          <w:p w:rsidR="00683DCF" w:rsidRPr="00AB4676" w:rsidRDefault="00683DCF" w:rsidP="00FF0F8E">
            <w:pPr>
              <w:jc w:val="both"/>
              <w:rPr>
                <w:color w:val="000000"/>
              </w:rPr>
            </w:pPr>
          </w:p>
          <w:p w:rsidR="00FF0F8E" w:rsidRPr="00AB4676" w:rsidRDefault="00683DCF" w:rsidP="00FF0F8E">
            <w:pPr>
              <w:jc w:val="both"/>
              <w:rPr>
                <w:color w:val="000000"/>
              </w:rPr>
            </w:pPr>
            <w:r w:rsidRPr="00AB4676">
              <w:rPr>
                <w:color w:val="000000"/>
              </w:rPr>
              <w:lastRenderedPageBreak/>
              <w:t xml:space="preserve">“xxx </w:t>
            </w:r>
            <w:r w:rsidR="00FF0F8E" w:rsidRPr="00AB4676">
              <w:rPr>
                <w:color w:val="000000"/>
              </w:rPr>
              <w:t xml:space="preserve">Pending the Commission’s determination of specific caps for a given Auction Round under this Section, the default cap for each add-on cost component shall be the most recent Commission-approved or DOE regulated tariff or rate for the corresponding service or, in the absence thereof, the average of </w:t>
            </w:r>
            <w:proofErr w:type="spellStart"/>
            <w:r w:rsidR="00FF0F8E" w:rsidRPr="00AB4676">
              <w:rPr>
                <w:color w:val="000000"/>
              </w:rPr>
              <w:t>atleast</w:t>
            </w:r>
            <w:proofErr w:type="spellEnd"/>
            <w:r w:rsidR="00FF0F8E" w:rsidRPr="00AB4676">
              <w:rPr>
                <w:color w:val="000000"/>
              </w:rPr>
              <w:t xml:space="preserve"> three (3) comparable third-party service quotations submitted by the Winning Bidder, subject to Commission’s verification. </w:t>
            </w:r>
            <w:r w:rsidRPr="00AB4676">
              <w:rPr>
                <w:color w:val="000000"/>
              </w:rPr>
              <w:t>xxx”</w:t>
            </w:r>
          </w:p>
          <w:p w:rsidR="00683DCF" w:rsidRPr="00AB4676" w:rsidRDefault="00683DCF" w:rsidP="00FF0F8E">
            <w:pPr>
              <w:jc w:val="both"/>
              <w:rPr>
                <w:color w:val="000000"/>
              </w:rPr>
            </w:pPr>
          </w:p>
        </w:tc>
        <w:tc>
          <w:tcPr>
            <w:tcW w:w="6295" w:type="dxa"/>
          </w:tcPr>
          <w:p w:rsidR="00683DCF" w:rsidRPr="00AB4676" w:rsidRDefault="00683DCF" w:rsidP="00FF0F8E">
            <w:pPr>
              <w:jc w:val="both"/>
            </w:pPr>
            <w:r w:rsidRPr="00AB4676">
              <w:lastRenderedPageBreak/>
              <w:t>The</w:t>
            </w:r>
            <w:r w:rsidRPr="00AB4676">
              <w:t xml:space="preserve"> exact</w:t>
            </w:r>
            <w:r w:rsidRPr="00AB4676">
              <w:t xml:space="preserve"> default cap for each add-on cost component should be</w:t>
            </w:r>
            <w:r w:rsidRPr="00AB4676">
              <w:t xml:space="preserve"> provided by the Commission, t</w:t>
            </w:r>
            <w:r w:rsidRPr="00AB4676">
              <w:t xml:space="preserve">o ensure transparency and consistency among bidders. </w:t>
            </w:r>
          </w:p>
          <w:p w:rsidR="00683DCF" w:rsidRPr="00AB4676" w:rsidRDefault="00683DCF" w:rsidP="00FF0F8E">
            <w:pPr>
              <w:jc w:val="both"/>
            </w:pPr>
          </w:p>
          <w:p w:rsidR="00FF0F8E" w:rsidRPr="00AB4676" w:rsidRDefault="00683DCF" w:rsidP="00FF0F8E">
            <w:pPr>
              <w:jc w:val="both"/>
              <w:rPr>
                <w:color w:val="000000"/>
              </w:rPr>
            </w:pPr>
            <w:r w:rsidRPr="00AB4676">
              <w:t xml:space="preserve">The provision </w:t>
            </w:r>
            <w:r w:rsidRPr="00AB4676">
              <w:t>should also clarify how</w:t>
            </w:r>
            <w:r w:rsidRPr="00AB4676">
              <w:t xml:space="preserve"> “</w:t>
            </w:r>
            <w:r w:rsidRPr="00AB4676">
              <w:rPr>
                <w:color w:val="000000"/>
              </w:rPr>
              <w:t xml:space="preserve">the average of </w:t>
            </w:r>
            <w:r w:rsidRPr="00AB4676">
              <w:rPr>
                <w:color w:val="000000"/>
              </w:rPr>
              <w:t>at least</w:t>
            </w:r>
            <w:r w:rsidRPr="00AB4676">
              <w:rPr>
                <w:color w:val="000000"/>
              </w:rPr>
              <w:t xml:space="preserve"> three (3) comparable third-party service quotations submitted by the Winning Bidder</w:t>
            </w:r>
            <w:r w:rsidRPr="00AB4676">
              <w:rPr>
                <w:color w:val="000000"/>
              </w:rPr>
              <w:t xml:space="preserve">” will serve as the </w:t>
            </w:r>
            <w:r w:rsidRPr="00AB4676">
              <w:t xml:space="preserve">default </w:t>
            </w:r>
            <w:r w:rsidRPr="00AB4676">
              <w:t>cap</w:t>
            </w:r>
            <w:r w:rsidRPr="00AB4676">
              <w:t xml:space="preserve"> </w:t>
            </w:r>
            <w:r w:rsidRPr="00AB4676">
              <w:t>once the Supply Agreement</w:t>
            </w:r>
            <w:r w:rsidR="00AB4676" w:rsidRPr="00AB4676">
              <w:t xml:space="preserve"> </w:t>
            </w:r>
            <w:r w:rsidRPr="00AB4676">
              <w:t>is operationalized, including whether monthly adjustments to the add-on costs will be subject to the three-bidder rule</w:t>
            </w:r>
            <w:r w:rsidRPr="00AB4676">
              <w:t xml:space="preserve">. </w:t>
            </w:r>
          </w:p>
        </w:tc>
      </w:tr>
      <w:tr w:rsidR="00FF0F8E" w:rsidRPr="00AB4676" w:rsidTr="00E8465F">
        <w:tc>
          <w:tcPr>
            <w:tcW w:w="2335" w:type="dxa"/>
          </w:tcPr>
          <w:p w:rsidR="00FF0F8E" w:rsidRPr="00AB4676" w:rsidRDefault="00FF0F8E" w:rsidP="00683DCF">
            <w:pPr>
              <w:jc w:val="both"/>
              <w:rPr>
                <w:color w:val="000000"/>
              </w:rPr>
            </w:pPr>
            <w:r w:rsidRPr="00AB4676">
              <w:rPr>
                <w:color w:val="000000"/>
              </w:rPr>
              <w:lastRenderedPageBreak/>
              <w:t>Section 17</w:t>
            </w:r>
          </w:p>
        </w:tc>
        <w:tc>
          <w:tcPr>
            <w:tcW w:w="4320" w:type="dxa"/>
          </w:tcPr>
          <w:p w:rsidR="007B41E7" w:rsidRPr="00AB4676" w:rsidRDefault="00683DCF" w:rsidP="000E1014">
            <w:pPr>
              <w:jc w:val="both"/>
              <w:rPr>
                <w:color w:val="000000"/>
              </w:rPr>
            </w:pPr>
            <w:r w:rsidRPr="00AB4676">
              <w:rPr>
                <w:color w:val="000000"/>
              </w:rPr>
              <w:t xml:space="preserve">Clarification on </w:t>
            </w:r>
            <w:r w:rsidR="00FF0F8E" w:rsidRPr="00AB4676">
              <w:rPr>
                <w:color w:val="000000"/>
              </w:rPr>
              <w:t>Section 17</w:t>
            </w:r>
            <w:r w:rsidR="000E1014" w:rsidRPr="00AB4676">
              <w:rPr>
                <w:color w:val="000000"/>
              </w:rPr>
              <w:t xml:space="preserve">. </w:t>
            </w:r>
          </w:p>
          <w:p w:rsidR="007B41E7" w:rsidRPr="00AB4676" w:rsidRDefault="007B41E7" w:rsidP="000E1014">
            <w:pPr>
              <w:jc w:val="both"/>
              <w:rPr>
                <w:color w:val="000000"/>
              </w:rPr>
            </w:pPr>
          </w:p>
          <w:p w:rsidR="007B41E7" w:rsidRPr="00AB4676" w:rsidRDefault="000E1014" w:rsidP="000E1014">
            <w:pPr>
              <w:pStyle w:val="ListParagraph"/>
              <w:numPr>
                <w:ilvl w:val="0"/>
                <w:numId w:val="1"/>
              </w:numPr>
              <w:jc w:val="both"/>
              <w:rPr>
                <w:color w:val="000000"/>
              </w:rPr>
            </w:pPr>
            <w:r w:rsidRPr="00AB4676">
              <w:rPr>
                <w:color w:val="000000"/>
              </w:rPr>
              <w:t xml:space="preserve">Allowable Add-on Costs, </w:t>
            </w:r>
            <w:r w:rsidR="00683DCF" w:rsidRPr="00AB4676">
              <w:rPr>
                <w:color w:val="000000"/>
              </w:rPr>
              <w:t xml:space="preserve">which </w:t>
            </w:r>
            <w:r w:rsidR="00FF0F8E" w:rsidRPr="00AB4676">
              <w:rPr>
                <w:color w:val="000000"/>
              </w:rPr>
              <w:t>provides</w:t>
            </w:r>
            <w:r w:rsidR="00683DCF" w:rsidRPr="00AB4676">
              <w:rPr>
                <w:color w:val="000000"/>
              </w:rPr>
              <w:t>:</w:t>
            </w:r>
          </w:p>
          <w:p w:rsidR="007B41E7" w:rsidRPr="00AB4676" w:rsidRDefault="007B41E7" w:rsidP="007B41E7">
            <w:pPr>
              <w:pStyle w:val="ListParagraph"/>
              <w:jc w:val="both"/>
              <w:rPr>
                <w:color w:val="000000"/>
              </w:rPr>
            </w:pPr>
          </w:p>
          <w:p w:rsidR="00FF0F8E" w:rsidRPr="00AB4676" w:rsidRDefault="00683DCF" w:rsidP="007B41E7">
            <w:pPr>
              <w:pStyle w:val="ListParagraph"/>
              <w:jc w:val="both"/>
              <w:rPr>
                <w:color w:val="000000"/>
              </w:rPr>
            </w:pPr>
            <w:r w:rsidRPr="00AB4676">
              <w:rPr>
                <w:color w:val="000000"/>
              </w:rPr>
              <w:t xml:space="preserve">“xxx </w:t>
            </w:r>
            <w:r w:rsidR="00FF0F8E" w:rsidRPr="00AB4676">
              <w:rPr>
                <w:color w:val="000000"/>
              </w:rPr>
              <w:t xml:space="preserve">no cost recovered as an Allowable Add-On Cost </w:t>
            </w:r>
            <w:r w:rsidR="000E1014" w:rsidRPr="00AB4676">
              <w:rPr>
                <w:color w:val="000000"/>
              </w:rPr>
              <w:t>under this Section shall</w:t>
            </w:r>
            <w:r w:rsidR="00FF0F8E" w:rsidRPr="00AB4676">
              <w:rPr>
                <w:color w:val="000000"/>
              </w:rPr>
              <w:t xml:space="preserve"> simultaneously be included</w:t>
            </w:r>
            <w:r w:rsidR="000E1014" w:rsidRPr="00AB4676">
              <w:rPr>
                <w:color w:val="000000"/>
              </w:rPr>
              <w:t>, in whole or in part, in the</w:t>
            </w:r>
            <w:r w:rsidR="00FF0F8E" w:rsidRPr="00AB4676">
              <w:rPr>
                <w:color w:val="000000"/>
              </w:rPr>
              <w:t xml:space="preserve"> in Fixed O&amp;M, Variable O&amp;M, G</w:t>
            </w:r>
            <w:r w:rsidR="000E1014" w:rsidRPr="00AB4676">
              <w:rPr>
                <w:color w:val="000000"/>
              </w:rPr>
              <w:t>eneral and Administrative</w:t>
            </w:r>
            <w:r w:rsidR="00FF0F8E" w:rsidRPr="00AB4676">
              <w:rPr>
                <w:color w:val="000000"/>
              </w:rPr>
              <w:t xml:space="preserve">, or All-In Project Cost </w:t>
            </w:r>
            <w:r w:rsidR="000E1014" w:rsidRPr="00AB4676">
              <w:rPr>
                <w:color w:val="000000"/>
              </w:rPr>
              <w:t xml:space="preserve">components </w:t>
            </w:r>
            <w:r w:rsidR="00FF0F8E" w:rsidRPr="00AB4676">
              <w:rPr>
                <w:color w:val="000000"/>
              </w:rPr>
              <w:t>used to determine the GAT Price</w:t>
            </w:r>
            <w:r w:rsidR="000E1014" w:rsidRPr="00AB4676">
              <w:rPr>
                <w:color w:val="000000"/>
              </w:rPr>
              <w:t xml:space="preserve"> under Rule 2 of these Rules</w:t>
            </w:r>
            <w:r w:rsidR="00FF0F8E" w:rsidRPr="00AB4676">
              <w:rPr>
                <w:color w:val="000000"/>
              </w:rPr>
              <w:t>.</w:t>
            </w:r>
            <w:r w:rsidR="000E1014" w:rsidRPr="00AB4676">
              <w:rPr>
                <w:color w:val="000000"/>
              </w:rPr>
              <w:t xml:space="preserve"> The Commission shall verify the absence of such double recovery </w:t>
            </w:r>
            <w:r w:rsidR="000E1014" w:rsidRPr="00AB4676">
              <w:rPr>
                <w:color w:val="000000"/>
              </w:rPr>
              <w:lastRenderedPageBreak/>
              <w:t>as part of its audit under Section 25 of these Rules. xxx”</w:t>
            </w:r>
          </w:p>
          <w:p w:rsidR="007B41E7" w:rsidRPr="00AB4676" w:rsidRDefault="007B41E7" w:rsidP="000E1014">
            <w:pPr>
              <w:jc w:val="both"/>
              <w:rPr>
                <w:color w:val="000000"/>
              </w:rPr>
            </w:pPr>
          </w:p>
          <w:p w:rsidR="007B41E7" w:rsidRPr="00AB4676" w:rsidRDefault="007B41E7" w:rsidP="007B41E7">
            <w:pPr>
              <w:pStyle w:val="ListParagraph"/>
              <w:numPr>
                <w:ilvl w:val="0"/>
                <w:numId w:val="1"/>
              </w:numPr>
              <w:jc w:val="both"/>
              <w:rPr>
                <w:color w:val="000000"/>
              </w:rPr>
            </w:pPr>
            <w:r w:rsidRPr="00AB4676">
              <w:rPr>
                <w:color w:val="000000"/>
              </w:rPr>
              <w:t xml:space="preserve">Add on Cost Component: Regasification/Terminal Fee under Section 17 Table. </w:t>
            </w:r>
          </w:p>
        </w:tc>
        <w:tc>
          <w:tcPr>
            <w:tcW w:w="6295" w:type="dxa"/>
          </w:tcPr>
          <w:p w:rsidR="00AB4676" w:rsidRPr="00AB4676" w:rsidRDefault="007B41E7" w:rsidP="007B41E7">
            <w:pPr>
              <w:pStyle w:val="pdq2pgselectionanchorcontainer"/>
              <w:jc w:val="both"/>
              <w:rPr>
                <w:rFonts w:ascii="Aptos" w:hAnsi="Aptos"/>
              </w:rPr>
            </w:pPr>
            <w:r w:rsidRPr="00AB4676">
              <w:rPr>
                <w:rFonts w:ascii="Aptos" w:hAnsi="Aptos"/>
              </w:rPr>
              <w:lastRenderedPageBreak/>
              <w:t xml:space="preserve">The Winning Bidder’s own dedicated regasification facility should be treated as </w:t>
            </w:r>
            <w:proofErr w:type="spellStart"/>
            <w:r w:rsidRPr="00AB4676">
              <w:rPr>
                <w:rFonts w:ascii="Aptos" w:hAnsi="Aptos"/>
              </w:rPr>
              <w:t>CapEx</w:t>
            </w:r>
            <w:proofErr w:type="spellEnd"/>
            <w:r w:rsidRPr="00AB4676">
              <w:rPr>
                <w:rFonts w:ascii="Aptos" w:hAnsi="Aptos"/>
              </w:rPr>
              <w:t xml:space="preserve"> and included in the All-In Project Cost under Section 8.1, with recovery based on the same WACC applicable to the reference project, subject to the true-up under Section 11.5.</w:t>
            </w:r>
          </w:p>
          <w:p w:rsidR="00FF0F8E" w:rsidRPr="00AB4676" w:rsidRDefault="007B41E7" w:rsidP="007B41E7">
            <w:pPr>
              <w:pStyle w:val="pdq2pgselectionanchorcontainer"/>
              <w:jc w:val="both"/>
              <w:rPr>
                <w:rFonts w:ascii="Aptos" w:hAnsi="Aptos"/>
              </w:rPr>
            </w:pPr>
            <w:r w:rsidRPr="00AB4676">
              <w:rPr>
                <w:rFonts w:ascii="Aptos" w:hAnsi="Aptos"/>
              </w:rPr>
              <w:t xml:space="preserve"> It should not be subject to the Allowable Caps under Section 17 for Regasification/Terminal Fees, which should apply only to genuine third-party service agreements.</w:t>
            </w:r>
          </w:p>
        </w:tc>
      </w:tr>
      <w:tr w:rsidR="00FF0F8E" w:rsidRPr="00AB4676" w:rsidTr="00E8465F">
        <w:tc>
          <w:tcPr>
            <w:tcW w:w="2335" w:type="dxa"/>
          </w:tcPr>
          <w:p w:rsidR="00FF0F8E" w:rsidRPr="00AB4676" w:rsidRDefault="00FF0F8E" w:rsidP="00FF0F8E">
            <w:pPr>
              <w:rPr>
                <w:color w:val="000000"/>
              </w:rPr>
            </w:pPr>
            <w:r w:rsidRPr="00AB4676">
              <w:rPr>
                <w:color w:val="000000"/>
              </w:rPr>
              <w:t>Section 17</w:t>
            </w:r>
          </w:p>
        </w:tc>
        <w:tc>
          <w:tcPr>
            <w:tcW w:w="4320" w:type="dxa"/>
          </w:tcPr>
          <w:p w:rsidR="007B41E7" w:rsidRPr="00AB4676" w:rsidRDefault="007B41E7" w:rsidP="007B41E7">
            <w:pPr>
              <w:pStyle w:val="pdq2pgselectionanchorcontainer"/>
              <w:jc w:val="both"/>
              <w:rPr>
                <w:rFonts w:ascii="Aptos" w:hAnsi="Aptos"/>
              </w:rPr>
            </w:pPr>
            <w:r w:rsidRPr="00AB4676">
              <w:rPr>
                <w:rFonts w:ascii="Aptos" w:hAnsi="Aptos"/>
              </w:rPr>
              <w:t>Section 17 allows the Commission to approve add-on costs above the prescribed cap if the excess cost is proven to be prudent, reasonable, and unavoidable. However, it does not specify the review period or criteria for evaluating such requests.</w:t>
            </w:r>
          </w:p>
          <w:p w:rsidR="00FF0F8E" w:rsidRPr="00AB4676" w:rsidRDefault="007B41E7" w:rsidP="00905FA9">
            <w:pPr>
              <w:pStyle w:val="NormalWeb"/>
              <w:jc w:val="both"/>
              <w:rPr>
                <w:rFonts w:ascii="Aptos" w:hAnsi="Aptos"/>
              </w:rPr>
            </w:pPr>
            <w:r w:rsidRPr="00AB4676">
              <w:rPr>
                <w:rFonts w:ascii="Aptos" w:hAnsi="Aptos"/>
              </w:rPr>
              <w:t xml:space="preserve">Since the Section 17 cap is a general, market-based ceiling applicable to all bidders, the exception process </w:t>
            </w:r>
            <w:r w:rsidRPr="00AB4676">
              <w:rPr>
                <w:rFonts w:ascii="Aptos" w:hAnsi="Aptos"/>
              </w:rPr>
              <w:t xml:space="preserve">for above-cap costs </w:t>
            </w:r>
            <w:r w:rsidRPr="00AB4676">
              <w:rPr>
                <w:rFonts w:ascii="Aptos" w:hAnsi="Aptos"/>
              </w:rPr>
              <w:t>should therefore be clearly defined and reasonably administered.</w:t>
            </w:r>
          </w:p>
        </w:tc>
        <w:tc>
          <w:tcPr>
            <w:tcW w:w="6295" w:type="dxa"/>
          </w:tcPr>
          <w:p w:rsidR="00FF0F8E" w:rsidRPr="00AB4676" w:rsidRDefault="00FF0F8E" w:rsidP="00905FA9">
            <w:pPr>
              <w:jc w:val="both"/>
              <w:rPr>
                <w:color w:val="000000"/>
              </w:rPr>
            </w:pPr>
            <w:r w:rsidRPr="00AB4676">
              <w:rPr>
                <w:color w:val="000000"/>
              </w:rPr>
              <w:t>We respectfully request that the Commission specify a defined review period (</w:t>
            </w:r>
            <w:r w:rsidRPr="00AB4676">
              <w:rPr>
                <w:i/>
                <w:iCs/>
                <w:color w:val="000000"/>
              </w:rPr>
              <w:t>e.g., thirty (30) to sixty (60) calendar days</w:t>
            </w:r>
            <w:r w:rsidRPr="00AB4676">
              <w:rPr>
                <w:color w:val="000000"/>
              </w:rPr>
              <w:t>) and publish the evaluation criteria for exception requests under Section 17.</w:t>
            </w:r>
            <w:r w:rsidR="00905FA9" w:rsidRPr="00AB4676">
              <w:rPr>
                <w:color w:val="000000"/>
              </w:rPr>
              <w:t xml:space="preserve"> </w:t>
            </w:r>
            <w:r w:rsidR="00905FA9" w:rsidRPr="00AB4676">
              <w:rPr>
                <w:color w:val="000000"/>
              </w:rPr>
              <w:t>This will give Winning Bidders a workable, predictable mechanism for reflecting genuine project-specific circumstances.</w:t>
            </w:r>
          </w:p>
        </w:tc>
      </w:tr>
      <w:tr w:rsidR="00FF0F8E" w:rsidRPr="00AB4676" w:rsidTr="00E8465F">
        <w:tc>
          <w:tcPr>
            <w:tcW w:w="2335" w:type="dxa"/>
          </w:tcPr>
          <w:p w:rsidR="00FF0F8E" w:rsidRPr="00AB4676" w:rsidRDefault="00FF0F8E" w:rsidP="00FF0F8E">
            <w:pPr>
              <w:rPr>
                <w:color w:val="000000"/>
              </w:rPr>
            </w:pPr>
            <w:r w:rsidRPr="00AB4676">
              <w:rPr>
                <w:color w:val="000000"/>
              </w:rPr>
              <w:t>Section 22</w:t>
            </w:r>
          </w:p>
        </w:tc>
        <w:tc>
          <w:tcPr>
            <w:tcW w:w="4320" w:type="dxa"/>
          </w:tcPr>
          <w:p w:rsidR="00905FA9" w:rsidRPr="00AB4676" w:rsidRDefault="00FF0F8E" w:rsidP="00FF0F8E">
            <w:pPr>
              <w:jc w:val="both"/>
              <w:rPr>
                <w:color w:val="000000"/>
              </w:rPr>
            </w:pPr>
            <w:r w:rsidRPr="00AB4676">
              <w:rPr>
                <w:color w:val="000000"/>
              </w:rPr>
              <w:t xml:space="preserve">Section 22 </w:t>
            </w:r>
            <w:r w:rsidR="00905FA9" w:rsidRPr="00AB4676">
              <w:rPr>
                <w:color w:val="000000"/>
              </w:rPr>
              <w:t xml:space="preserve">Monthly Fuel Cost Reporting </w:t>
            </w:r>
            <w:r w:rsidRPr="00AB4676">
              <w:rPr>
                <w:color w:val="000000"/>
              </w:rPr>
              <w:t>uses "calendar month"</w:t>
            </w:r>
            <w:r w:rsidR="00905FA9" w:rsidRPr="00AB4676">
              <w:rPr>
                <w:color w:val="000000"/>
              </w:rPr>
              <w:t xml:space="preserve">. </w:t>
            </w:r>
          </w:p>
          <w:p w:rsidR="00905FA9" w:rsidRPr="00AB4676" w:rsidRDefault="00905FA9" w:rsidP="00FF0F8E">
            <w:pPr>
              <w:jc w:val="both"/>
              <w:rPr>
                <w:color w:val="000000"/>
              </w:rPr>
            </w:pPr>
          </w:p>
        </w:tc>
        <w:tc>
          <w:tcPr>
            <w:tcW w:w="6295" w:type="dxa"/>
          </w:tcPr>
          <w:p w:rsidR="00FF0F8E" w:rsidRPr="00AB4676" w:rsidRDefault="00905FA9" w:rsidP="00FF0F8E">
            <w:pPr>
              <w:jc w:val="both"/>
              <w:rPr>
                <w:color w:val="000000"/>
              </w:rPr>
            </w:pPr>
            <w:r w:rsidRPr="00AB4676">
              <w:t xml:space="preserve">We suggest using </w:t>
            </w:r>
            <w:r w:rsidRPr="00AB4676">
              <w:rPr>
                <w:rStyle w:val="Strong"/>
              </w:rPr>
              <w:t>“billing month”</w:t>
            </w:r>
            <w:r w:rsidRPr="00AB4676">
              <w:t xml:space="preserve"> to align the fuel cost reports with the applicable billing periods.</w:t>
            </w:r>
          </w:p>
        </w:tc>
      </w:tr>
      <w:tr w:rsidR="00FF0F8E" w:rsidRPr="00AB4676" w:rsidTr="00E8465F">
        <w:tc>
          <w:tcPr>
            <w:tcW w:w="2335" w:type="dxa"/>
          </w:tcPr>
          <w:p w:rsidR="00FF0F8E" w:rsidRPr="00AB4676" w:rsidRDefault="00FF0F8E" w:rsidP="00FF0F8E">
            <w:pPr>
              <w:rPr>
                <w:color w:val="000000"/>
              </w:rPr>
            </w:pPr>
            <w:r w:rsidRPr="00AB4676">
              <w:rPr>
                <w:color w:val="000000"/>
              </w:rPr>
              <w:t>Section 22</w:t>
            </w:r>
          </w:p>
        </w:tc>
        <w:tc>
          <w:tcPr>
            <w:tcW w:w="4320" w:type="dxa"/>
          </w:tcPr>
          <w:p w:rsidR="00FF0F8E" w:rsidRPr="00AB4676" w:rsidRDefault="00FF0F8E" w:rsidP="00FF0F8E">
            <w:pPr>
              <w:jc w:val="both"/>
              <w:rPr>
                <w:color w:val="000000"/>
              </w:rPr>
            </w:pPr>
            <w:r w:rsidRPr="00AB4676">
              <w:rPr>
                <w:color w:val="000000"/>
              </w:rPr>
              <w:t>Section 22 item (e) states "JKM or applicable reference index price for the month"</w:t>
            </w:r>
          </w:p>
        </w:tc>
        <w:tc>
          <w:tcPr>
            <w:tcW w:w="6295" w:type="dxa"/>
          </w:tcPr>
          <w:p w:rsidR="00FF0F8E" w:rsidRPr="00AB4676" w:rsidRDefault="00905FA9" w:rsidP="00FF0F8E">
            <w:pPr>
              <w:jc w:val="both"/>
              <w:rPr>
                <w:color w:val="000000"/>
              </w:rPr>
            </w:pPr>
            <w:r w:rsidRPr="00AB4676">
              <w:t xml:space="preserve">We request the Commission to consider including other </w:t>
            </w:r>
            <w:r w:rsidRPr="00AB4676">
              <w:rPr>
                <w:rStyle w:val="Strong"/>
                <w:b w:val="0"/>
                <w:bCs w:val="0"/>
              </w:rPr>
              <w:t>industry-accepted benchmarks</w:t>
            </w:r>
            <w:r w:rsidRPr="00AB4676">
              <w:rPr>
                <w:b/>
                <w:bCs/>
              </w:rPr>
              <w:t>,</w:t>
            </w:r>
            <w:r w:rsidRPr="00AB4676">
              <w:t xml:space="preserve"> such as </w:t>
            </w:r>
            <w:r w:rsidRPr="00AB4676">
              <w:rPr>
                <w:rStyle w:val="Strong"/>
              </w:rPr>
              <w:t>Dated Brent</w:t>
            </w:r>
            <w:r w:rsidRPr="00AB4676">
              <w:t>, to provide flexibility in determining the applicable fuel price benchmark.</w:t>
            </w:r>
          </w:p>
        </w:tc>
      </w:tr>
      <w:tr w:rsidR="00FF0F8E" w:rsidRPr="00AB4676" w:rsidTr="00E8465F">
        <w:tc>
          <w:tcPr>
            <w:tcW w:w="2335" w:type="dxa"/>
          </w:tcPr>
          <w:p w:rsidR="00FF0F8E" w:rsidRPr="00AB4676" w:rsidRDefault="00FF0F8E" w:rsidP="00FF0F8E">
            <w:pPr>
              <w:rPr>
                <w:color w:val="000000"/>
              </w:rPr>
            </w:pPr>
            <w:r w:rsidRPr="00AB4676">
              <w:rPr>
                <w:color w:val="000000"/>
              </w:rPr>
              <w:t>Section 28</w:t>
            </w:r>
          </w:p>
        </w:tc>
        <w:tc>
          <w:tcPr>
            <w:tcW w:w="4320" w:type="dxa"/>
          </w:tcPr>
          <w:p w:rsidR="00905FA9" w:rsidRPr="00AB4676" w:rsidRDefault="00905FA9" w:rsidP="00FF0F8E">
            <w:pPr>
              <w:jc w:val="both"/>
              <w:rPr>
                <w:color w:val="000000"/>
              </w:rPr>
            </w:pPr>
            <w:r w:rsidRPr="00AB4676">
              <w:rPr>
                <w:color w:val="000000"/>
              </w:rPr>
              <w:t xml:space="preserve">Clarification on Section 28 Required Contents of the Settlement Mechanism, which provides: </w:t>
            </w:r>
          </w:p>
          <w:p w:rsidR="00905FA9" w:rsidRPr="00AB4676" w:rsidRDefault="00905FA9" w:rsidP="00FF0F8E">
            <w:pPr>
              <w:jc w:val="both"/>
              <w:rPr>
                <w:color w:val="000000"/>
              </w:rPr>
            </w:pPr>
          </w:p>
          <w:p w:rsidR="00FF0F8E" w:rsidRPr="00AB4676" w:rsidRDefault="00905FA9" w:rsidP="00FF0F8E">
            <w:pPr>
              <w:jc w:val="both"/>
              <w:rPr>
                <w:color w:val="000000"/>
              </w:rPr>
            </w:pPr>
            <w:r w:rsidRPr="00AB4676">
              <w:rPr>
                <w:color w:val="000000"/>
              </w:rPr>
              <w:lastRenderedPageBreak/>
              <w:t xml:space="preserve">“it being the policy of these Rules that </w:t>
            </w:r>
            <w:r w:rsidR="00FF0F8E" w:rsidRPr="00AB4676">
              <w:rPr>
                <w:color w:val="000000"/>
              </w:rPr>
              <w:t>Winning Bidders</w:t>
            </w:r>
            <w:r w:rsidRPr="00AB4676">
              <w:rPr>
                <w:color w:val="000000"/>
              </w:rPr>
              <w:t xml:space="preserve"> </w:t>
            </w:r>
            <w:r w:rsidR="00FF0F8E" w:rsidRPr="00AB4676">
              <w:rPr>
                <w:color w:val="000000"/>
              </w:rPr>
              <w:t xml:space="preserve">be compensated strictly on a per-kilowatt-hour-delivered basis </w:t>
            </w:r>
            <w:r w:rsidRPr="00AB4676">
              <w:rPr>
                <w:color w:val="000000"/>
              </w:rPr>
              <w:t>at the endorsed GAP plus certified Fuel Cost.”</w:t>
            </w:r>
          </w:p>
        </w:tc>
        <w:tc>
          <w:tcPr>
            <w:tcW w:w="6295" w:type="dxa"/>
          </w:tcPr>
          <w:p w:rsidR="00FF0F8E" w:rsidRPr="00AB4676" w:rsidRDefault="00DF2611" w:rsidP="00FF0F8E">
            <w:pPr>
              <w:jc w:val="both"/>
              <w:rPr>
                <w:color w:val="000000"/>
              </w:rPr>
            </w:pPr>
            <w:r w:rsidRPr="00AB4676">
              <w:lastRenderedPageBreak/>
              <w:t>We seek clarification from the Commission on whether there will be guaranteed dispatch for the Winning Bidder to reasonably recover its All-In Project Cost and Operation and Maintenance Costs during the Contract Period.</w:t>
            </w:r>
          </w:p>
        </w:tc>
      </w:tr>
      <w:tr w:rsidR="00FF0F8E" w:rsidRPr="00AB4676" w:rsidTr="00E8465F">
        <w:tc>
          <w:tcPr>
            <w:tcW w:w="2335" w:type="dxa"/>
          </w:tcPr>
          <w:p w:rsidR="00FF0F8E" w:rsidRPr="00AB4676" w:rsidRDefault="00FF0F8E" w:rsidP="00FF0F8E">
            <w:pPr>
              <w:rPr>
                <w:color w:val="000000"/>
              </w:rPr>
            </w:pPr>
            <w:r w:rsidRPr="00AB4676">
              <w:rPr>
                <w:color w:val="000000"/>
              </w:rPr>
              <w:t>Section 28</w:t>
            </w:r>
          </w:p>
        </w:tc>
        <w:tc>
          <w:tcPr>
            <w:tcW w:w="4320" w:type="dxa"/>
          </w:tcPr>
          <w:p w:rsidR="00DF2611" w:rsidRPr="00AB4676" w:rsidRDefault="00FF0F8E" w:rsidP="00274E50">
            <w:pPr>
              <w:jc w:val="both"/>
              <w:rPr>
                <w:color w:val="000000"/>
              </w:rPr>
            </w:pPr>
            <w:r w:rsidRPr="00AB4676">
              <w:rPr>
                <w:color w:val="000000"/>
              </w:rPr>
              <w:t xml:space="preserve">Section 28 requires that Winning Bidders be compensated strictly on a per-kWh-delivered basis, with no capacity fee or fixed charge "independently of, or not directly proportional to, Energy Delivered." </w:t>
            </w:r>
          </w:p>
          <w:p w:rsidR="00DF2611" w:rsidRPr="00AB4676" w:rsidRDefault="00DF2611" w:rsidP="00274E50">
            <w:pPr>
              <w:jc w:val="both"/>
              <w:rPr>
                <w:color w:val="000000"/>
              </w:rPr>
            </w:pPr>
          </w:p>
          <w:p w:rsidR="00DF2611" w:rsidRPr="00AB4676" w:rsidRDefault="00FF0F8E" w:rsidP="00274E50">
            <w:pPr>
              <w:jc w:val="both"/>
              <w:rPr>
                <w:color w:val="000000"/>
              </w:rPr>
            </w:pPr>
            <w:r w:rsidRPr="00AB4676">
              <w:rPr>
                <w:color w:val="000000"/>
              </w:rPr>
              <w:t>Section 28(h) separately requires the Settlement Mechanism to address "dispatch curtailments directed by the System Operator, and other operational factors affecting energy delivery," but the Rules do not specify how.</w:t>
            </w:r>
          </w:p>
          <w:p w:rsidR="00DF2611" w:rsidRPr="00AB4676" w:rsidRDefault="00DF2611" w:rsidP="00274E50">
            <w:pPr>
              <w:jc w:val="both"/>
              <w:rPr>
                <w:color w:val="000000"/>
              </w:rPr>
            </w:pPr>
          </w:p>
          <w:p w:rsidR="00FF0F8E" w:rsidRPr="00AB4676" w:rsidRDefault="00DF2611" w:rsidP="00274E50">
            <w:pPr>
              <w:jc w:val="both"/>
              <w:rPr>
                <w:color w:val="000000"/>
              </w:rPr>
            </w:pPr>
            <w:r w:rsidRPr="00AB4676">
              <w:rPr>
                <w:color w:val="000000"/>
              </w:rPr>
              <w:t>M</w:t>
            </w:r>
            <w:r w:rsidR="00FF0F8E" w:rsidRPr="00AB4676">
              <w:rPr>
                <w:color w:val="000000"/>
              </w:rPr>
              <w:t>id-</w:t>
            </w:r>
            <w:r w:rsidRPr="00AB4676">
              <w:rPr>
                <w:color w:val="000000"/>
              </w:rPr>
              <w:t>M</w:t>
            </w:r>
            <w:r w:rsidR="00FF0F8E" w:rsidRPr="00AB4676">
              <w:rPr>
                <w:color w:val="000000"/>
              </w:rPr>
              <w:t xml:space="preserve">erit </w:t>
            </w:r>
            <w:r w:rsidRPr="00AB4676">
              <w:rPr>
                <w:color w:val="000000"/>
              </w:rPr>
              <w:t>F</w:t>
            </w:r>
            <w:r w:rsidR="00FF0F8E" w:rsidRPr="00AB4676">
              <w:rPr>
                <w:color w:val="000000"/>
              </w:rPr>
              <w:t>acilities are, by design, dispatched below full capacity based on system needs</w:t>
            </w:r>
            <w:r w:rsidRPr="00AB4676">
              <w:rPr>
                <w:color w:val="000000"/>
              </w:rPr>
              <w:t>. Thus,</w:t>
            </w:r>
            <w:r w:rsidR="00FF0F8E" w:rsidRPr="00AB4676">
              <w:rPr>
                <w:color w:val="000000"/>
              </w:rPr>
              <w:t xml:space="preserve"> a Winning Bidder may </w:t>
            </w:r>
            <w:r w:rsidRPr="00AB4676">
              <w:rPr>
                <w:color w:val="000000"/>
              </w:rPr>
              <w:t>have</w:t>
            </w:r>
            <w:r w:rsidR="00FF0F8E" w:rsidRPr="00AB4676">
              <w:rPr>
                <w:color w:val="000000"/>
              </w:rPr>
              <w:t xml:space="preserve"> reduced Energy Delivered due to dispatch decisions entirely </w:t>
            </w:r>
            <w:r w:rsidRPr="00AB4676">
              <w:rPr>
                <w:color w:val="000000"/>
              </w:rPr>
              <w:t>beyond</w:t>
            </w:r>
            <w:r w:rsidR="00FF0F8E" w:rsidRPr="00AB4676">
              <w:rPr>
                <w:color w:val="000000"/>
              </w:rPr>
              <w:t xml:space="preserve"> its control, with no defined adjustment mechanism.</w:t>
            </w:r>
          </w:p>
        </w:tc>
        <w:tc>
          <w:tcPr>
            <w:tcW w:w="6295" w:type="dxa"/>
          </w:tcPr>
          <w:p w:rsidR="00274E50" w:rsidRPr="00AB4676" w:rsidRDefault="00DF2611" w:rsidP="00274E50">
            <w:pPr>
              <w:pStyle w:val="pdq2pgselectionanchorcontainer"/>
              <w:jc w:val="both"/>
              <w:rPr>
                <w:rFonts w:ascii="Aptos" w:hAnsi="Aptos"/>
              </w:rPr>
            </w:pPr>
            <w:r w:rsidRPr="00AB4676">
              <w:rPr>
                <w:rFonts w:ascii="Aptos" w:hAnsi="Aptos"/>
              </w:rPr>
              <w:t xml:space="preserve">The </w:t>
            </w:r>
            <w:r w:rsidRPr="00AB4676">
              <w:rPr>
                <w:rFonts w:ascii="Aptos" w:hAnsi="Aptos"/>
              </w:rPr>
              <w:t xml:space="preserve">Settlement Mechanism under Section 27 </w:t>
            </w:r>
            <w:r w:rsidRPr="00AB4676">
              <w:rPr>
                <w:rFonts w:ascii="Aptos" w:hAnsi="Aptos"/>
              </w:rPr>
              <w:t xml:space="preserve">must </w:t>
            </w:r>
            <w:r w:rsidRPr="00AB4676">
              <w:rPr>
                <w:rFonts w:ascii="Aptos" w:hAnsi="Aptos"/>
              </w:rPr>
              <w:t>clearly define the treatment of reduced Energy Delivered under Section 28(h), particularly distinguishing between:</w:t>
            </w:r>
          </w:p>
          <w:p w:rsidR="00274E50" w:rsidRPr="00AB4676" w:rsidRDefault="00DF2611" w:rsidP="00274E50">
            <w:pPr>
              <w:pStyle w:val="pdq2pgselectionanchorcontainer"/>
              <w:numPr>
                <w:ilvl w:val="0"/>
                <w:numId w:val="3"/>
              </w:numPr>
              <w:jc w:val="both"/>
              <w:rPr>
                <w:rFonts w:ascii="Aptos" w:hAnsi="Aptos"/>
              </w:rPr>
            </w:pPr>
            <w:r w:rsidRPr="00AB4676">
              <w:rPr>
                <w:rFonts w:ascii="Aptos" w:hAnsi="Aptos"/>
              </w:rPr>
              <w:t xml:space="preserve">Reduced Energy Delivered due to System-Operator-directed curtailment, which should be subject to an appropriate compensation mechanism; </w:t>
            </w:r>
          </w:p>
          <w:p w:rsidR="00274E50" w:rsidRPr="00AB4676" w:rsidRDefault="00DF2611" w:rsidP="00274E50">
            <w:pPr>
              <w:pStyle w:val="pdq2pgselectionanchorcontainer"/>
              <w:numPr>
                <w:ilvl w:val="0"/>
                <w:numId w:val="3"/>
              </w:numPr>
              <w:jc w:val="both"/>
              <w:rPr>
                <w:rFonts w:ascii="Aptos" w:hAnsi="Aptos"/>
              </w:rPr>
            </w:pPr>
            <w:r w:rsidRPr="00AB4676">
              <w:rPr>
                <w:rFonts w:ascii="Aptos" w:hAnsi="Aptos"/>
              </w:rPr>
              <w:t>Reduced Energy Delivered due to Force Majeure, which should be subject to a separate mechanism</w:t>
            </w:r>
            <w:r w:rsidRPr="00AB4676">
              <w:rPr>
                <w:rFonts w:ascii="Aptos" w:hAnsi="Aptos"/>
              </w:rPr>
              <w:t xml:space="preserve">; </w:t>
            </w:r>
            <w:r w:rsidRPr="00AB4676">
              <w:rPr>
                <w:rFonts w:ascii="Aptos" w:hAnsi="Aptos"/>
              </w:rPr>
              <w:t xml:space="preserve">and </w:t>
            </w:r>
          </w:p>
          <w:p w:rsidR="00DF2611" w:rsidRPr="00AB4676" w:rsidRDefault="00DF2611" w:rsidP="00274E50">
            <w:pPr>
              <w:pStyle w:val="pdq2pgselectionanchorcontainer"/>
              <w:numPr>
                <w:ilvl w:val="0"/>
                <w:numId w:val="3"/>
              </w:numPr>
              <w:jc w:val="both"/>
              <w:rPr>
                <w:rFonts w:ascii="Aptos" w:hAnsi="Aptos"/>
              </w:rPr>
            </w:pPr>
            <w:r w:rsidRPr="00AB4676">
              <w:rPr>
                <w:rFonts w:ascii="Aptos" w:hAnsi="Aptos"/>
              </w:rPr>
              <w:t xml:space="preserve">Reduced Energy Delivered due to the Winning Bidder’s own operational underperformance. </w:t>
            </w:r>
          </w:p>
          <w:p w:rsidR="00DF2611" w:rsidRPr="00AB4676" w:rsidRDefault="00DF2611" w:rsidP="00274E50">
            <w:pPr>
              <w:pStyle w:val="NormalWeb"/>
              <w:jc w:val="both"/>
              <w:rPr>
                <w:rFonts w:ascii="Aptos" w:hAnsi="Aptos"/>
              </w:rPr>
            </w:pPr>
            <w:r w:rsidRPr="00AB4676">
              <w:rPr>
                <w:rFonts w:ascii="Aptos" w:hAnsi="Aptos"/>
              </w:rPr>
              <w:t>This distinction will</w:t>
            </w:r>
            <w:r w:rsidR="00274E50" w:rsidRPr="00AB4676">
              <w:rPr>
                <w:rFonts w:ascii="Aptos" w:hAnsi="Aptos"/>
              </w:rPr>
              <w:t xml:space="preserve"> </w:t>
            </w:r>
            <w:r w:rsidRPr="00AB4676">
              <w:rPr>
                <w:rFonts w:ascii="Aptos" w:hAnsi="Aptos"/>
              </w:rPr>
              <w:t>ensur</w:t>
            </w:r>
            <w:r w:rsidR="00274E50" w:rsidRPr="00AB4676">
              <w:rPr>
                <w:rFonts w:ascii="Aptos" w:hAnsi="Aptos"/>
              </w:rPr>
              <w:t>e</w:t>
            </w:r>
            <w:r w:rsidRPr="00AB4676">
              <w:rPr>
                <w:rFonts w:ascii="Aptos" w:hAnsi="Aptos"/>
              </w:rPr>
              <w:t xml:space="preserve"> that each type of reduced Energy Delivered is treated appropriately</w:t>
            </w:r>
            <w:r w:rsidR="00274E50" w:rsidRPr="00AB4676">
              <w:rPr>
                <w:rFonts w:ascii="Aptos" w:hAnsi="Aptos"/>
              </w:rPr>
              <w:t>.</w:t>
            </w:r>
          </w:p>
          <w:p w:rsidR="00FF0F8E" w:rsidRPr="00AB4676" w:rsidRDefault="00FF0F8E" w:rsidP="00274E50">
            <w:pPr>
              <w:jc w:val="both"/>
              <w:rPr>
                <w:color w:val="000000"/>
              </w:rPr>
            </w:pPr>
          </w:p>
        </w:tc>
      </w:tr>
      <w:tr w:rsidR="00FF0F8E" w:rsidRPr="00AB4676" w:rsidTr="00E8465F">
        <w:tc>
          <w:tcPr>
            <w:tcW w:w="2335" w:type="dxa"/>
          </w:tcPr>
          <w:p w:rsidR="00FF0F8E" w:rsidRPr="00AB4676" w:rsidRDefault="00FF0F8E" w:rsidP="00FF0F8E">
            <w:pPr>
              <w:rPr>
                <w:color w:val="000000"/>
              </w:rPr>
            </w:pPr>
            <w:r w:rsidRPr="00AB4676">
              <w:rPr>
                <w:color w:val="000000"/>
              </w:rPr>
              <w:t>Section 33</w:t>
            </w:r>
            <w:r w:rsidR="00274E50" w:rsidRPr="00AB4676">
              <w:rPr>
                <w:color w:val="000000"/>
              </w:rPr>
              <w:t xml:space="preserve">. </w:t>
            </w:r>
          </w:p>
        </w:tc>
        <w:tc>
          <w:tcPr>
            <w:tcW w:w="4320" w:type="dxa"/>
            <w:vAlign w:val="center"/>
          </w:tcPr>
          <w:p w:rsidR="00274E50" w:rsidRPr="00AB4676" w:rsidRDefault="00274E50" w:rsidP="00FF0F8E">
            <w:pPr>
              <w:jc w:val="both"/>
              <w:rPr>
                <w:color w:val="000000"/>
              </w:rPr>
            </w:pPr>
            <w:r w:rsidRPr="00AB4676">
              <w:rPr>
                <w:color w:val="000000"/>
              </w:rPr>
              <w:t xml:space="preserve">Clarification on Section 33. Carve-Out Mechanism which provides: </w:t>
            </w:r>
          </w:p>
          <w:p w:rsidR="00274E50" w:rsidRPr="00AB4676" w:rsidRDefault="00274E50" w:rsidP="00FF0F8E">
            <w:pPr>
              <w:jc w:val="both"/>
              <w:rPr>
                <w:color w:val="000000"/>
              </w:rPr>
            </w:pPr>
          </w:p>
          <w:p w:rsidR="00FF0F8E" w:rsidRPr="00AB4676" w:rsidRDefault="00274E50" w:rsidP="00FF0F8E">
            <w:pPr>
              <w:jc w:val="both"/>
              <w:rPr>
                <w:color w:val="000000"/>
              </w:rPr>
            </w:pPr>
            <w:r w:rsidRPr="00AB4676">
              <w:rPr>
                <w:color w:val="000000"/>
              </w:rPr>
              <w:t xml:space="preserve">“Where a designated off-taker DU experience migration of its captive </w:t>
            </w:r>
            <w:r w:rsidRPr="00AB4676">
              <w:rPr>
                <w:color w:val="000000"/>
              </w:rPr>
              <w:lastRenderedPageBreak/>
              <w:t xml:space="preserve">customers to the Customer Choice Program in the Retail Market, the contracted BCQ of each Winning Bidder/s </w:t>
            </w:r>
            <w:r w:rsidR="00FF0F8E" w:rsidRPr="00AB4676">
              <w:rPr>
                <w:color w:val="000000"/>
              </w:rPr>
              <w:t xml:space="preserve">supplying that DU shall </w:t>
            </w:r>
            <w:r w:rsidRPr="00AB4676">
              <w:rPr>
                <w:color w:val="000000"/>
              </w:rPr>
              <w:t xml:space="preserve">be </w:t>
            </w:r>
            <w:r w:rsidR="00FF0F8E" w:rsidRPr="00AB4676">
              <w:rPr>
                <w:color w:val="000000"/>
              </w:rPr>
              <w:t>proportionally reduced, in proportion to each Winning Bidder/s' respective share of the DU's total contracted BCQ</w:t>
            </w:r>
            <w:r w:rsidRPr="00AB4676">
              <w:rPr>
                <w:color w:val="000000"/>
              </w:rPr>
              <w:t xml:space="preserve"> xxx”</w:t>
            </w:r>
          </w:p>
        </w:tc>
        <w:tc>
          <w:tcPr>
            <w:tcW w:w="6295" w:type="dxa"/>
          </w:tcPr>
          <w:p w:rsidR="00FF0F8E" w:rsidRPr="00AB4676" w:rsidRDefault="00274E50" w:rsidP="00FF0F8E">
            <w:pPr>
              <w:jc w:val="both"/>
              <w:rPr>
                <w:color w:val="000000"/>
              </w:rPr>
            </w:pPr>
            <w:r w:rsidRPr="00AB4676">
              <w:lastRenderedPageBreak/>
              <w:t xml:space="preserve">We respectfully request that the </w:t>
            </w:r>
            <w:r w:rsidRPr="00AB4676">
              <w:rPr>
                <w:rStyle w:val="Strong"/>
                <w:b w:val="0"/>
                <w:bCs w:val="0"/>
              </w:rPr>
              <w:t>Carve-Out Mechanism be treated as a last resort</w:t>
            </w:r>
            <w:r w:rsidRPr="00AB4676">
              <w:rPr>
                <w:b/>
                <w:bCs/>
              </w:rPr>
              <w:t xml:space="preserve">, </w:t>
            </w:r>
            <w:r w:rsidRPr="00AB4676">
              <w:t xml:space="preserve">and that reasonable measures first be considered to address the impact of customer migration without immediately reducing the Winning Bidder’s contracted BCQ. This is important to preserve the </w:t>
            </w:r>
            <w:r w:rsidRPr="00AB4676">
              <w:lastRenderedPageBreak/>
              <w:t>contractual commitments and revenue certainty relied upon by the Winning Bidder in entering into the Supply Agreement.</w:t>
            </w:r>
          </w:p>
        </w:tc>
      </w:tr>
      <w:tr w:rsidR="00FF0F8E" w:rsidRPr="00AB4676" w:rsidTr="00E278F1">
        <w:trPr>
          <w:trHeight w:val="782"/>
        </w:trPr>
        <w:tc>
          <w:tcPr>
            <w:tcW w:w="2335" w:type="dxa"/>
          </w:tcPr>
          <w:p w:rsidR="00FF0F8E" w:rsidRPr="00AB4676" w:rsidRDefault="00AB4676" w:rsidP="00FF0F8E">
            <w:pPr>
              <w:rPr>
                <w:color w:val="000000"/>
              </w:rPr>
            </w:pPr>
            <w:r w:rsidRPr="00AB4676">
              <w:rPr>
                <w:color w:val="000000"/>
              </w:rPr>
              <w:lastRenderedPageBreak/>
              <w:t>Annex</w:t>
            </w:r>
            <w:r w:rsidR="00FF0F8E" w:rsidRPr="00AB4676">
              <w:rPr>
                <w:color w:val="000000"/>
              </w:rPr>
              <w:t xml:space="preserve"> A</w:t>
            </w:r>
            <w:r w:rsidR="00FF0F8E" w:rsidRPr="00AB4676">
              <w:rPr>
                <w:color w:val="000000"/>
              </w:rPr>
              <w:br/>
              <w:t>Page 1 of 23</w:t>
            </w:r>
          </w:p>
        </w:tc>
        <w:tc>
          <w:tcPr>
            <w:tcW w:w="4320" w:type="dxa"/>
          </w:tcPr>
          <w:p w:rsidR="00FF0F8E" w:rsidRPr="00AB4676" w:rsidRDefault="00274E50" w:rsidP="00FF0F8E">
            <w:pPr>
              <w:jc w:val="both"/>
              <w:rPr>
                <w:color w:val="000000"/>
              </w:rPr>
            </w:pPr>
            <w:r w:rsidRPr="00AB4676">
              <w:rPr>
                <w:color w:val="000000"/>
              </w:rPr>
              <w:t xml:space="preserve">Clarification on </w:t>
            </w:r>
            <w:r w:rsidR="00FF0F8E" w:rsidRPr="00AB4676">
              <w:rPr>
                <w:color w:val="000000"/>
              </w:rPr>
              <w:t>Item A.3</w:t>
            </w:r>
            <w:r w:rsidRPr="00AB4676">
              <w:rPr>
                <w:color w:val="000000"/>
              </w:rPr>
              <w:t xml:space="preserve"> of Annex A</w:t>
            </w:r>
            <w:r w:rsidR="00E278F1" w:rsidRPr="00AB4676">
              <w:rPr>
                <w:color w:val="000000"/>
              </w:rPr>
              <w:t xml:space="preserve">, </w:t>
            </w:r>
            <w:r w:rsidR="00E278F1" w:rsidRPr="00AB4676">
              <w:t>which uses the following plants as references for the All-In Project Cost: FNPC San Gabriel, EERI, and FGP-San Lorenzo.</w:t>
            </w:r>
          </w:p>
        </w:tc>
        <w:tc>
          <w:tcPr>
            <w:tcW w:w="6295" w:type="dxa"/>
          </w:tcPr>
          <w:p w:rsidR="00FF0F8E" w:rsidRPr="00AB4676" w:rsidRDefault="00E278F1" w:rsidP="00FF0F8E">
            <w:pPr>
              <w:jc w:val="both"/>
              <w:rPr>
                <w:color w:val="000000"/>
              </w:rPr>
            </w:pPr>
            <w:r w:rsidRPr="00AB4676">
              <w:t xml:space="preserve">We seek clarification from the Commission on the basis for using these plants as references for all Facility Types, regardless of capacity. </w:t>
            </w:r>
            <w:r w:rsidRPr="00AB4676">
              <w:rPr>
                <w:rStyle w:val="Strong"/>
                <w:b w:val="0"/>
                <w:bCs w:val="0"/>
              </w:rPr>
              <w:t>Project cost build-up and underlying assumptions may differ significantly between small- and large-capacity plants</w:t>
            </w:r>
            <w:r w:rsidRPr="00AB4676">
              <w:rPr>
                <w:rStyle w:val="Strong"/>
                <w:b w:val="0"/>
                <w:bCs w:val="0"/>
              </w:rPr>
              <w:t>.</w:t>
            </w:r>
          </w:p>
        </w:tc>
      </w:tr>
    </w:tbl>
    <w:p w:rsidR="00FF0F8E" w:rsidRPr="001577DC" w:rsidRDefault="00FF0F8E"/>
    <w:sectPr w:rsidR="00FF0F8E" w:rsidRPr="001577DC" w:rsidSect="00FF0F8E">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7B07" w:rsidRDefault="00B47B07" w:rsidP="00FF0F8E">
      <w:r>
        <w:separator/>
      </w:r>
    </w:p>
  </w:endnote>
  <w:endnote w:type="continuationSeparator" w:id="0">
    <w:p w:rsidR="00B47B07" w:rsidRDefault="00B47B07" w:rsidP="00FF0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3584251"/>
      <w:docPartObj>
        <w:docPartGallery w:val="Page Numbers (Bottom of Page)"/>
        <w:docPartUnique/>
      </w:docPartObj>
    </w:sdtPr>
    <w:sdtContent>
      <w:p w:rsidR="001577DC" w:rsidRDefault="001577DC" w:rsidP="009C06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577DC" w:rsidRDefault="001577DC" w:rsidP="001577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7DC" w:rsidRPr="001577DC" w:rsidRDefault="001577DC">
    <w:pPr>
      <w:pStyle w:val="Footer"/>
      <w:jc w:val="center"/>
    </w:pPr>
    <w:r w:rsidRPr="001577DC">
      <w:t xml:space="preserve">Page </w:t>
    </w:r>
    <w:r w:rsidRPr="001577DC">
      <w:fldChar w:fldCharType="begin"/>
    </w:r>
    <w:r w:rsidRPr="001577DC">
      <w:instrText xml:space="preserve"> PAGE  \* Arabic  \* MERGEFORMAT </w:instrText>
    </w:r>
    <w:r w:rsidRPr="001577DC">
      <w:fldChar w:fldCharType="separate"/>
    </w:r>
    <w:r w:rsidRPr="001577DC">
      <w:rPr>
        <w:noProof/>
      </w:rPr>
      <w:t>2</w:t>
    </w:r>
    <w:r w:rsidRPr="001577DC">
      <w:fldChar w:fldCharType="end"/>
    </w:r>
    <w:r w:rsidRPr="001577DC">
      <w:t xml:space="preserve"> of </w:t>
    </w:r>
    <w:fldSimple w:instr=" NUMPAGES  \* Arabic  \* MERGEFORMAT ">
      <w:r w:rsidRPr="001577DC">
        <w:rPr>
          <w:noProof/>
        </w:rPr>
        <w:t>2</w:t>
      </w:r>
    </w:fldSimple>
  </w:p>
  <w:p w:rsidR="001577DC" w:rsidRPr="001577DC" w:rsidRDefault="001577DC" w:rsidP="001577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7B07" w:rsidRDefault="00B47B07" w:rsidP="00FF0F8E">
      <w:r>
        <w:separator/>
      </w:r>
    </w:p>
  </w:footnote>
  <w:footnote w:type="continuationSeparator" w:id="0">
    <w:p w:rsidR="00B47B07" w:rsidRDefault="00B47B07" w:rsidP="00FF0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0F8E" w:rsidRPr="00FF0F8E" w:rsidRDefault="00FF0F8E" w:rsidP="00FF0F8E">
    <w:pPr>
      <w:pStyle w:val="Header"/>
      <w:tabs>
        <w:tab w:val="clear" w:pos="9360"/>
      </w:tabs>
      <w:jc w:val="right"/>
      <w:rPr>
        <w:b/>
        <w:bCs/>
        <w:lang w:val="en-US"/>
      </w:rPr>
    </w:pPr>
    <w:r w:rsidRPr="00FF0F8E">
      <w:rPr>
        <w:b/>
        <w:bCs/>
        <w:lang w:val="en-US"/>
      </w:rPr>
      <w:t>ANNEX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27A88"/>
    <w:multiLevelType w:val="hybridMultilevel"/>
    <w:tmpl w:val="D416EF16"/>
    <w:lvl w:ilvl="0" w:tplc="DDDCE148">
      <w:start w:val="1"/>
      <w:numFmt w:val="decimal"/>
      <w:lvlText w:val="%1."/>
      <w:lvlJc w:val="left"/>
      <w:pPr>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86E5F"/>
    <w:multiLevelType w:val="multilevel"/>
    <w:tmpl w:val="1BC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E65DF1"/>
    <w:multiLevelType w:val="hybridMultilevel"/>
    <w:tmpl w:val="327C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54503">
    <w:abstractNumId w:val="2"/>
  </w:num>
  <w:num w:numId="2" w16cid:durableId="877157323">
    <w:abstractNumId w:val="1"/>
  </w:num>
  <w:num w:numId="3" w16cid:durableId="651518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8E"/>
    <w:rsid w:val="000E1014"/>
    <w:rsid w:val="001577DC"/>
    <w:rsid w:val="001E3EA6"/>
    <w:rsid w:val="00274E50"/>
    <w:rsid w:val="004331A5"/>
    <w:rsid w:val="00641C4C"/>
    <w:rsid w:val="00683DCF"/>
    <w:rsid w:val="007A369C"/>
    <w:rsid w:val="007B41E7"/>
    <w:rsid w:val="008E56FF"/>
    <w:rsid w:val="00905FA9"/>
    <w:rsid w:val="00AB4676"/>
    <w:rsid w:val="00B47B07"/>
    <w:rsid w:val="00D26992"/>
    <w:rsid w:val="00DF2611"/>
    <w:rsid w:val="00E278F1"/>
    <w:rsid w:val="00E61591"/>
    <w:rsid w:val="00E64E41"/>
    <w:rsid w:val="00E8465F"/>
    <w:rsid w:val="00EE0609"/>
    <w:rsid w:val="00F54CCC"/>
    <w:rsid w:val="00FF0F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4C571"/>
  <w15:chartTrackingRefBased/>
  <w15:docId w15:val="{AE177A67-D115-594B-8DB5-D6F23D15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heme="minorHAnsi" w:hAnsi="Aptos" w:cs="Arial"/>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1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Georgia 14"/>
    <w:basedOn w:val="Normal"/>
    <w:next w:val="Normal"/>
    <w:unhideWhenUsed/>
    <w:qFormat/>
    <w:rsid w:val="008E56FF"/>
    <w:pPr>
      <w:widowControl w:val="0"/>
      <w:adjustRightInd w:val="0"/>
      <w:snapToGrid w:val="0"/>
      <w:jc w:val="both"/>
    </w:pPr>
    <w:rPr>
      <w:rFonts w:ascii="Georgia" w:eastAsiaTheme="minorEastAsia" w:hAnsi="Georgia"/>
      <w:kern w:val="0"/>
      <w:sz w:val="28"/>
      <w:szCs w:val="28"/>
      <w:lang w:val="en-US"/>
      <w14:ligatures w14:val="none"/>
    </w:rPr>
  </w:style>
  <w:style w:type="paragraph" w:styleId="Header">
    <w:name w:val="header"/>
    <w:basedOn w:val="Normal"/>
    <w:link w:val="HeaderChar"/>
    <w:uiPriority w:val="99"/>
    <w:unhideWhenUsed/>
    <w:rsid w:val="00FF0F8E"/>
    <w:pPr>
      <w:tabs>
        <w:tab w:val="center" w:pos="4680"/>
        <w:tab w:val="right" w:pos="9360"/>
      </w:tabs>
    </w:pPr>
  </w:style>
  <w:style w:type="character" w:customStyle="1" w:styleId="HeaderChar">
    <w:name w:val="Header Char"/>
    <w:basedOn w:val="DefaultParagraphFont"/>
    <w:link w:val="Header"/>
    <w:uiPriority w:val="99"/>
    <w:rsid w:val="00FF0F8E"/>
  </w:style>
  <w:style w:type="paragraph" w:styleId="Footer">
    <w:name w:val="footer"/>
    <w:basedOn w:val="Normal"/>
    <w:link w:val="FooterChar"/>
    <w:uiPriority w:val="99"/>
    <w:unhideWhenUsed/>
    <w:rsid w:val="00FF0F8E"/>
    <w:pPr>
      <w:tabs>
        <w:tab w:val="center" w:pos="4680"/>
        <w:tab w:val="right" w:pos="9360"/>
      </w:tabs>
    </w:pPr>
  </w:style>
  <w:style w:type="character" w:customStyle="1" w:styleId="FooterChar">
    <w:name w:val="Footer Char"/>
    <w:basedOn w:val="DefaultParagraphFont"/>
    <w:link w:val="Footer"/>
    <w:uiPriority w:val="99"/>
    <w:rsid w:val="00FF0F8E"/>
  </w:style>
  <w:style w:type="table" w:styleId="TableGrid">
    <w:name w:val="Table Grid"/>
    <w:basedOn w:val="TableNormal"/>
    <w:uiPriority w:val="39"/>
    <w:rsid w:val="00FF0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01">
    <w:name w:val="font101"/>
    <w:basedOn w:val="DefaultParagraphFont"/>
    <w:rsid w:val="00FF0F8E"/>
    <w:rPr>
      <w:rFonts w:ascii="Aptos Narrow" w:hAnsi="Aptos Narrow" w:hint="default"/>
      <w:b w:val="0"/>
      <w:bCs w:val="0"/>
      <w:i w:val="0"/>
      <w:iCs w:val="0"/>
      <w:strike w:val="0"/>
      <w:dstrike w:val="0"/>
      <w:color w:val="000000"/>
      <w:sz w:val="22"/>
      <w:szCs w:val="22"/>
      <w:u w:val="none"/>
      <w:effect w:val="none"/>
    </w:rPr>
  </w:style>
  <w:style w:type="character" w:customStyle="1" w:styleId="font121">
    <w:name w:val="font121"/>
    <w:basedOn w:val="DefaultParagraphFont"/>
    <w:rsid w:val="00FF0F8E"/>
    <w:rPr>
      <w:rFonts w:ascii="Aptos Narrow" w:hAnsi="Aptos Narrow" w:hint="default"/>
      <w:b/>
      <w:bCs/>
      <w:i w:val="0"/>
      <w:iCs w:val="0"/>
      <w:color w:val="FF0000"/>
      <w:sz w:val="22"/>
      <w:szCs w:val="22"/>
      <w:u w:val="single"/>
    </w:rPr>
  </w:style>
  <w:style w:type="character" w:customStyle="1" w:styleId="font91">
    <w:name w:val="font91"/>
    <w:basedOn w:val="DefaultParagraphFont"/>
    <w:rsid w:val="00FF0F8E"/>
    <w:rPr>
      <w:rFonts w:ascii="Aptos Narrow" w:hAnsi="Aptos Narrow"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FF0F8E"/>
    <w:rPr>
      <w:rFonts w:ascii="Aptos Narrow" w:hAnsi="Aptos Narrow" w:hint="default"/>
      <w:b/>
      <w:bCs/>
      <w:i w:val="0"/>
      <w:iCs w:val="0"/>
      <w:strike w:val="0"/>
      <w:dstrike w:val="0"/>
      <w:color w:val="FF0000"/>
      <w:sz w:val="22"/>
      <w:szCs w:val="22"/>
      <w:u w:val="none"/>
      <w:effect w:val="none"/>
    </w:rPr>
  </w:style>
  <w:style w:type="character" w:customStyle="1" w:styleId="font181">
    <w:name w:val="font181"/>
    <w:basedOn w:val="DefaultParagraphFont"/>
    <w:rsid w:val="00FF0F8E"/>
    <w:rPr>
      <w:rFonts w:ascii="Aptos Narrow" w:hAnsi="Aptos Narrow" w:hint="default"/>
      <w:b w:val="0"/>
      <w:bCs w:val="0"/>
      <w:i w:val="0"/>
      <w:iCs w:val="0"/>
      <w:strike w:val="0"/>
      <w:dstrike w:val="0"/>
      <w:color w:val="000000"/>
      <w:sz w:val="22"/>
      <w:szCs w:val="22"/>
      <w:u w:val="none"/>
      <w:effect w:val="none"/>
    </w:rPr>
  </w:style>
  <w:style w:type="character" w:customStyle="1" w:styleId="font191">
    <w:name w:val="font191"/>
    <w:basedOn w:val="DefaultParagraphFont"/>
    <w:rsid w:val="00FF0F8E"/>
    <w:rPr>
      <w:rFonts w:ascii="Aptos Narrow" w:hAnsi="Aptos Narrow" w:hint="default"/>
      <w:b/>
      <w:bCs/>
      <w:i w:val="0"/>
      <w:iCs w:val="0"/>
      <w:strike w:val="0"/>
      <w:dstrike w:val="0"/>
      <w:color w:val="000000"/>
      <w:sz w:val="22"/>
      <w:szCs w:val="22"/>
      <w:u w:val="none"/>
      <w:effect w:val="none"/>
    </w:rPr>
  </w:style>
  <w:style w:type="paragraph" w:customStyle="1" w:styleId="pdq2pgselectionanchorcontainer">
    <w:name w:val="pdq2pg_selectionanchorcontainer"/>
    <w:basedOn w:val="Normal"/>
    <w:rsid w:val="00EE0609"/>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E060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0609"/>
    <w:rPr>
      <w:b/>
      <w:bCs/>
    </w:rPr>
  </w:style>
  <w:style w:type="paragraph" w:styleId="ListParagraph">
    <w:name w:val="List Paragraph"/>
    <w:basedOn w:val="Normal"/>
    <w:uiPriority w:val="34"/>
    <w:qFormat/>
    <w:rsid w:val="007B41E7"/>
    <w:pPr>
      <w:ind w:left="720"/>
      <w:contextualSpacing/>
    </w:pPr>
  </w:style>
  <w:style w:type="character" w:styleId="PageNumber">
    <w:name w:val="page number"/>
    <w:basedOn w:val="DefaultParagraphFont"/>
    <w:uiPriority w:val="99"/>
    <w:semiHidden/>
    <w:unhideWhenUsed/>
    <w:rsid w:val="00157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24137">
      <w:bodyDiv w:val="1"/>
      <w:marLeft w:val="0"/>
      <w:marRight w:val="0"/>
      <w:marTop w:val="0"/>
      <w:marBottom w:val="0"/>
      <w:divBdr>
        <w:top w:val="none" w:sz="0" w:space="0" w:color="auto"/>
        <w:left w:val="none" w:sz="0" w:space="0" w:color="auto"/>
        <w:bottom w:val="none" w:sz="0" w:space="0" w:color="auto"/>
        <w:right w:val="none" w:sz="0" w:space="0" w:color="auto"/>
      </w:divBdr>
    </w:div>
    <w:div w:id="503471851">
      <w:bodyDiv w:val="1"/>
      <w:marLeft w:val="0"/>
      <w:marRight w:val="0"/>
      <w:marTop w:val="0"/>
      <w:marBottom w:val="0"/>
      <w:divBdr>
        <w:top w:val="none" w:sz="0" w:space="0" w:color="auto"/>
        <w:left w:val="none" w:sz="0" w:space="0" w:color="auto"/>
        <w:bottom w:val="none" w:sz="0" w:space="0" w:color="auto"/>
        <w:right w:val="none" w:sz="0" w:space="0" w:color="auto"/>
      </w:divBdr>
    </w:div>
    <w:div w:id="562637922">
      <w:bodyDiv w:val="1"/>
      <w:marLeft w:val="0"/>
      <w:marRight w:val="0"/>
      <w:marTop w:val="0"/>
      <w:marBottom w:val="0"/>
      <w:divBdr>
        <w:top w:val="none" w:sz="0" w:space="0" w:color="auto"/>
        <w:left w:val="none" w:sz="0" w:space="0" w:color="auto"/>
        <w:bottom w:val="none" w:sz="0" w:space="0" w:color="auto"/>
        <w:right w:val="none" w:sz="0" w:space="0" w:color="auto"/>
      </w:divBdr>
      <w:divsChild>
        <w:div w:id="1980264273">
          <w:marLeft w:val="0"/>
          <w:marRight w:val="0"/>
          <w:marTop w:val="0"/>
          <w:marBottom w:val="0"/>
          <w:divBdr>
            <w:top w:val="none" w:sz="0" w:space="0" w:color="auto"/>
            <w:left w:val="none" w:sz="0" w:space="0" w:color="auto"/>
            <w:bottom w:val="none" w:sz="0" w:space="0" w:color="auto"/>
            <w:right w:val="none" w:sz="0" w:space="0" w:color="auto"/>
          </w:divBdr>
        </w:div>
      </w:divsChild>
    </w:div>
    <w:div w:id="613220635">
      <w:bodyDiv w:val="1"/>
      <w:marLeft w:val="0"/>
      <w:marRight w:val="0"/>
      <w:marTop w:val="0"/>
      <w:marBottom w:val="0"/>
      <w:divBdr>
        <w:top w:val="none" w:sz="0" w:space="0" w:color="auto"/>
        <w:left w:val="none" w:sz="0" w:space="0" w:color="auto"/>
        <w:bottom w:val="none" w:sz="0" w:space="0" w:color="auto"/>
        <w:right w:val="none" w:sz="0" w:space="0" w:color="auto"/>
      </w:divBdr>
    </w:div>
    <w:div w:id="882717005">
      <w:bodyDiv w:val="1"/>
      <w:marLeft w:val="0"/>
      <w:marRight w:val="0"/>
      <w:marTop w:val="0"/>
      <w:marBottom w:val="0"/>
      <w:divBdr>
        <w:top w:val="none" w:sz="0" w:space="0" w:color="auto"/>
        <w:left w:val="none" w:sz="0" w:space="0" w:color="auto"/>
        <w:bottom w:val="none" w:sz="0" w:space="0" w:color="auto"/>
        <w:right w:val="none" w:sz="0" w:space="0" w:color="auto"/>
      </w:divBdr>
      <w:divsChild>
        <w:div w:id="514803221">
          <w:marLeft w:val="0"/>
          <w:marRight w:val="0"/>
          <w:marTop w:val="0"/>
          <w:marBottom w:val="0"/>
          <w:divBdr>
            <w:top w:val="none" w:sz="0" w:space="0" w:color="auto"/>
            <w:left w:val="none" w:sz="0" w:space="0" w:color="auto"/>
            <w:bottom w:val="none" w:sz="0" w:space="0" w:color="auto"/>
            <w:right w:val="none" w:sz="0" w:space="0" w:color="auto"/>
          </w:divBdr>
        </w:div>
      </w:divsChild>
    </w:div>
    <w:div w:id="1025787926">
      <w:bodyDiv w:val="1"/>
      <w:marLeft w:val="0"/>
      <w:marRight w:val="0"/>
      <w:marTop w:val="0"/>
      <w:marBottom w:val="0"/>
      <w:divBdr>
        <w:top w:val="none" w:sz="0" w:space="0" w:color="auto"/>
        <w:left w:val="none" w:sz="0" w:space="0" w:color="auto"/>
        <w:bottom w:val="none" w:sz="0" w:space="0" w:color="auto"/>
        <w:right w:val="none" w:sz="0" w:space="0" w:color="auto"/>
      </w:divBdr>
    </w:div>
    <w:div w:id="1249117307">
      <w:bodyDiv w:val="1"/>
      <w:marLeft w:val="0"/>
      <w:marRight w:val="0"/>
      <w:marTop w:val="0"/>
      <w:marBottom w:val="0"/>
      <w:divBdr>
        <w:top w:val="none" w:sz="0" w:space="0" w:color="auto"/>
        <w:left w:val="none" w:sz="0" w:space="0" w:color="auto"/>
        <w:bottom w:val="none" w:sz="0" w:space="0" w:color="auto"/>
        <w:right w:val="none" w:sz="0" w:space="0" w:color="auto"/>
      </w:divBdr>
    </w:div>
    <w:div w:id="1289169192">
      <w:bodyDiv w:val="1"/>
      <w:marLeft w:val="0"/>
      <w:marRight w:val="0"/>
      <w:marTop w:val="0"/>
      <w:marBottom w:val="0"/>
      <w:divBdr>
        <w:top w:val="none" w:sz="0" w:space="0" w:color="auto"/>
        <w:left w:val="none" w:sz="0" w:space="0" w:color="auto"/>
        <w:bottom w:val="none" w:sz="0" w:space="0" w:color="auto"/>
        <w:right w:val="none" w:sz="0" w:space="0" w:color="auto"/>
      </w:divBdr>
    </w:div>
    <w:div w:id="1396585450">
      <w:bodyDiv w:val="1"/>
      <w:marLeft w:val="0"/>
      <w:marRight w:val="0"/>
      <w:marTop w:val="0"/>
      <w:marBottom w:val="0"/>
      <w:divBdr>
        <w:top w:val="none" w:sz="0" w:space="0" w:color="auto"/>
        <w:left w:val="none" w:sz="0" w:space="0" w:color="auto"/>
        <w:bottom w:val="none" w:sz="0" w:space="0" w:color="auto"/>
        <w:right w:val="none" w:sz="0" w:space="0" w:color="auto"/>
      </w:divBdr>
    </w:div>
    <w:div w:id="1660190441">
      <w:bodyDiv w:val="1"/>
      <w:marLeft w:val="0"/>
      <w:marRight w:val="0"/>
      <w:marTop w:val="0"/>
      <w:marBottom w:val="0"/>
      <w:divBdr>
        <w:top w:val="none" w:sz="0" w:space="0" w:color="auto"/>
        <w:left w:val="none" w:sz="0" w:space="0" w:color="auto"/>
        <w:bottom w:val="none" w:sz="0" w:space="0" w:color="auto"/>
        <w:right w:val="none" w:sz="0" w:space="0" w:color="auto"/>
      </w:divBdr>
      <w:divsChild>
        <w:div w:id="1879900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819A8-787C-534C-95F1-AEFB0143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Lavina</dc:creator>
  <cp:keywords/>
  <dc:description/>
  <cp:lastModifiedBy>Alyssa Lavina</cp:lastModifiedBy>
  <cp:revision>2</cp:revision>
  <dcterms:created xsi:type="dcterms:W3CDTF">2026-08-14T03:10:00Z</dcterms:created>
  <dcterms:modified xsi:type="dcterms:W3CDTF">2026-08-14T05:50:00Z</dcterms:modified>
</cp:coreProperties>
</file>