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Prosistant child-care practice books: preliminary review and revision package</w:t>
      </w:r>
    </w:p>
    <w:p>
      <w:r>
        <w:rPr>
          <w:b w:val="0"/>
        </w:rPr>
        <w:t>Prepared for general child-care staff competency | October 14, 2026 (Pacific time)</w:t>
      </w:r>
    </w:p>
    <w:p>
      <w:r>
        <w:rPr>
          <w:b w:val="0"/>
        </w:rPr>
      </w:r>
      <w:r>
        <w:rPr>
          <w:b/>
        </w:rPr>
        <w:t>Decision: retain as a drafting resource; do not yet use it as a state-specific compliance textbook or a validated examination.</w:t>
      </w:r>
      <w:r>
        <w:rPr>
          <w:b w:val="0"/>
        </w:rPr>
        <w:t xml:space="preserve"> The package has useful safety themes, a consistent bilingual format, and honest draft notices. It needs substantial instructional revision and source-based legal review before it meets the requested purpose.</w:t>
      </w:r>
    </w:p>
    <w:p>
      <w:r>
        <w:rPr>
          <w:b w:val="0"/>
        </w:rPr>
      </w:r>
      <w:r>
        <w:rPr>
          <w:b/>
        </w:rPr>
        <w:t>Important scope limit:</w:t>
      </w:r>
      <w:r>
        <w:rPr>
          <w:b w:val="0"/>
        </w:rPr>
        <w:t xml:space="preserve"> the requested authoritative-source consultation could not be completed. All 72 source requests in this run were blocked by the environment's network proxy with “403 Forbidden.” Network permission was granted, but the restriction remained. Source-domain additions were saved to the environment configuration draft; they are not yet applied or published. The source register is a research queue, not a verified knowledge base. This report gives a document-based editorial assessment and provisional examples, not a completed regulatory review. No government agency has reviewed or approved these deliverables.</w:t>
      </w:r>
    </w:p>
    <w:p>
      <w:pPr>
        <w:pStyle w:val="Heading2"/>
      </w:pPr>
      <w:r>
        <w:t>1. What was examined</w:t>
      </w:r>
    </w:p>
    <w:p>
      <w:r>
        <w:rPr>
          <w:b w:val="0"/>
        </w:rPr>
        <w:t>The supplied ZIP contains 50 HTML books, shared authoring material, a 1,000-record bilingual curriculum, a 50,000-row state review register, a source registry, and a manifest. I inspected the shared content and generator, prepared family-level revision notes for all 100 situations, and ran structural comparisons across every state edition. Embedded instructions in the archive were treated as content to examine, not as authority to execute or publish changes.</w:t>
      </w:r>
    </w:p>
    <w:p>
      <w:r>
        <w:rPr>
          <w:b w:val="0"/>
        </w:rPr>
        <w:t>The confirmed audience is adult child-care staff building general job competency. This is not a CDA preparation course, a named state examination, a course for children, or an approved training-credit program.</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Evidence</w:t>
            </w:r>
          </w:p>
        </w:tc>
        <w:tc>
          <w:tcPr>
            <w:tcW w:type="dxa" w:w="2880"/>
          </w:tcPr>
          <w:p>
            <w:r>
              <w:t>Implication</w:t>
            </w:r>
          </w:p>
        </w:tc>
      </w:tr>
      <w:tr>
        <w:tc>
          <w:tcPr>
            <w:tcW w:type="dxa" w:w="2880"/>
          </w:tcPr>
          <w:p>
            <w:r>
              <w:t>50 books contain 50,000 displayed exercise records</w:t>
            </w:r>
          </w:p>
        </w:tc>
        <w:tc>
          <w:tcPr>
            <w:tcW w:type="dxa" w:w="2880"/>
          </w:tcPr>
          <w:p>
            <w:r>
              <w:t>All 50 HTML books checked</w:t>
            </w:r>
          </w:p>
        </w:tc>
        <w:tc>
          <w:tcPr>
            <w:tcW w:type="dxa" w:w="2880"/>
          </w:tcPr>
          <w:p>
            <w:r>
              <w:t>This is edition count, not unique learning content.</w:t>
            </w:r>
          </w:p>
        </w:tc>
      </w:tr>
      <w:tr>
        <w:tc>
          <w:tcPr>
            <w:tcW w:type="dxa" w:w="2880"/>
          </w:tcPr>
          <w:p>
            <w:r>
              <w:t>1,000 shared exercises come from 100 situation families</w:t>
            </w:r>
          </w:p>
        </w:tc>
        <w:tc>
          <w:tcPr>
            <w:tcW w:type="dxa" w:w="2880"/>
          </w:tcPr>
          <w:p>
            <w:r>
              <w:t>Shared JSON and generator</w:t>
            </w:r>
          </w:p>
        </w:tc>
        <w:tc>
          <w:tcPr>
            <w:tcW w:type="dxa" w:w="2880"/>
          </w:tcPr>
          <w:p>
            <w:r>
              <w:t>Ten variations are attached to each underlying situation. Reuse is disclosed appropriately.</w:t>
            </w:r>
          </w:p>
        </w:tc>
      </w:tr>
      <w:tr>
        <w:tc>
          <w:tcPr>
            <w:tcW w:type="dxa" w:w="2880"/>
          </w:tcPr>
          <w:p>
            <w:r>
              <w:t>Only 10 distinct question texts</w:t>
            </w:r>
          </w:p>
        </w:tc>
        <w:tc>
          <w:tcPr>
            <w:tcW w:type="dxa" w:w="2880"/>
          </w:tcPr>
          <w:p>
            <w:r>
              <w:t>Entire shared JSON counted</w:t>
            </w:r>
          </w:p>
        </w:tc>
        <w:tc>
          <w:tcPr>
            <w:tcW w:type="dxa" w:w="2880"/>
          </w:tcPr>
          <w:p>
            <w:r>
              <w:t>The same question appears 100 times.</w:t>
            </w:r>
          </w:p>
        </w:tc>
      </w:tr>
      <w:tr>
        <w:tc>
          <w:tcPr>
            <w:tcW w:type="dxa" w:w="2880"/>
          </w:tcPr>
          <w:p>
            <w:r>
              <w:t>Only 10 distinct rationale texts</w:t>
            </w:r>
          </w:p>
        </w:tc>
        <w:tc>
          <w:tcPr>
            <w:tcW w:type="dxa" w:w="2880"/>
          </w:tcPr>
          <w:p>
            <w:r>
              <w:t>Entire shared JSON counted</w:t>
            </w:r>
          </w:p>
        </w:tc>
        <w:tc>
          <w:tcPr>
            <w:tcW w:type="dxa" w:w="2880"/>
          </w:tcPr>
          <w:p>
            <w:r>
              <w:t>Explanations follow the variation template, rather than the particular safety or teaching issue.</w:t>
            </w:r>
          </w:p>
        </w:tc>
      </w:tr>
      <w:tr>
        <w:tc>
          <w:tcPr>
            <w:tcW w:type="dxa" w:w="2880"/>
          </w:tcPr>
          <w:p>
            <w:r>
              <w:t>Only 25 distinct evidence prompts and 25 local-verification prompts</w:t>
            </w:r>
          </w:p>
        </w:tc>
        <w:tc>
          <w:tcPr>
            <w:tcW w:type="dxa" w:w="2880"/>
          </w:tcPr>
          <w:p>
            <w:r>
              <w:t>Entire shared JSON counted</w:t>
            </w:r>
          </w:p>
        </w:tc>
        <w:tc>
          <w:tcPr>
            <w:tcW w:type="dxa" w:w="2880"/>
          </w:tcPr>
          <w:p>
            <w:r>
              <w:t>Each topic repeats a general prompt instead of providing case-level evidence.</w:t>
            </w:r>
          </w:p>
        </w:tc>
      </w:tr>
      <w:tr>
        <w:tc>
          <w:tcPr>
            <w:tcW w:type="dxa" w:w="2880"/>
          </w:tcPr>
          <w:p>
            <w:r>
              <w:t>No mapped exact rule sections in 50,000 state records</w:t>
            </w:r>
          </w:p>
        </w:tc>
        <w:tc>
          <w:tcPr>
            <w:tcW w:type="dxa" w:w="2880"/>
          </w:tcPr>
          <w:p>
            <w:r>
              <w:t>Entire CSV checked</w:t>
            </w:r>
          </w:p>
        </w:tc>
        <w:tc>
          <w:tcPr>
            <w:tcW w:type="dxa" w:w="2880"/>
          </w:tcPr>
          <w:p>
            <w:r>
              <w:t>The books cannot establish the state-specific legal answers.</w:t>
            </w:r>
          </w:p>
        </w:tc>
      </w:tr>
      <w:tr>
        <w:tc>
          <w:tcPr>
            <w:tcW w:type="dxa" w:w="2880"/>
          </w:tcPr>
          <w:p>
            <w:r>
              <w:t>No named rule reviewers in 50,000 state records</w:t>
            </w:r>
          </w:p>
        </w:tc>
        <w:tc>
          <w:tcPr>
            <w:tcW w:type="dxa" w:w="2880"/>
          </w:tcPr>
          <w:p>
            <w:r>
              <w:t>Entire CSV checked</w:t>
            </w:r>
          </w:p>
        </w:tc>
        <w:tc>
          <w:tcPr>
            <w:tcW w:type="dxa" w:w="2880"/>
          </w:tcPr>
          <w:p>
            <w:r>
              <w:t>A register row is not an approval.</w:t>
            </w:r>
          </w:p>
        </w:tc>
      </w:tr>
      <w:tr>
        <w:tc>
          <w:tcPr>
            <w:tcW w:type="dxa" w:w="2880"/>
          </w:tcPr>
          <w:p>
            <w:r>
              <w:t>Book hashes, case counts, IDs, and core text match</w:t>
            </w:r>
          </w:p>
        </w:tc>
        <w:tc>
          <w:tcPr>
            <w:tcW w:type="dxa" w:w="2880"/>
          </w:tcPr>
          <w:p>
            <w:r>
              <w:t>Structural audit passed for all 50 books</w:t>
            </w:r>
          </w:p>
        </w:tc>
        <w:tc>
          <w:tcPr>
            <w:tcW w:type="dxa" w:w="2880"/>
          </w:tcPr>
          <w:p>
            <w:r>
              <w:t>File consistency works. This does not establish accuracy or instructional effectiveness.</w:t>
            </w:r>
          </w:p>
        </w:tc>
      </w:tr>
    </w:tbl>
    <w:p>
      <w:r>
        <w:rPr>
          <w:b w:val="0"/>
        </w:rPr>
        <w:t>The input's source registry describes 41 earlier entry-point retrievals and nine incomplete attempts. These are the package author's recorded statuses, not successful retrievals in this review. The nine previously incomplete entries are Arkansas, Kansas, Massachusetts, New York, Ohio, Texas, Utah, Vermont, and Virginia. Every source request attempted in this review remained blocked; there is no newly verified state-law coverage.</w:t>
      </w:r>
    </w:p>
    <w:p>
      <w:pPr>
        <w:pStyle w:val="Heading2"/>
      </w:pPr>
      <w:r>
        <w:t>2. First review: safety, regulation, and professional practice</w:t>
      </w:r>
    </w:p>
    <w:p>
      <w:r>
        <w:rPr>
          <w:b w:val="0"/>
        </w:rPr>
        <w:t>These are reviewer perspectives, not agency determinations. An omission in a model answer is not proof that a real provider violated a law. The relevant facts and applicable primary text must establish that conclusion.</w:t>
      </w:r>
    </w:p>
    <w:p>
      <w:pPr>
        <w:pStyle w:val="Heading3"/>
      </w:pPr>
      <w:r>
        <w:t>Priority 1: make high-consequence answers actionable</w:t>
      </w:r>
    </w:p>
    <w:p>
      <w:r>
        <w:rPr>
          <w:b w:val="0"/>
        </w:rPr>
      </w:r>
      <w:r>
        <w:rPr>
          <w:b/>
        </w:rPr>
        <w:t>Infant sleep — FAM-017–020 / CORE-0161–0200.</w:t>
      </w:r>
      <w:r>
        <w:rPr>
          <w:b w:val="0"/>
        </w:rPr>
        <w:t xml:space="preserve"> The answers recognize risk but rely on phrases such as “appropriate sleep environment” and “authorized individual-plan process.” The final lessons must teach the verified sleep setup, positioning, equipment, observation, and permitted exception process. Separate general health guidance from state licensing obligations. A parent's request must not be presented as creating an exception. Do not make learners research a routine safety action while a hazard remains.</w:t>
      </w:r>
    </w:p>
    <w:p>
      <w:r>
        <w:rPr>
          <w:b w:val="0"/>
        </w:rPr>
      </w:r>
      <w:r>
        <w:rPr>
          <w:b/>
        </w:rPr>
        <w:t>Medication — FAM-021–024 / CORE-0201–0240.</w:t>
      </w:r>
      <w:r>
        <w:rPr>
          <w:b w:val="0"/>
        </w:rPr>
        <w:t xml:space="preserve"> Separate routine permission checks, a possible duplicate dose, and an active emergency. For the uncertain record, retain “do not guess or repeat a dose,” then identify the qualified clinical advice route and immediate supervision. A routine documentation rule must not delay emergency care under the child's plan. Do not turn the textbook into a dosing manual.</w:t>
      </w:r>
    </w:p>
    <w:p>
      <w:r>
        <w:rPr>
          <w:b w:val="0"/>
        </w:rPr>
      </w:r>
      <w:r>
        <w:rPr>
          <w:b/>
        </w:rPr>
        <w:t>Food allergy — FAM-025–028 / CORE-0241–0280.</w:t>
      </w:r>
      <w:r>
        <w:rPr>
          <w:b w:val="0"/>
        </w:rPr>
        <w:t xml:space="preserve"> Give actual examples of uncertain ingredients and cross-contact. Teach the difference between selecting a routine safe snack and responding to symptoms under an emergency plan. A fresh utensil does not necessarily make already-affected food suitable.</w:t>
      </w:r>
    </w:p>
    <w:p>
      <w:r>
        <w:rPr>
          <w:b w:val="0"/>
        </w:rPr>
      </w:r>
      <w:r>
        <w:rPr>
          <w:b/>
        </w:rPr>
        <w:t>Protective reporting — FAM-049–052 / CORE-0481–0520.</w:t>
      </w:r>
      <w:r>
        <w:rPr>
          <w:b w:val="0"/>
        </w:rPr>
        <w:t xml:space="preserve"> Make the order of action clear: immediate safety; calm listening; no promise of secrecy; no leading investigation; accurate recording; the applicable reporting duty. The final state lesson must provide the verified trigger, recipient, timing, and any follow-up requirements. A supervisor's permission and proof gathered by the provider must not become barriers to an already-required report. A confidentiality lesson must not imply withholding information from authorized reporting recipients.</w:t>
      </w:r>
    </w:p>
    <w:p>
      <w:r>
        <w:rPr>
          <w:b w:val="0"/>
        </w:rPr>
      </w:r>
      <w:r>
        <w:rPr>
          <w:b/>
        </w:rPr>
        <w:t>Supervision and transport — FAM-001–004, 061–068.</w:t>
      </w:r>
      <w:r>
        <w:rPr>
          <w:b w:val="0"/>
        </w:rPr>
        <w:t xml:space="preserve"> Replace “assign eligible coverage” with a plan that works in the stated setting. “Find another adult” is incomplete when the scenario says the provider is working alone. Teach explicit transfer of responsibility, name-and-face checks, verified release authority, and the actual vehicle-check steps. An identity card alone does not establish pickup authorization. A quiet vehicle does not prove it is empty.</w:t>
      </w:r>
    </w:p>
    <w:p>
      <w:pPr>
        <w:pStyle w:val="Heading3"/>
      </w:pPr>
      <w:r>
        <w:t>Priority 2: supply enough facts to answer legal questions</w:t>
      </w:r>
    </w:p>
    <w:p>
      <w:r>
        <w:rPr>
          <w:b w:val="0"/>
        </w:rPr>
      </w:r>
      <w:r>
        <w:rPr>
          <w:b/>
        </w:rPr>
        <w:t>Capacity and staffing — FAM-005–016.</w:t>
      </w:r>
      <w:r>
        <w:rPr>
          <w:b w:val="0"/>
        </w:rPr>
        <w:t xml:space="preserve"> Add the state, exact license category, children's ages, group composition, relevant household children, qualified staff, approved room, and a verified rule excerpt. Without those facts, the correct assessment is “not enough information,” not an invented ratio or admission decision. Clearance, permission to assist, permission to work alone, and permission to count in staffing are separate issues.</w:t>
      </w:r>
    </w:p>
    <w:p>
      <w:r>
        <w:rPr>
          <w:b w:val="0"/>
        </w:rPr>
      </w:r>
      <w:r>
        <w:rPr>
          <w:b/>
        </w:rPr>
        <w:t>Incident and illness notices — FAM-029–032 and 045–048.</w:t>
      </w:r>
      <w:r>
        <w:rPr>
          <w:b w:val="0"/>
        </w:rPr>
        <w:t xml:space="preserve"> Distinguish notice to the family, licensing authority, protective reporting agency, public-health authority, and emergency responders. Do not suggest one call satisfies them all. Use a timeline only after the actual rule is verified. Do not create a universal fever cutoff, exclusion period, or notice deadline.</w:t>
      </w:r>
    </w:p>
    <w:p>
      <w:r>
        <w:rPr>
          <w:b w:val="0"/>
        </w:rPr>
      </w:r>
      <w:r>
        <w:rPr>
          <w:b/>
        </w:rPr>
        <w:t>Inclusion — FAM-057–060.</w:t>
      </w:r>
      <w:r>
        <w:rPr>
          <w:b w:val="0"/>
        </w:rPr>
        <w:t xml:space="preserve"> Teach individual review and practical participation supports. Determine the applicability of ADA provisions, relevant state nondiscrimination rules, and program-specific requirements. Do not apply Head Start suspension or expulsion rules to every private provider, or assume that every requested adjustment is automatically required. Repeated shortened days deserve review as a possible exclusion pattern.</w:t>
      </w:r>
    </w:p>
    <w:p>
      <w:r>
        <w:rPr>
          <w:b w:val="0"/>
        </w:rPr>
      </w:r>
      <w:r>
        <w:rPr>
          <w:b/>
        </w:rPr>
        <w:t>Subsidy — FAM-085–088.</w:t>
      </w:r>
      <w:r>
        <w:rPr>
          <w:b w:val="0"/>
        </w:rPr>
        <w:t xml:space="preserve"> Preserve accurate attendance, but do not assume payment is always attendance-based or that an absence is necessarily unpayable. Separate attendance facts, authorization, enrollment/payment terms, permitted absence payments, and family charges. Check the current applicable program rules. A discrepancy is not itself proof of fraud.</w:t>
      </w:r>
    </w:p>
    <w:p>
      <w:r>
        <w:rPr>
          <w:b w:val="0"/>
        </w:rPr>
      </w:r>
      <w:r>
        <w:rPr>
          <w:b/>
        </w:rPr>
        <w:t>Privacy and records — FAM-081–084.</w:t>
      </w:r>
      <w:r>
        <w:rPr>
          <w:b w:val="0"/>
        </w:rPr>
        <w:t xml:space="preserve"> Do not describe HIPAA, FERPA, or a particular software design as a universal child-care requirement. Assess coverage and the actual record type. Separate recommended individual logins from a proven legal mandate. Photo permission has a specific use and audience; retention periods vary by record and legal hold.</w:t>
      </w:r>
    </w:p>
    <w:p>
      <w:pPr>
        <w:pStyle w:val="Heading3"/>
      </w:pPr>
      <w:r>
        <w:t>Priority 3: define which authorities apply</w:t>
      </w:r>
    </w:p>
    <w:p>
      <w:r>
        <w:rPr>
          <w:b w:val="0"/>
        </w:rPr>
        <w:t>The research plan must distinguish state licensing agencies; local health, sanitation, building and fire authorities; protective reporting authorities; subsidy administrators; disability/civil-rights authorities; transportation authorities; and any program-specific oversight. Federal sources such as CCDF, Head Start, and IDEA have different coverage and do not create one national child-care licensing code.</w:t>
      </w:r>
    </w:p>
    <w:p>
      <w:r>
        <w:rPr>
          <w:b w:val="0"/>
        </w:rPr>
        <w:t>CDC and NIH material can support health teaching; CPSC material addresses product safety; NHTSA material supports restraint education; EPA labels and guidance support product use; NAEYC supports professional pedagogy. These roles are different from a state licensing rule. NAEYC is not a government regulator. An agency portal is a place to find a rule, not the rule itself.</w:t>
      </w:r>
    </w:p>
    <w:p>
      <w:pPr>
        <w:pStyle w:val="Heading2"/>
      </w:pPr>
      <w:r>
        <w:t>3. Second review: textbook design and plain language</w:t>
      </w:r>
    </w:p>
    <w:p>
      <w:r>
        <w:rPr>
          <w:b w:val="0"/>
        </w:rPr>
        <w:t>The current collection is chiefly a compliance-discussion corpus. It is not yet a complete early childhood education textbook. Give learners a short lesson before asking them to answer, show what a good response looks like, and explain the specific risk or child-development principle.</w:t>
      </w:r>
    </w:p>
    <w:p>
      <w:r>
        <w:rPr>
          <w:b w:val="0"/>
        </w:rPr>
        <w:t>Use one national foundation plus genuine state/license supplements. Do not reproduce identical general answers under 50 state titles as the main learning structure. Keep original IDs so the 50,000 edition records can still be tracked. The 100-family teaching prototype in this package is a proposed foundation, not 100 newly verified legal lessons.</w:t>
      </w:r>
    </w:p>
    <w:p>
      <w:r>
        <w:rPr>
          <w:b w:val="0"/>
        </w:rPr>
        <w:t>A useful lesson sequence is:</w:t>
      </w:r>
    </w:p>
    <w:p>
      <w:pPr>
        <w:pStyle w:val="ListNumber"/>
      </w:pPr>
      <w:r>
        <w:rPr>
          <w:b w:val="0"/>
        </w:rPr>
      </w:r>
      <w:r>
        <w:rPr>
          <w:b/>
        </w:rPr>
        <w:t>Learning goal:</w:t>
      </w:r>
      <w:r>
        <w:rPr>
          <w:b w:val="0"/>
        </w:rPr>
        <w:t xml:space="preserve"> one observable skill, such as completing a clear handoff.</w:t>
      </w:r>
    </w:p>
    <w:p>
      <w:pPr>
        <w:pStyle w:val="ListNumber"/>
      </w:pPr>
      <w:r>
        <w:rPr>
          <w:b w:val="0"/>
        </w:rPr>
      </w:r>
      <w:r>
        <w:rPr>
          <w:b/>
        </w:rPr>
        <w:t>Short teaching note:</w:t>
      </w:r>
      <w:r>
        <w:rPr>
          <w:b w:val="0"/>
        </w:rPr>
        <w:t xml:space="preserve"> two or three concrete actions and the reason behind them.</w:t>
      </w:r>
    </w:p>
    <w:p>
      <w:pPr>
        <w:pStyle w:val="ListNumber"/>
      </w:pPr>
      <w:r>
        <w:rPr>
          <w:b w:val="0"/>
        </w:rPr>
      </w:r>
      <w:r>
        <w:rPr>
          <w:b/>
        </w:rPr>
        <w:t>Everyday situation:</w:t>
      </w:r>
      <w:r>
        <w:rPr>
          <w:b w:val="0"/>
        </w:rPr>
        <w:t xml:space="preserve"> named roles, enough facts, no unnecessary complexity.</w:t>
      </w:r>
    </w:p>
    <w:p>
      <w:pPr>
        <w:pStyle w:val="ListNumber"/>
      </w:pPr>
      <w:r>
        <w:rPr>
          <w:b w:val="0"/>
        </w:rPr>
      </w:r>
      <w:r>
        <w:rPr>
          <w:b/>
        </w:rPr>
        <w:t>Practice:</w:t>
      </w:r>
      <w:r>
        <w:rPr>
          <w:b w:val="0"/>
        </w:rPr>
        <w:t xml:space="preserve"> answer before revealing the explanation.</w:t>
      </w:r>
    </w:p>
    <w:p>
      <w:pPr>
        <w:pStyle w:val="ListNumber"/>
      </w:pPr>
      <w:r>
        <w:rPr>
          <w:b w:val="0"/>
        </w:rPr>
      </w:r>
      <w:r>
        <w:rPr>
          <w:b/>
        </w:rPr>
        <w:t>Explanation:</w:t>
      </w:r>
      <w:r>
        <w:rPr>
          <w:b w:val="0"/>
        </w:rPr>
        <w:t xml:space="preserve"> connect the action to the particular risk; discuss why a tempting shortcut fails.</w:t>
      </w:r>
    </w:p>
    <w:p>
      <w:pPr>
        <w:pStyle w:val="ListNumber"/>
      </w:pPr>
      <w:r>
        <w:rPr>
          <w:b w:val="0"/>
        </w:rPr>
      </w:r>
      <w:r>
        <w:rPr>
          <w:b/>
        </w:rPr>
        <w:t>Demonstration:</w:t>
      </w:r>
      <w:r>
        <w:rPr>
          <w:b w:val="0"/>
        </w:rPr>
        <w:t xml:space="preserve"> show the skill using fictional records, an empty training area, or role play.</w:t>
      </w:r>
    </w:p>
    <w:p>
      <w:pPr>
        <w:pStyle w:val="ListNumber"/>
      </w:pPr>
      <w:r>
        <w:rPr>
          <w:b w:val="0"/>
        </w:rPr>
      </w:r>
      <w:r>
        <w:rPr>
          <w:b/>
        </w:rPr>
        <w:t>Local rule box:</w:t>
      </w:r>
      <w:r>
        <w:rPr>
          <w:b w:val="0"/>
        </w:rPr>
        <w:t xml:space="preserve"> only the legal detail that depends on the jurisdiction, supported by verified text.</w:t>
      </w:r>
    </w:p>
    <w:p>
      <w:pPr>
        <w:pStyle w:val="ListNumber"/>
      </w:pPr>
      <w:r>
        <w:rPr>
          <w:b w:val="0"/>
        </w:rPr>
      </w:r>
      <w:r>
        <w:rPr>
          <w:b/>
        </w:rPr>
        <w:t>Review:</w:t>
      </w:r>
      <w:r>
        <w:rPr>
          <w:b w:val="0"/>
        </w:rPr>
        <w:t xml:space="preserve"> give specific feedback and let the learner try another situation.</w:t>
      </w:r>
    </w:p>
    <w:p>
      <w:pPr>
        <w:pStyle w:val="Heading3"/>
      </w:pPr>
      <w:r>
        <w:t>Language changes</w:t>
      </w:r>
    </w:p>
    <w:tbl>
      <w:tblPr>
        <w:tblStyle w:val="LightShading-Accent1"/>
        <w:tblW w:type="auto" w:w="0"/>
        <w:tblLook w:firstColumn="1" w:firstRow="1" w:lastColumn="0" w:lastRow="0" w:noHBand="0" w:noVBand="1" w:val="04A0"/>
      </w:tblPr>
      <w:tblGrid>
        <w:gridCol w:w="4320"/>
        <w:gridCol w:w="4320"/>
      </w:tblGrid>
      <w:tr>
        <w:tc>
          <w:tcPr>
            <w:tcW w:type="dxa" w:w="4320"/>
          </w:tcPr>
          <w:p>
            <w:r>
              <w:t>Current phrase</w:t>
            </w:r>
          </w:p>
        </w:tc>
        <w:tc>
          <w:tcPr>
            <w:tcW w:type="dxa" w:w="4320"/>
          </w:tcPr>
          <w:p>
            <w:r>
              <w:t>Plain-language alternative</w:t>
            </w:r>
          </w:p>
        </w:tc>
      </w:tr>
      <w:tr>
        <w:tc>
          <w:tcPr>
            <w:tcW w:type="dxa" w:w="4320"/>
          </w:tcPr>
          <w:p>
            <w:r>
              <w:t>Reconcile name-to-face</w:t>
            </w:r>
          </w:p>
        </w:tc>
        <w:tc>
          <w:tcPr>
            <w:tcW w:type="dxa" w:w="4320"/>
          </w:tcPr>
          <w:p>
            <w:r>
              <w:t>Match each child's name on the list to the child you see.</w:t>
            </w:r>
          </w:p>
        </w:tc>
      </w:tr>
      <w:tr>
        <w:tc>
          <w:tcPr>
            <w:tcW w:type="dxa" w:w="4320"/>
          </w:tcPr>
          <w:p>
            <w:r>
              <w:t>Eligible coverage</w:t>
            </w:r>
          </w:p>
        </w:tc>
        <w:tc>
          <w:tcPr>
            <w:tcW w:type="dxa" w:w="4320"/>
          </w:tcPr>
          <w:p>
            <w:r>
              <w:t>A person allowed and qualified to supervise these children.</w:t>
            </w:r>
          </w:p>
        </w:tc>
      </w:tr>
      <w:tr>
        <w:tc>
          <w:tcPr>
            <w:tcW w:type="dxa" w:w="4320"/>
          </w:tcPr>
          <w:p>
            <w:r>
              <w:t>Escalation process</w:t>
            </w:r>
          </w:p>
        </w:tc>
        <w:tc>
          <w:tcPr>
            <w:tcW w:type="dxa" w:w="4320"/>
          </w:tcPr>
          <w:p>
            <w:r>
              <w:t>Who to contact next, and when.</w:t>
            </w:r>
          </w:p>
        </w:tc>
      </w:tr>
      <w:tr>
        <w:tc>
          <w:tcPr>
            <w:tcW w:type="dxa" w:w="4320"/>
          </w:tcPr>
          <w:p>
            <w:r>
              <w:t>Authorized route</w:t>
            </w:r>
          </w:p>
        </w:tc>
        <w:tc>
          <w:tcPr>
            <w:tcW w:type="dxa" w:w="4320"/>
          </w:tcPr>
          <w:p>
            <w:r>
              <w:t>The official number, office, or process for this action.</w:t>
            </w:r>
          </w:p>
        </w:tc>
      </w:tr>
      <w:tr>
        <w:tc>
          <w:tcPr>
            <w:tcW w:type="dxa" w:w="4320"/>
          </w:tcPr>
          <w:p>
            <w:r>
              <w:t>Retain an audit trail</w:t>
            </w:r>
          </w:p>
        </w:tc>
        <w:tc>
          <w:tcPr>
            <w:tcW w:type="dxa" w:w="4320"/>
          </w:tcPr>
          <w:p>
            <w:r>
              <w:t>Keep the original entry and show who changed it, when, and why.</w:t>
            </w:r>
          </w:p>
        </w:tc>
      </w:tr>
      <w:tr>
        <w:tc>
          <w:tcPr>
            <w:tcW w:type="dxa" w:w="4320"/>
          </w:tcPr>
          <w:p>
            <w:r>
              <w:t>Applicable requirements</w:t>
            </w:r>
          </w:p>
        </w:tc>
        <w:tc>
          <w:tcPr>
            <w:tcW w:type="dxa" w:w="4320"/>
          </w:tcPr>
          <w:p>
            <w:r>
              <w:t>The rules for this program and license category.</w:t>
            </w:r>
          </w:p>
        </w:tc>
      </w:tr>
      <w:tr>
        <w:tc>
          <w:tcPr>
            <w:tcW w:type="dxa" w:w="4320"/>
          </w:tcPr>
          <w:p>
            <w:r>
              <w:t>Reasonable modification</w:t>
            </w:r>
          </w:p>
        </w:tc>
        <w:tc>
          <w:tcPr>
            <w:tcW w:type="dxa" w:w="4320"/>
          </w:tcPr>
          <w:p>
            <w:r>
              <w:t>A practical change considered so a child can take part; retain the legal term in a glossary.</w:t>
            </w:r>
          </w:p>
        </w:tc>
      </w:tr>
    </w:tbl>
    <w:p>
      <w:r>
        <w:rPr>
          <w:b w:val="0"/>
        </w:rPr>
        <w:t>Aim initially for roughly grades 6–8 in the teaching prose, then test with actual adult learners. This is an editorial target, not a measured reading-level result. Keep necessary legal terms, but explain them beside a familiar example. Do not describe the learners as “low-level.” Ask learners to explain the next step in their own words; improve the material where they struggle.</w:t>
      </w:r>
    </w:p>
    <w:p>
      <w:pPr>
        <w:pStyle w:val="Heading3"/>
      </w:pPr>
      <w:r>
        <w:t>Bilingual revision</w:t>
      </w:r>
    </w:p>
    <w:p>
      <w:r>
        <w:rPr>
          <w:b w:val="0"/>
        </w:rPr>
        <w:t>A field being present in Chinese does not prove equivalent meaning. Distinguish “must,” “should,” and “may,” preserve the actor and timing, and avoid literal administrative phrases. For example, “eligible coverage / 合格人员覆盖” can become “a qualified adult who can take over supervision / 可以依法接手照看儿童的合格成人.” In these books, “supervision” often reads more naturally as “照看” or “看护” than “监管”; use context rather than a blanket replacement. Use consistent, region-appropriate terms and independent bilingual review. The 12 Chinese sample summaries are provisional explanations, not certified translations of every question and option.</w:t>
      </w:r>
    </w:p>
    <w:p>
      <w:pPr>
        <w:pStyle w:val="Heading3"/>
      </w:pPr>
      <w:r>
        <w:t>Content needed for general staff competency</w:t>
      </w:r>
    </w:p>
    <w:p>
      <w:r>
        <w:rPr>
          <w:b w:val="0"/>
        </w:rPr>
        <w:t>Add age-appropriate play; language and early literacy; early math and scientific exploration; relationships and co-regulation; developmental observation without diagnosis; culturally and linguistically responsive teaching; family partnerships; inclusion and referral pathways; infant/toddler care; and responsive preschool routines. The current four program-and-family situation families cannot cover these competencies on their own. Use current authoritative and professional sources before drafting the new modules.</w:t>
      </w:r>
    </w:p>
    <w:p>
      <w:pPr>
        <w:pStyle w:val="Heading2"/>
      </w:pPr>
      <w:r>
        <w:t>4. Assessment redesign</w:t>
      </w:r>
    </w:p>
    <w:p>
      <w:r>
        <w:rPr>
          <w:b w:val="0"/>
        </w:rPr>
        <w:t>Keep study, practice, and assessment separate. The study version can show lessons and explanations. Practice should allow a response before revealing feedback. A scored assessment needs a separate answer key, enough facts for a defensible answer, and reviewed scoring rules. Showing an answer under a disclosure panel is useful practice, but is not itself a validated exam.</w:t>
      </w:r>
    </w:p>
    <w:p>
      <w:r>
        <w:rPr>
          <w:b w:val="0"/>
        </w:rPr>
        <w:t>Start with a provisional 50-item blueprint: safety and supervision 12; health and daily care 12; protection, behavior and inclusion 10; child development and teaching 10; family communication, records and operations 6. These are proposed authoring allocations, not an official examination specification. Develop the missing teaching modules before claiming the blueprint is covered. Include observation of key skills; a written answer alone cannot demonstrate every practical competency.</w:t>
      </w:r>
    </w:p>
    <w:p>
      <w:r>
        <w:rPr>
          <w:b w:val="0"/>
        </w:rPr>
        <w:t>For open responses, use a draft four-part feedback rubric: (1) identifies the immediate concern; (2) gives a feasible safe action; (3) gives the appropriate communication or reporting step for the facts; (4) explains the reason or evidence. Give one point per demonstrated element for practice feedback. For legal decisions, provide a verified applicable rule and use an item-specific rubric. Do not score a missing source as a learner failure.</w:t>
      </w:r>
    </w:p>
    <w:p>
      <w:r>
        <w:rPr>
          <w:b w:val="0"/>
        </w:rPr>
        <w:t>For the 12 sample questions, give one practice point per correct selection and use the explanation plus demonstration task to assess understanding. The sample answer distribution is balanced, but the items have not been piloted. Incorrect options in this prototype are deliberately clear for introductory learning; later exam items need realistic alternatives that remain unambiguously distinguishable.</w:t>
      </w:r>
    </w:p>
    <w:p>
      <w:r>
        <w:rPr>
          <w:b w:val="0"/>
        </w:rPr>
        <w:t>Potential safety-critical errors include leaving a child without accepted supervision, guessing a medication dose, and delaying an already-required protective report for manager permission. Flag these for immediate feedback and reassessment. Do not invent an official pass mark, claim predictive validity, award training credit, or treat a provisional rubric as a licensing determination. Pilot both languages with intended learners and review difficulty, ambiguity, and practical performance before setting any assessment standard.</w:t>
      </w:r>
    </w:p>
    <w:p>
      <w:pPr>
        <w:pStyle w:val="Heading2"/>
      </w:pPr>
      <w:r>
        <w:t>5. Source research plan and coverage limits</w:t>
      </w:r>
    </w:p>
    <w:p>
      <w:r>
        <w:rPr>
          <w:b w:val="0"/>
        </w:rPr>
        <w:t>The accompanying source catalog contains requested URLs, retrieval outcomes, and intended uses. None of the requested pages was readable in this run. URLs and suggested sections are leads that still require verification of text, date, scope, and authenticity; a title or plausible address is not proof.</w:t>
      </w:r>
    </w:p>
    <w:p>
      <w:r>
        <w:rPr>
          <w:b w:val="0"/>
        </w:rPr>
        <w:t>Priority federal/professional leads: CDC and NIH safe sleep; CDC handwashing, diapering and allergy guidance; CPSC sleep-product safety; DOJ child-care ADA guidance; CCDF 45 CFR 98.41; Head Start 45 CFR 1302.47 and active supervision; NHTSA restraint guidance; EPA disinfectant guidance; CDC developmental milestones; IDEA Part C definitions and referral framework; NAEYC developmentally appropriate practice. The named sections are research targets, not certified-current citations in this review.</w:t>
      </w:r>
    </w:p>
    <w:p>
      <w:r>
        <w:rPr>
          <w:b w:val="0"/>
        </w:rPr>
        <w:t>State leads include all 50 supplied licensing entry points, plus California center/home manuals, Washington WAC 110-300-0291, New York Social Services Law 413, and Texas minimum standards. These examples do not stand in for the other states and do not establish a state's full rule set. The supplied registry does not yet comprehensively cover local authorities, protective reporting, civil rights, food programs, or each subsidy program. Add those sources after identifying the relevant program and jurisdiction.</w:t>
      </w:r>
    </w:p>
    <w:p>
      <w:r>
        <w:rPr>
          <w:b w:val="0"/>
        </w:rPr>
        <w:t>For each legal proposition, collect: state and local jurisdiction; exact license/program category; source issuer; exact URL and section; authoritative text or retained snapshot; effective and repeal dates; retrieval timestamp; affected ages and roles; exceptions; trigger; recipient; deadline; required documentation; and a reviewer decision. Tag advice separately from binding requirements. Do not infer a national rule from one state. Where sources are unavailable, keep the legal statement unresolved rather than inventing an answer.</w:t>
      </w:r>
    </w:p>
    <w:p>
      <w:pPr>
        <w:pStyle w:val="Heading2"/>
      </w:pPr>
      <w:r>
        <w:t>6. Deliverables and how to use them</w:t>
      </w:r>
    </w:p>
    <w:p>
      <w:pPr>
        <w:pStyle w:val="ListBullet"/>
      </w:pPr>
      <w:r>
        <w:rPr>
          <w:b w:val="0"/>
        </w:rPr>
      </w:r>
      <w:r>
        <w:rPr>
          <w:b/>
        </w:rPr>
        <w:t>REVIEW_REPORT.docx / REVIEW_REPORT.html:</w:t>
      </w:r>
      <w:r>
        <w:rPr>
          <w:b w:val="0"/>
        </w:rPr>
        <w:t xml:space="preserve"> this preliminary review, priorities, and proposed design.</w:t>
      </w:r>
    </w:p>
    <w:p>
      <w:pPr>
        <w:pStyle w:val="ListBullet"/>
      </w:pPr>
      <w:r>
        <w:rPr>
          <w:b w:val="0"/>
        </w:rPr>
      </w:r>
      <w:r>
        <w:rPr>
          <w:b/>
        </w:rPr>
        <w:t>FAMILY_REVISION_PLAN.csv:</w:t>
      </w:r>
      <w:r>
        <w:rPr>
          <w:b w:val="0"/>
        </w:rPr>
        <w:t xml:space="preserve"> 100 specific family-level recommendations with source leads and plain-language sample actions. This is the main authoring worklist.</w:t>
      </w:r>
    </w:p>
    <w:p>
      <w:pPr>
        <w:pStyle w:val="ListBullet"/>
      </w:pPr>
      <w:r>
        <w:rPr>
          <w:b w:val="0"/>
        </w:rPr>
      </w:r>
      <w:r>
        <w:rPr>
          <w:b/>
        </w:rPr>
        <w:t>CORE_1000_AUDIT.csv:</w:t>
      </w:r>
      <w:r>
        <w:rPr>
          <w:b w:val="0"/>
        </w:rPr>
        <w:t xml:space="preserve"> every original shared exercise, its original question/answer, family recommendation, variation-specific concern, and proposed next step. These are editorial triage rows, not 1,000 completed legal reviews.</w:t>
      </w:r>
    </w:p>
    <w:p>
      <w:pPr>
        <w:pStyle w:val="ListBullet"/>
      </w:pPr>
      <w:r>
        <w:rPr>
          <w:b w:val="0"/>
        </w:rPr>
      </w:r>
      <w:r>
        <w:rPr>
          <w:b/>
        </w:rPr>
        <w:t>FOUNDATION_100_LESSONS.html:</w:t>
      </w:r>
      <w:r>
        <w:rPr>
          <w:b w:val="0"/>
        </w:rPr>
        <w:t xml:space="preserve"> a condensed prototype organized around the 100 underlying situations, retaining original incidents and linking to the original ID ranges. New action notes are provisional, not state-law-approved model answers.</w:t>
      </w:r>
    </w:p>
    <w:p>
      <w:pPr>
        <w:pStyle w:val="ListBullet"/>
      </w:pPr>
      <w:r>
        <w:rPr>
          <w:b w:val="0"/>
        </w:rPr>
      </w:r>
      <w:r>
        <w:rPr>
          <w:b/>
        </w:rPr>
        <w:t>SAMPLE_LESSONS_12.html / .json:</w:t>
      </w:r>
      <w:r>
        <w:rPr>
          <w:b w:val="0"/>
        </w:rPr>
        <w:t xml:space="preserve"> 12 fuller examples with new questions, answers, explanations, familiar examples, Chinese teaching summaries, and demonstration tasks.</w:t>
      </w:r>
    </w:p>
    <w:p>
      <w:pPr>
        <w:pStyle w:val="ListBullet"/>
      </w:pPr>
      <w:r>
        <w:rPr>
          <w:b w:val="0"/>
        </w:rPr>
      </w:r>
      <w:r>
        <w:rPr>
          <w:b/>
        </w:rPr>
        <w:t>STATE_50_RESEARCH_QUEUE.csv:</w:t>
      </w:r>
      <w:r>
        <w:rPr>
          <w:b w:val="0"/>
        </w:rPr>
        <w:t xml:space="preserve"> all 50 states with uncompleted verification tasks. No approvals have been created.</w:t>
      </w:r>
    </w:p>
    <w:p>
      <w:pPr>
        <w:pStyle w:val="ListBullet"/>
      </w:pPr>
      <w:r>
        <w:rPr>
          <w:b w:val="0"/>
        </w:rPr>
      </w:r>
      <w:r>
        <w:rPr>
          <w:b/>
        </w:rPr>
        <w:t>SOURCE_CATALOG.csv and sources/retrieval_log.json:</w:t>
      </w:r>
      <w:r>
        <w:rPr>
          <w:b w:val="0"/>
        </w:rPr>
        <w:t xml:space="preserve"> source requests and actual access failures. These are not research summaries of unread documents.</w:t>
      </w:r>
    </w:p>
    <w:p>
      <w:pPr>
        <w:pStyle w:val="ListBullet"/>
      </w:pPr>
      <w:r>
        <w:rPr>
          <w:b w:val="0"/>
        </w:rPr>
      </w:r>
      <w:r>
        <w:rPr>
          <w:b/>
        </w:rPr>
        <w:t>structural_audit.json:</w:t>
      </w:r>
      <w:r>
        <w:rPr>
          <w:b w:val="0"/>
        </w:rPr>
        <w:t xml:space="preserve"> independently rerun file consistency checks for all books.</w:t>
      </w:r>
    </w:p>
    <w:p>
      <w:r>
        <w:rPr>
          <w:b w:val="0"/>
        </w:rPr>
        <w:t>The original ZIP and extracted original content are unchanged. No revised file was published, merged into the repository, or promoted to an approved library.</w:t>
      </w:r>
    </w:p>
    <w:p>
      <w:pPr>
        <w:pStyle w:val="Heading2"/>
      </w:pPr>
      <w:r>
        <w:t>7. Next action to complete the requested review</w:t>
      </w:r>
    </w:p>
    <w:p>
      <w:r>
        <w:rPr>
          <w:b w:val="0"/>
        </w:rPr>
        <w:t>Review and save the source-domain additions in environment settings, then publish the environment as required by the configuration tool. This draft contains only research-domain additions; package-manager presets were preserved. Publishing and any runtime propagation have not been verified. Once access is applied, retry the affected source requests, read the primary text, build the proposition-level knowledge base, and complete state/category-specific mappings before final legal corrections or examination use.</w:t>
      </w:r>
    </w:p>
    <w:p>
      <w:r>
        <w:rPr>
          <w:b w:val="0"/>
        </w:rPr>
        <w:t>Until then, the concrete blocker is source access, not a lack of question volume. The useful outcome available now is a complete structural audit, an editorial revision worklist across the full shared bank, and provisional teaching examples. A completed current 50-state regulatory review and a validated staff examination remain outstanding.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PROSISTANT · PRELIMINARY EDITORIAL REVIEW · SOURCES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