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Owner’s Rep 幼儿园筹建项目管理系统</w:t>
      </w:r>
    </w:p>
    <w:p>
      <w:r>
        <w:t>开发交接文档｜讨论稿 V1.1</w:t>
      </w:r>
    </w:p>
    <w:p>
      <w:r>
        <w:t>本文将业务设想整理为开发需求，供产品、开发、Owner’s Rep 和学校运营团队共同确认。系统首先服务内部 Rep 部门，帮助 Jesse、Glenn 等负责人同时管理更多项目；客户入口和第三方合作平台按权限逐步开放。</w:t>
      </w:r>
    </w:p>
    <w:p>
      <w:pPr>
        <w:pStyle w:val="Heading1"/>
      </w:pPr>
      <w:r>
        <w:t>一、系统目标与业务边界</w:t>
      </w:r>
    </w:p>
    <w:p>
      <w:r>
        <w:t>Owner’s Rep 的工作从客户租下或买下幼儿园物业开始，覆盖专业团队招募、概念规划、设计协调、许可申请、施工监督、检查和 CO 获取，并协助客户准备及推进 child care license 申请。</w:t>
      </w:r>
    </w:p>
    <w:p>
      <w:r>
        <w:t>系统要解决三个核心问题：每个项目当前处于什么阶段、缺什么、下一步由谁完成；如何同时控制预算和工期，及时发现影响开园的风险；如何把 Rep 团队的专业判断沉淀成可复用的流程、检查清单和决策依据。</w:t>
      </w:r>
    </w:p>
    <w:p>
      <w:r>
        <w:t>系统不替代建筑师、工程师、审批机关或持牌专业人员作出法定判断。自动生成的方案、要求匹配和修改建议，应明确标记来源、适用条件及人工审核状态。</w:t>
      </w:r>
    </w:p>
    <w:p>
      <w:pPr>
        <w:pStyle w:val="Heading1"/>
      </w:pPr>
      <w:r>
        <w:t>二、必须区分的审批概念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名称</w:t>
            </w:r>
          </w:p>
        </w:tc>
        <w:tc>
          <w:tcPr>
            <w:tcW w:type="dxa" w:w="3408"/>
          </w:tcPr>
          <w:p>
            <w:r>
              <w:t>含义</w:t>
            </w:r>
          </w:p>
        </w:tc>
        <w:tc>
          <w:tcPr>
            <w:tcW w:type="dxa" w:w="3408"/>
          </w:tcPr>
          <w:p>
            <w:r>
              <w:t>系统处理</w:t>
            </w:r>
          </w:p>
        </w:tc>
      </w:tr>
      <w:tr>
        <w:tc>
          <w:tcPr>
            <w:tcW w:type="dxa" w:w="3408"/>
          </w:tcPr>
          <w:p>
            <w:r>
              <w:t>TI / Tenant Improvement</w:t>
            </w:r>
          </w:p>
        </w:tc>
        <w:tc>
          <w:tcPr>
            <w:tcW w:type="dxa" w:w="3408"/>
          </w:tcPr>
          <w:p>
            <w:r>
              <w:t>租户装修或改造工程</w:t>
            </w:r>
          </w:p>
        </w:tc>
        <w:tc>
          <w:tcPr>
            <w:tcW w:type="dxa" w:w="3408"/>
          </w:tcPr>
          <w:p>
            <w:r>
              <w:t>记录是否涉及 TI，并匹配当地流程</w:t>
            </w:r>
          </w:p>
        </w:tc>
      </w:tr>
      <w:tr>
        <w:tc>
          <w:tcPr>
            <w:tcW w:type="dxa" w:w="3408"/>
          </w:tcPr>
          <w:p>
            <w:r>
              <w:t>Change of Use / Occupancy</w:t>
            </w:r>
          </w:p>
        </w:tc>
        <w:tc>
          <w:tcPr>
            <w:tcW w:type="dxa" w:w="3408"/>
          </w:tcPr>
          <w:p>
            <w:r>
              <w:t>用途或占用分类变更</w:t>
            </w:r>
          </w:p>
        </w:tc>
        <w:tc>
          <w:tcPr>
            <w:tcW w:type="dxa" w:w="3408"/>
          </w:tcPr>
          <w:p>
            <w:r>
              <w:t>按物业现状和拟开展业务确认是否需要</w:t>
            </w:r>
          </w:p>
        </w:tc>
      </w:tr>
      <w:tr>
        <w:tc>
          <w:tcPr>
            <w:tcW w:type="dxa" w:w="3408"/>
          </w:tcPr>
          <w:p>
            <w:r>
              <w:t>Building Permit</w:t>
            </w:r>
          </w:p>
        </w:tc>
        <w:tc>
          <w:tcPr>
            <w:tcW w:type="dxa" w:w="3408"/>
          </w:tcPr>
          <w:p>
            <w:r>
              <w:t>建筑施工许可</w:t>
            </w:r>
          </w:p>
        </w:tc>
        <w:tc>
          <w:tcPr>
            <w:tcW w:type="dxa" w:w="3408"/>
          </w:tcPr>
          <w:p>
            <w:r>
              <w:t>管理设计文件、申请、审图、修改和签发</w:t>
            </w:r>
          </w:p>
        </w:tc>
      </w:tr>
      <w:tr>
        <w:tc>
          <w:tcPr>
            <w:tcW w:type="dxa" w:w="3408"/>
          </w:tcPr>
          <w:p>
            <w:r>
              <w:t>CO / Certificate of Occupancy</w:t>
            </w:r>
          </w:p>
        </w:tc>
        <w:tc>
          <w:tcPr>
            <w:tcW w:type="dxa" w:w="3408"/>
          </w:tcPr>
          <w:p>
            <w:r>
              <w:t>使用许可或占用证书</w:t>
            </w:r>
          </w:p>
        </w:tc>
        <w:tc>
          <w:tcPr>
            <w:tcW w:type="dxa" w:w="3408"/>
          </w:tcPr>
          <w:p>
            <w:r>
              <w:t>管理最终检查、文件和签发条件</w:t>
            </w:r>
          </w:p>
        </w:tc>
      </w:tr>
      <w:tr>
        <w:tc>
          <w:tcPr>
            <w:tcW w:type="dxa" w:w="3408"/>
          </w:tcPr>
          <w:p>
            <w:r>
              <w:t>Child Care License</w:t>
            </w:r>
          </w:p>
        </w:tc>
        <w:tc>
          <w:tcPr>
            <w:tcW w:type="dxa" w:w="3408"/>
          </w:tcPr>
          <w:p>
            <w:r>
              <w:t>幼儿园运营执照</w:t>
            </w:r>
          </w:p>
        </w:tc>
        <w:tc>
          <w:tcPr>
            <w:tcW w:type="dxa" w:w="3408"/>
          </w:tcPr>
          <w:p>
            <w:r>
              <w:t>独立管理申请资料、审批、检查及结果</w:t>
            </w:r>
          </w:p>
        </w:tc>
      </w:tr>
    </w:tbl>
    <w:p>
      <w:r>
        <w:t>不同地区可能使用其他文件名称或不同流程。系统必须支持按州、城市、主管机构和项目类型配置，不能固定为全国统一步骤。</w:t>
      </w:r>
    </w:p>
    <w:p>
      <w:r>
        <w:t>原始表述待确认：“EMP 工程师”暂按 MEP（机械、电气、给排水）理解；“按照客户定下来的医院”暂按“按照客户确认的意愿和班级设想”理解。</w:t>
      </w:r>
    </w:p>
    <w:p>
      <w:pPr>
        <w:pStyle w:val="Heading1"/>
      </w:pPr>
      <w:r>
        <w:t>三、Owner’s Rep 的职业能力要求</w:t>
      </w:r>
    </w:p>
    <w:p>
      <w:r>
        <w:t>Rep 应熟悉 TI 和 building permit 的申请、审图、修改、签发及检查流程；了解项目所在州的 child care licensing 要求；具备建筑各专业及施工细节的基本理解；能够清楚地与客户、政府、设计团队和施工团队沟通；能够协调跨专业任务、冲突和依赖关系。</w:t>
      </w:r>
    </w:p>
    <w:p>
      <w:r>
        <w:t>系统应把这些能力转化为专业术语解释、分阶段检查清单、责任分配、问题升级、会议决策和沟通记录，而非假设自动化可以替代 Rep 的经验。按项目需要邀请持牌专业人员确认技术判断。</w:t>
      </w:r>
    </w:p>
    <w:p>
      <w:pPr>
        <w:pStyle w:val="Heading1"/>
      </w:pPr>
      <w:r>
        <w:t>四、用户角色与权限</w:t>
      </w:r>
    </w:p>
    <w:p>
      <w:r>
        <w:t>权限不仅按页面设置，也要控制具体文件、金额、评论及操作。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角色</w:t>
            </w:r>
          </w:p>
        </w:tc>
        <w:tc>
          <w:tcPr>
            <w:tcW w:type="dxa" w:w="5112"/>
          </w:tcPr>
          <w:p>
            <w:r>
              <w:t>主要权限</w:t>
            </w:r>
          </w:p>
        </w:tc>
      </w:tr>
      <w:tr>
        <w:tc>
          <w:tcPr>
            <w:tcW w:type="dxa" w:w="5112"/>
          </w:tcPr>
          <w:p>
            <w:r>
              <w:t>系统管理员</w:t>
            </w:r>
          </w:p>
        </w:tc>
        <w:tc>
          <w:tcPr>
            <w:tcW w:type="dxa" w:w="5112"/>
          </w:tcPr>
          <w:p>
            <w:r>
              <w:t>用户、权限、流程模板及规则版本管理</w:t>
            </w:r>
          </w:p>
        </w:tc>
      </w:tr>
      <w:tr>
        <w:tc>
          <w:tcPr>
            <w:tcW w:type="dxa" w:w="5112"/>
          </w:tcPr>
          <w:p>
            <w:r>
              <w:t>Rep 部门负责人</w:t>
            </w:r>
          </w:p>
        </w:tc>
        <w:tc>
          <w:tcPr>
            <w:tcW w:type="dxa" w:w="5112"/>
          </w:tcPr>
          <w:p>
            <w:r>
              <w:t>全部项目、负责人分配和重要内部决策审批</w:t>
            </w:r>
          </w:p>
        </w:tc>
      </w:tr>
      <w:tr>
        <w:tc>
          <w:tcPr>
            <w:tcW w:type="dxa" w:w="5112"/>
          </w:tcPr>
          <w:p>
            <w:r>
              <w:t>项目 Rep</w:t>
            </w:r>
          </w:p>
        </w:tc>
        <w:tc>
          <w:tcPr>
            <w:tcW w:type="dxa" w:w="5112"/>
          </w:tcPr>
          <w:p>
            <w:r>
              <w:t>所负责项目的资料、任务、进度、预算及沟通</w:t>
            </w:r>
          </w:p>
        </w:tc>
      </w:tr>
      <w:tr>
        <w:tc>
          <w:tcPr>
            <w:tcW w:type="dxa" w:w="5112"/>
          </w:tcPr>
          <w:p>
            <w:r>
              <w:t>学校运营团队／Ruoyun</w:t>
            </w:r>
          </w:p>
        </w:tc>
        <w:tc>
          <w:tcPr>
            <w:tcW w:type="dxa" w:w="5112"/>
          </w:tcPr>
          <w:p>
            <w:r>
              <w:t>容量、年龄段、班级组合及运营可行性审核</w:t>
            </w:r>
          </w:p>
        </w:tc>
      </w:tr>
      <w:tr>
        <w:tc>
          <w:tcPr>
            <w:tcW w:type="dxa" w:w="5112"/>
          </w:tcPr>
          <w:p>
            <w:r>
              <w:t>客户／Owner</w:t>
            </w:r>
          </w:p>
        </w:tc>
        <w:tc>
          <w:tcPr>
            <w:tcW w:type="dxa" w:w="5112"/>
          </w:tcPr>
          <w:p>
            <w:r>
              <w:t>提供资料、确认需求、审核授权事项、签约及查看获准公开信息</w:t>
            </w:r>
          </w:p>
        </w:tc>
      </w:tr>
      <w:tr>
        <w:tc>
          <w:tcPr>
            <w:tcW w:type="dxa" w:w="5112"/>
          </w:tcPr>
          <w:p>
            <w:r>
              <w:t>建筑师及工程师</w:t>
            </w:r>
          </w:p>
        </w:tc>
        <w:tc>
          <w:tcPr>
            <w:tcW w:type="dxa" w:w="5112"/>
          </w:tcPr>
          <w:p>
            <w:r>
              <w:t>查看获授权信息，提交报价、图纸及审图回复</w:t>
            </w:r>
          </w:p>
        </w:tc>
      </w:tr>
      <w:tr>
        <w:tc>
          <w:tcPr>
            <w:tcW w:type="dxa" w:w="5112"/>
          </w:tcPr>
          <w:p>
            <w:r>
              <w:t>建筑公司及其他供应商</w:t>
            </w:r>
          </w:p>
        </w:tc>
        <w:tc>
          <w:tcPr>
            <w:tcW w:type="dxa" w:w="5112"/>
          </w:tcPr>
          <w:p>
            <w:r>
              <w:t>查看获授权招标信息，提交报价及进度资料</w:t>
            </w:r>
          </w:p>
        </w:tc>
      </w:tr>
    </w:tbl>
    <w:p>
      <w:r>
        <w:t>默认客户开放：初期资料收集、资料补充、需求确认和需要客户批准的事项。</w:t>
      </w:r>
    </w:p>
    <w:p>
      <w:r>
        <w:t>默认内部使用：概念方案、供应商比较、内部评分、预算分析及协调记录。</w:t>
      </w:r>
    </w:p>
    <w:p>
      <w:r>
        <w:t>第三方仅开放邀请或授权范围内的资料及交付入口。是否扩大客户进度页面，由团队另行决定。</w:t>
      </w:r>
    </w:p>
    <w:p>
      <w:pPr>
        <w:pStyle w:val="Heading1"/>
      </w:pPr>
      <w:r>
        <w:t>五、项目主流程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阶段</w:t>
            </w:r>
          </w:p>
        </w:tc>
        <w:tc>
          <w:tcPr>
            <w:tcW w:type="dxa" w:w="3408"/>
          </w:tcPr>
          <w:p>
            <w:r>
              <w:t>主要工作</w:t>
            </w:r>
          </w:p>
        </w:tc>
        <w:tc>
          <w:tcPr>
            <w:tcW w:type="dxa" w:w="3408"/>
          </w:tcPr>
          <w:p>
            <w:r>
              <w:t>关键输出／节点</w:t>
            </w:r>
          </w:p>
        </w:tc>
      </w:tr>
      <w:tr>
        <w:tc>
          <w:tcPr>
            <w:tcW w:type="dxa" w:w="3408"/>
          </w:tcPr>
          <w:p>
            <w:r>
              <w:t>1. 项目建立</w:t>
            </w:r>
          </w:p>
        </w:tc>
        <w:tc>
          <w:tcPr>
            <w:tcW w:type="dxa" w:w="3408"/>
          </w:tcPr>
          <w:p>
            <w:r>
              <w:t>录入物业、客户、辖区及指定 Rep</w:t>
            </w:r>
          </w:p>
        </w:tc>
        <w:tc>
          <w:tcPr>
            <w:tcW w:type="dxa" w:w="3408"/>
          </w:tcPr>
          <w:p>
            <w:r>
              <w:t>项目档案</w:t>
            </w:r>
          </w:p>
        </w:tc>
      </w:tr>
      <w:tr>
        <w:tc>
          <w:tcPr>
            <w:tcW w:type="dxa" w:w="3408"/>
          </w:tcPr>
          <w:p>
            <w:r>
              <w:t>2. 初期资料收集</w:t>
            </w:r>
          </w:p>
        </w:tc>
        <w:tc>
          <w:tcPr>
            <w:tcW w:type="dxa" w:w="3408"/>
          </w:tcPr>
          <w:p>
            <w:r>
              <w:t>首次会议、上传已有文件、识别缺项</w:t>
            </w:r>
          </w:p>
        </w:tc>
        <w:tc>
          <w:tcPr>
            <w:tcW w:type="dxa" w:w="3408"/>
          </w:tcPr>
          <w:p>
            <w:r>
              <w:t>目标为租约或买卖完成后一周内完成首次收集</w:t>
            </w:r>
          </w:p>
        </w:tc>
      </w:tr>
      <w:tr>
        <w:tc>
          <w:tcPr>
            <w:tcW w:type="dxa" w:w="3408"/>
          </w:tcPr>
          <w:p>
            <w:r>
              <w:t>3. 需求与概念规划</w:t>
            </w:r>
          </w:p>
        </w:tc>
        <w:tc>
          <w:tcPr>
            <w:tcW w:type="dxa" w:w="3408"/>
          </w:tcPr>
          <w:p>
            <w:r>
              <w:t>客户、Rep、运营团队第二次会议</w:t>
            </w:r>
          </w:p>
        </w:tc>
        <w:tc>
          <w:tcPr>
            <w:tcW w:type="dxa" w:w="3408"/>
          </w:tcPr>
          <w:p>
            <w:r>
              <w:t>经内部审核的概念方案</w:t>
            </w:r>
          </w:p>
        </w:tc>
      </w:tr>
      <w:tr>
        <w:tc>
          <w:tcPr>
            <w:tcW w:type="dxa" w:w="3408"/>
          </w:tcPr>
          <w:p>
            <w:r>
              <w:t>4. 专业团队与合同</w:t>
            </w:r>
          </w:p>
        </w:tc>
        <w:tc>
          <w:tcPr>
            <w:tcW w:type="dxa" w:w="3408"/>
          </w:tcPr>
          <w:p>
            <w:r>
              <w:t>寻找建筑师、工程师、施工方，比较报价及安排签约</w:t>
            </w:r>
          </w:p>
        </w:tc>
        <w:tc>
          <w:tcPr>
            <w:tcW w:type="dxa" w:w="3408"/>
          </w:tcPr>
          <w:p>
            <w:r>
              <w:t>团队、合同和交付计划</w:t>
            </w:r>
          </w:p>
        </w:tc>
      </w:tr>
      <w:tr>
        <w:tc>
          <w:tcPr>
            <w:tcW w:type="dxa" w:w="3408"/>
          </w:tcPr>
          <w:p>
            <w:r>
              <w:t>5. 设计与许可申请</w:t>
            </w:r>
          </w:p>
        </w:tc>
        <w:tc>
          <w:tcPr>
            <w:tcW w:type="dxa" w:w="3408"/>
          </w:tcPr>
          <w:p>
            <w:r>
              <w:t>协调图纸、核对要求、提交前审核</w:t>
            </w:r>
          </w:p>
        </w:tc>
        <w:tc>
          <w:tcPr>
            <w:tcW w:type="dxa" w:w="3408"/>
          </w:tcPr>
          <w:p>
            <w:r>
              <w:t>申请包及提交记录</w:t>
            </w:r>
          </w:p>
        </w:tc>
      </w:tr>
      <w:tr>
        <w:tc>
          <w:tcPr>
            <w:tcW w:type="dxa" w:w="3408"/>
          </w:tcPr>
          <w:p>
            <w:r>
              <w:t>6. 审图与修改</w:t>
            </w:r>
          </w:p>
        </w:tc>
        <w:tc>
          <w:tcPr>
            <w:tcW w:type="dxa" w:w="3408"/>
          </w:tcPr>
          <w:p>
            <w:r>
              <w:t>接收意见、分派责任、修订及复审</w:t>
            </w:r>
          </w:p>
        </w:tc>
        <w:tc>
          <w:tcPr>
            <w:tcW w:type="dxa" w:w="3408"/>
          </w:tcPr>
          <w:p>
            <w:r>
              <w:t>审图问题闭环</w:t>
            </w:r>
          </w:p>
        </w:tc>
      </w:tr>
      <w:tr>
        <w:tc>
          <w:tcPr>
            <w:tcW w:type="dxa" w:w="3408"/>
          </w:tcPr>
          <w:p>
            <w:r>
              <w:t>7. 开工准备与施工</w:t>
            </w:r>
          </w:p>
        </w:tc>
        <w:tc>
          <w:tcPr>
            <w:tcW w:type="dxa" w:w="3408"/>
          </w:tcPr>
          <w:p>
            <w:r>
              <w:t>许可临近时确认开工条件，现场监督</w:t>
            </w:r>
          </w:p>
        </w:tc>
        <w:tc>
          <w:tcPr>
            <w:tcW w:type="dxa" w:w="3408"/>
          </w:tcPr>
          <w:p>
            <w:r>
              <w:t>施工计划、现场记录和进度报告</w:t>
            </w:r>
          </w:p>
        </w:tc>
      </w:tr>
      <w:tr>
        <w:tc>
          <w:tcPr>
            <w:tcW w:type="dxa" w:w="3408"/>
          </w:tcPr>
          <w:p>
            <w:r>
              <w:t>8. 检查与 CO</w:t>
            </w:r>
          </w:p>
        </w:tc>
        <w:tc>
          <w:tcPr>
            <w:tcW w:type="dxa" w:w="3408"/>
          </w:tcPr>
          <w:p>
            <w:r>
              <w:t>检查、整改、复检及文件提交</w:t>
            </w:r>
          </w:p>
        </w:tc>
        <w:tc>
          <w:tcPr>
            <w:tcW w:type="dxa" w:w="3408"/>
          </w:tcPr>
          <w:p>
            <w:r>
              <w:t>CO 或当地相应文件</w:t>
            </w:r>
          </w:p>
        </w:tc>
      </w:tr>
      <w:tr>
        <w:tc>
          <w:tcPr>
            <w:tcW w:type="dxa" w:w="3408"/>
          </w:tcPr>
          <w:p>
            <w:r>
              <w:t>9. Licensing 推进</w:t>
            </w:r>
          </w:p>
        </w:tc>
        <w:tc>
          <w:tcPr>
            <w:tcW w:type="dxa" w:w="3408"/>
          </w:tcPr>
          <w:p>
            <w:r>
              <w:t>提前准备，按当地条件提交和补件</w:t>
            </w:r>
          </w:p>
        </w:tc>
        <w:tc>
          <w:tcPr>
            <w:tcW w:type="dxa" w:w="3408"/>
          </w:tcPr>
          <w:p>
            <w:r>
              <w:t>回执、检查记录及执照结果</w:t>
            </w:r>
          </w:p>
        </w:tc>
      </w:tr>
    </w:tbl>
    <w:p>
      <w:r>
        <w:t>以上为默认流程，项目允许并行推进。Licensing 不能固定为“拿到 CO 后才开始”；可提前准备或提交的内容应提前推进，必须等待 CO 的内容按当地规则处理。</w:t>
      </w:r>
    </w:p>
    <w:p>
      <w:pPr>
        <w:pStyle w:val="Heading1"/>
      </w:pPr>
      <w:r>
        <w:t>六、功能需求</w:t>
      </w:r>
    </w:p>
    <w:p>
      <w:pPr>
        <w:pStyle w:val="Heading2"/>
      </w:pPr>
      <w:r>
        <w:t>6.1 项目档案与初期资料收集</w:t>
      </w:r>
    </w:p>
    <w:p>
      <w:r>
        <w:t>入口：“我要申请幼儿园执照”。客户填写基础信息后，系统按所在地、物业和运营类型生成资料清单。</w:t>
      </w:r>
    </w:p>
    <w:p>
      <w:r>
        <w:t>采集信息：客户及企业、联系人；物业地址、州、城市及辖区；租赁或购买状态及签约日期；已知面积、现有用途、平面图及物业资料；拟招年龄段、人数和班级；目标开园时间、预算；已聘专业人员和已有审批记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状态</w:t>
            </w:r>
          </w:p>
        </w:tc>
        <w:tc>
          <w:tcPr>
            <w:tcW w:type="dxa" w:w="5112"/>
          </w:tcPr>
          <w:p>
            <w:r>
              <w:t>含义</w:t>
            </w:r>
          </w:p>
        </w:tc>
      </w:tr>
      <w:tr>
        <w:tc>
          <w:tcPr>
            <w:tcW w:type="dxa" w:w="5112"/>
          </w:tcPr>
          <w:p>
            <w:r>
              <w:t>待提供</w:t>
            </w:r>
          </w:p>
        </w:tc>
        <w:tc>
          <w:tcPr>
            <w:tcW w:type="dxa" w:w="5112"/>
          </w:tcPr>
          <w:p>
            <w:r>
              <w:t>尚未上传</w:t>
            </w:r>
          </w:p>
        </w:tc>
      </w:tr>
      <w:tr>
        <w:tc>
          <w:tcPr>
            <w:tcW w:type="dxa" w:w="5112"/>
          </w:tcPr>
          <w:p>
            <w:r>
              <w:t>已上传，待审核</w:t>
            </w:r>
          </w:p>
        </w:tc>
        <w:tc>
          <w:tcPr>
            <w:tcW w:type="dxa" w:w="5112"/>
          </w:tcPr>
          <w:p>
            <w:r>
              <w:t>文件已收到，尚未确认符合要求</w:t>
            </w:r>
          </w:p>
        </w:tc>
      </w:tr>
      <w:tr>
        <w:tc>
          <w:tcPr>
            <w:tcW w:type="dxa" w:w="5112"/>
          </w:tcPr>
          <w:p>
            <w:r>
              <w:t>需补充／修改</w:t>
            </w:r>
          </w:p>
        </w:tc>
        <w:tc>
          <w:tcPr>
            <w:tcW w:type="dxa" w:w="5112"/>
          </w:tcPr>
          <w:p>
            <w:r>
              <w:t>审核发现缺项</w:t>
            </w:r>
          </w:p>
        </w:tc>
      </w:tr>
      <w:tr>
        <w:tc>
          <w:tcPr>
            <w:tcW w:type="dxa" w:w="5112"/>
          </w:tcPr>
          <w:p>
            <w:r>
              <w:t>已审核通过</w:t>
            </w:r>
          </w:p>
        </w:tc>
        <w:tc>
          <w:tcPr>
            <w:tcW w:type="dxa" w:w="5112"/>
          </w:tcPr>
          <w:p>
            <w:r>
              <w:t>当前版本满足该项要求</w:t>
            </w:r>
          </w:p>
        </w:tc>
      </w:tr>
      <w:tr>
        <w:tc>
          <w:tcPr>
            <w:tcW w:type="dxa" w:w="5112"/>
          </w:tcPr>
          <w:p>
            <w:r>
              <w:t>不适用</w:t>
            </w:r>
          </w:p>
        </w:tc>
        <w:tc>
          <w:tcPr>
            <w:tcW w:type="dxa" w:w="5112"/>
          </w:tcPr>
          <w:p>
            <w:r>
              <w:t>经授权人员确认无需提供</w:t>
            </w:r>
          </w:p>
        </w:tc>
      </w:tr>
    </w:tbl>
    <w:p>
      <w:r>
        <w:t>绿灯只代表“已审核通过”，不能仅因上传成功就显示合规。每项保留要求说明、责任人、截止日期、审核人、意见及版本；替换已审核文件后重新审核。</w:t>
      </w:r>
    </w:p>
    <w:p>
      <w:pPr>
        <w:pStyle w:val="Heading2"/>
      </w:pPr>
      <w:r>
        <w:t>6.2 概念平面规划——内部功能</w:t>
      </w:r>
    </w:p>
    <w:p>
      <w:r>
        <w:t>第二次会议由 Rep、客户和运营团队参与，Ruoyun 参与容量及班级规划讨论。</w:t>
      </w:r>
    </w:p>
    <w:p>
      <w:r>
        <w:t>规划顺序：首先核对州级幼儿园设施及 licensing 要求，再结合城市的用途、建筑、消防、无障碍和其他适用要求共同评估；“优先核对”不代表可以忽略其他适用要求。</w:t>
      </w:r>
    </w:p>
    <w:p>
      <w:r>
        <w:t>输入：期望人数、年龄段、班级及每班人数；物业尺寸、可用空间及限制；室内外面积、卫生间和其他配套；项目所在地适用要求。</w:t>
      </w:r>
    </w:p>
    <w:p>
      <w:r>
        <w:t>输出：简单二维概念分区图；各班级建议空间及预计容量；客户目标与条件的差距；待专业人员或主管机构确认事项；可选方案及取舍。</w:t>
      </w:r>
    </w:p>
    <w:p>
      <w:r>
        <w:t>例如期望四个班但条件不足，系统应展示调整班级组合、减少人数或重新分配空间的方案，并说明原因。</w:t>
      </w:r>
    </w:p>
    <w:p>
      <w:r>
        <w:t>计算规则：按地区、年龄段和设施类型匹配面积规则；区分总面积与可计入的有效活动面积；同时列出消防、疏散、卫生设施、室外空间等限制。不得跨州直接套用数值；资料或规则缺失时标记“待确认”。</w:t>
      </w:r>
    </w:p>
    <w:p>
      <w:r>
        <w:t>概念图必须标注：“内部概念规划，非施工图、非审批图；容量及可行性须经相关专业人员和主管机构确认。”</w:t>
      </w:r>
    </w:p>
    <w:p>
      <w:pPr>
        <w:pStyle w:val="Heading2"/>
      </w:pPr>
      <w:r>
        <w:t>6.3 专业团队招募、报价与合同</w:t>
      </w:r>
    </w:p>
    <w:p>
      <w:r>
        <w:t>支持建筑师、Civil、MEP、Surveyor、按需 Geotechnical，以及建筑公司和其他专业承包商。</w:t>
      </w:r>
    </w:p>
    <w:p>
      <w:r>
        <w:t>合作方可建立账号，提交公司信息、资质、服务地区、相关项目经历、保险及履历。资质材料记录审核状态和有效期。</w:t>
      </w:r>
    </w:p>
    <w:p>
      <w:r>
        <w:t>报价必须同时包含价格和时间：范围与交付物、包含及不包含事项、金额与付款节点、可开始日期与交付时间、修改轮次与额外收费、依赖条件及有效期。</w:t>
      </w:r>
    </w:p>
    <w:p>
      <w:r>
        <w:t>系统并列比较，最终由授权人员审核，并按需由客户确认。发布项目摘要前确定公开范围；默认排除客户身份、敏感图纸及未经授权的详细信息。</w:t>
      </w:r>
    </w:p>
    <w:p>
      <w:pPr>
        <w:pStyle w:val="Heading2"/>
      </w:pPr>
      <w:r>
        <w:t>6.4 许可与 CO 管理——内部功能</w:t>
      </w:r>
    </w:p>
    <w:p>
      <w:r>
        <w:t>建议拆分：前期审批及适用性确认；用途变更／建筑许可申请；审图及修订；施工检查及整改；CO 准备及结果。</w:t>
      </w:r>
    </w:p>
    <w:p>
      <w:r>
        <w:t>每项要求关联主管机构、文件或检查要求、法规／code 来源及版本、适用条件、责任专业人员、文件版本及审核状态、申请或检查节点。</w:t>
      </w:r>
    </w:p>
    <w:p>
      <w:r>
        <w:t>申请包完成后，安排 Rep 与客户的提交前会议，确认范围、已知风险和授权事项，再由有权限的申请人提交。所有图纸上传不等于可以申请 CO。</w:t>
      </w:r>
    </w:p>
    <w:p>
      <w:pPr>
        <w:pStyle w:val="Heading2"/>
      </w:pPr>
      <w:r>
        <w:t>6.5 审批信息同步与审图回复</w:t>
      </w:r>
    </w:p>
    <w:p>
      <w:r>
        <w:t>接入方式：官方接口或获准集成；审批通知邮件接入；人工录入或上传审图意见。不能假定所有城市允许账号直连；逐个平台确认能力，凭据不得明文保存。</w:t>
      </w:r>
    </w:p>
    <w:p>
      <w:r>
        <w:t>每条意见形成任务：原文和来源、申请及轮次、所属专业、责任人及截止时间、优先级、系统建议及依据、专业回复、修订图纸与版本、提交记录及复审结果。</w:t>
      </w:r>
    </w:p>
    <w:p>
      <w:r>
        <w:t>系统可解释意见、起草回复和整理修改清单，但须由负责专业人员或授权人员审核后提交。</w:t>
      </w:r>
    </w:p>
    <w:p>
      <w:pPr>
        <w:pStyle w:val="Heading2"/>
      </w:pPr>
      <w:r>
        <w:t>6.6 预算与工期管理</w:t>
      </w:r>
    </w:p>
    <w:p>
      <w:r>
        <w:t>预算与完成时间同等重要。系统应帮助识别“价格低但可能拖延开园”与“价格高但降低进度风险”等取舍。</w:t>
      </w:r>
    </w:p>
    <w:p>
      <w:r>
        <w:t>预算记录：原始和批准预算、已签合同及承诺费用、已付与待付、变更申请及批准、预计完工总成本、预备金及超预算提醒。</w:t>
      </w:r>
    </w:p>
    <w:p>
      <w:r>
        <w:t>工期记录：目标开园日期；设计、提交、审图、许可、开工、检查、CO 和 licensing 节点；前置条件和负责人；计划、预测及实际日期；延误原因和对开园时间的影响。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评分维度</w:t>
            </w:r>
          </w:p>
        </w:tc>
        <w:tc>
          <w:tcPr>
            <w:tcW w:type="dxa" w:w="5112"/>
          </w:tcPr>
          <w:p>
            <w:r>
              <w:t>评价内容</w:t>
            </w:r>
          </w:p>
        </w:tc>
      </w:tr>
      <w:tr>
        <w:tc>
          <w:tcPr>
            <w:tcW w:type="dxa" w:w="5112"/>
          </w:tcPr>
          <w:p>
            <w:r>
              <w:t>价格</w:t>
            </w:r>
          </w:p>
        </w:tc>
        <w:tc>
          <w:tcPr>
            <w:tcW w:type="dxa" w:w="5112"/>
          </w:tcPr>
          <w:p>
            <w:r>
              <w:t>总价、漏项、附加费用和付款条件</w:t>
            </w:r>
          </w:p>
        </w:tc>
      </w:tr>
      <w:tr>
        <w:tc>
          <w:tcPr>
            <w:tcW w:type="dxa" w:w="5112"/>
          </w:tcPr>
          <w:p>
            <w:r>
              <w:t>工期</w:t>
            </w:r>
          </w:p>
        </w:tc>
        <w:tc>
          <w:tcPr>
            <w:tcW w:type="dxa" w:w="5112"/>
          </w:tcPr>
          <w:p>
            <w:r>
              <w:t>开始时间、周期及进度可信度</w:t>
            </w:r>
          </w:p>
        </w:tc>
      </w:tr>
      <w:tr>
        <w:tc>
          <w:tcPr>
            <w:tcW w:type="dxa" w:w="5112"/>
          </w:tcPr>
          <w:p>
            <w:r>
              <w:t>相关经验</w:t>
            </w:r>
          </w:p>
        </w:tc>
        <w:tc>
          <w:tcPr>
            <w:tcW w:type="dxa" w:w="5112"/>
          </w:tcPr>
          <w:p>
            <w:r>
              <w:t>幼儿园、同辖区及类似改造经验</w:t>
            </w:r>
          </w:p>
        </w:tc>
      </w:tr>
      <w:tr>
        <w:tc>
          <w:tcPr>
            <w:tcW w:type="dxa" w:w="5112"/>
          </w:tcPr>
          <w:p>
            <w:r>
              <w:t>服务范围</w:t>
            </w:r>
          </w:p>
        </w:tc>
        <w:tc>
          <w:tcPr>
            <w:tcW w:type="dxa" w:w="5112"/>
          </w:tcPr>
          <w:p>
            <w:r>
              <w:t>是否覆盖实际需要</w:t>
            </w:r>
          </w:p>
        </w:tc>
      </w:tr>
      <w:tr>
        <w:tc>
          <w:tcPr>
            <w:tcW w:type="dxa" w:w="5112"/>
          </w:tcPr>
          <w:p>
            <w:r>
              <w:t>合作表现</w:t>
            </w:r>
          </w:p>
        </w:tc>
        <w:tc>
          <w:tcPr>
            <w:tcW w:type="dxa" w:w="5112"/>
          </w:tcPr>
          <w:p>
            <w:r>
              <w:t>沟通、响应及交付质量</w:t>
            </w:r>
          </w:p>
        </w:tc>
      </w:tr>
      <w:tr>
        <w:tc>
          <w:tcPr>
            <w:tcW w:type="dxa" w:w="5112"/>
          </w:tcPr>
          <w:p>
            <w:r>
              <w:t>资质与风险</w:t>
            </w:r>
          </w:p>
        </w:tc>
        <w:tc>
          <w:tcPr>
            <w:tcW w:type="dxa" w:w="5112"/>
          </w:tcPr>
          <w:p>
            <w:r>
              <w:t>资质、保险及履约条件</w:t>
            </w:r>
          </w:p>
        </w:tc>
      </w:tr>
    </w:tbl>
    <w:p>
      <w:r>
        <w:t>团队设定权重并保留版本；展示评分依据及样本数量，不得将内部评分包装成政府认可或客观资质等级。</w:t>
      </w:r>
    </w:p>
    <w:p>
      <w:r>
        <w:t>下游供应链报价：除设计和施工团队外，可按项目需要邀请材料、设备、家具及其他合同供应商对经授权的项目摘要报价。比较必须统一规格、数量、税费、运输、安装、交付时间、保修和报价有效期，避免只比较单价。记录供应商关系及可能的利益冲突；不得向第三方披露其他供应商的保密报价。目标是帮助客户获得更合适的综合价格及交付条件，不承诺最低价。</w:t>
      </w:r>
    </w:p>
    <w:p>
      <w:pPr>
        <w:pStyle w:val="Heading2"/>
      </w:pPr>
      <w:r>
        <w:t>6.7 施工监督与检查</w:t>
      </w:r>
    </w:p>
    <w:p>
      <w:r>
        <w:t>移动端现场记录包括日期、人员、阶段、已完成和下阶段工作、照片及位置、偏差和问题、责任方及期限、关闭证据、需要客户决定的事项。</w:t>
      </w:r>
    </w:p>
    <w:p>
      <w:r>
        <w:t>生成客户周报：本周进展、预算变化、风险、待决定事项、下一周计划。</w:t>
      </w:r>
    </w:p>
    <w:p>
      <w:r>
        <w:t>检查管理支持预约、前置条件、结果、整改、复检及留档。内部巡检与政府正式检查必须区分。</w:t>
      </w:r>
    </w:p>
    <w:p>
      <w:pPr>
        <w:pStyle w:val="Heading2"/>
      </w:pPr>
      <w:r>
        <w:t>6.8 Licensing 申请准备与审批</w:t>
      </w:r>
    </w:p>
    <w:p>
      <w:r>
        <w:t>复用第一步已审核且仍有效的资料，避免重复上传。按地区生成清单，区分可提前准备、可提前提交及必须等待 CO 的项目。</w:t>
      </w:r>
    </w:p>
    <w:p>
      <w:r>
        <w:t>跟踪适用文件、培训及其他要求，记录提交、回执、补件、检查、执照结果及获批条件。</w:t>
      </w:r>
    </w:p>
    <w:p>
      <w:r>
        <w:t>以预计 CO 日期为基准，提前两个月提醒开始或检查准备。日期变化时重算提醒；已开始办理的项目避免重复提醒“尚未开始”。CO 与 child care license 分别显示独立状态。</w:t>
      </w:r>
    </w:p>
    <w:p>
      <w:pPr>
        <w:pStyle w:val="Heading1"/>
      </w:pPr>
      <w:r>
        <w:t>七、法规与要求知识库</w:t>
      </w:r>
    </w:p>
    <w:p>
      <w:r>
        <w:t>每条要求包含州、城市、主管机构；业务类型、年龄段及适用条件；类别与说明；原始链接及条款；发布／生效日期和版本；最近核查时间及核查人；人工审核状态；受影响项目和任务。</w:t>
      </w:r>
    </w:p>
    <w:p>
      <w:r>
        <w:t>更新后提示受影响项目，由 Rep 判断适用性，不直接覆盖历史判断。来源不明或未审核要求显示“待核实”。</w:t>
      </w:r>
    </w:p>
    <w:p>
      <w:pPr>
        <w:pStyle w:val="Heading1"/>
      </w:pPr>
      <w:r>
        <w:t>八、核心数据结构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对象</w:t>
            </w:r>
          </w:p>
        </w:tc>
        <w:tc>
          <w:tcPr>
            <w:tcW w:type="dxa" w:w="5112"/>
          </w:tcPr>
          <w:p>
            <w:r>
              <w:t>用途</w:t>
            </w:r>
          </w:p>
        </w:tc>
      </w:tr>
      <w:tr>
        <w:tc>
          <w:tcPr>
            <w:tcW w:type="dxa" w:w="5112"/>
          </w:tcPr>
          <w:p>
            <w:r>
              <w:t>Project / Property</w:t>
            </w:r>
          </w:p>
        </w:tc>
        <w:tc>
          <w:tcPr>
            <w:tcW w:type="dxa" w:w="5112"/>
          </w:tcPr>
          <w:p>
            <w:r>
              <w:t>项目及物业</w:t>
            </w:r>
          </w:p>
        </w:tc>
      </w:tr>
      <w:tr>
        <w:tc>
          <w:tcPr>
            <w:tcW w:type="dxa" w:w="5112"/>
          </w:tcPr>
          <w:p>
            <w:r>
              <w:t>Organization / User / Role</w:t>
            </w:r>
          </w:p>
        </w:tc>
        <w:tc>
          <w:tcPr>
            <w:tcW w:type="dxa" w:w="5112"/>
          </w:tcPr>
          <w:p>
            <w:r>
              <w:t>企业、人员及权限</w:t>
            </w:r>
          </w:p>
        </w:tc>
      </w:tr>
      <w:tr>
        <w:tc>
          <w:tcPr>
            <w:tcW w:type="dxa" w:w="5112"/>
          </w:tcPr>
          <w:p>
            <w:r>
              <w:t>Requirement / Rule Version</w:t>
            </w:r>
          </w:p>
        </w:tc>
        <w:tc>
          <w:tcPr>
            <w:tcW w:type="dxa" w:w="5112"/>
          </w:tcPr>
          <w:p>
            <w:r>
              <w:t>要求、适用条件及版本</w:t>
            </w:r>
          </w:p>
        </w:tc>
      </w:tr>
      <w:tr>
        <w:tc>
          <w:tcPr>
            <w:tcW w:type="dxa" w:w="5112"/>
          </w:tcPr>
          <w:p>
            <w:r>
              <w:t>Document / Document Version</w:t>
            </w:r>
          </w:p>
        </w:tc>
        <w:tc>
          <w:tcPr>
            <w:tcW w:type="dxa" w:w="5112"/>
          </w:tcPr>
          <w:p>
            <w:r>
              <w:t>文件、修订及审核</w:t>
            </w:r>
          </w:p>
        </w:tc>
      </w:tr>
      <w:tr>
        <w:tc>
          <w:tcPr>
            <w:tcW w:type="dxa" w:w="5112"/>
          </w:tcPr>
          <w:p>
            <w:r>
              <w:t>Task / Milestone / Dependency</w:t>
            </w:r>
          </w:p>
        </w:tc>
        <w:tc>
          <w:tcPr>
            <w:tcW w:type="dxa" w:w="5112"/>
          </w:tcPr>
          <w:p>
            <w:r>
              <w:t>任务、节点及前置关系</w:t>
            </w:r>
          </w:p>
        </w:tc>
      </w:tr>
      <w:tr>
        <w:tc>
          <w:tcPr>
            <w:tcW w:type="dxa" w:w="5112"/>
          </w:tcPr>
          <w:p>
            <w:r>
              <w:t>Concept / Classroom Scenario</w:t>
            </w:r>
          </w:p>
        </w:tc>
        <w:tc>
          <w:tcPr>
            <w:tcW w:type="dxa" w:w="5112"/>
          </w:tcPr>
          <w:p>
            <w:r>
              <w:t>概念及班级组合</w:t>
            </w:r>
          </w:p>
        </w:tc>
      </w:tr>
      <w:tr>
        <w:tc>
          <w:tcPr>
            <w:tcW w:type="dxa" w:w="5112"/>
          </w:tcPr>
          <w:p>
            <w:r>
              <w:t>Vendor / Qualification</w:t>
            </w:r>
          </w:p>
        </w:tc>
        <w:tc>
          <w:tcPr>
            <w:tcW w:type="dxa" w:w="5112"/>
          </w:tcPr>
          <w:p>
            <w:r>
              <w:t>合作方及资质</w:t>
            </w:r>
          </w:p>
        </w:tc>
      </w:tr>
      <w:tr>
        <w:tc>
          <w:tcPr>
            <w:tcW w:type="dxa" w:w="5112"/>
          </w:tcPr>
          <w:p>
            <w:r>
              <w:t>Proposal / Evaluation / Contract</w:t>
            </w:r>
          </w:p>
        </w:tc>
        <w:tc>
          <w:tcPr>
            <w:tcW w:type="dxa" w:w="5112"/>
          </w:tcPr>
          <w:p>
            <w:r>
              <w:t>报价、评估及合同</w:t>
            </w:r>
          </w:p>
        </w:tc>
      </w:tr>
      <w:tr>
        <w:tc>
          <w:tcPr>
            <w:tcW w:type="dxa" w:w="5112"/>
          </w:tcPr>
          <w:p>
            <w:r>
              <w:t>Budget / Payment / Change Order</w:t>
            </w:r>
          </w:p>
        </w:tc>
        <w:tc>
          <w:tcPr>
            <w:tcW w:type="dxa" w:w="5112"/>
          </w:tcPr>
          <w:p>
            <w:r>
              <w:t>预算、付款及变更</w:t>
            </w:r>
          </w:p>
        </w:tc>
      </w:tr>
      <w:tr>
        <w:tc>
          <w:tcPr>
            <w:tcW w:type="dxa" w:w="5112"/>
          </w:tcPr>
          <w:p>
            <w:r>
              <w:t>Permit Application / Review Comment</w:t>
            </w:r>
          </w:p>
        </w:tc>
        <w:tc>
          <w:tcPr>
            <w:tcW w:type="dxa" w:w="5112"/>
          </w:tcPr>
          <w:p>
            <w:r>
              <w:t>许可申请及审图问题</w:t>
            </w:r>
          </w:p>
        </w:tc>
      </w:tr>
      <w:tr>
        <w:tc>
          <w:tcPr>
            <w:tcW w:type="dxa" w:w="5112"/>
          </w:tcPr>
          <w:p>
            <w:r>
              <w:t>Site Visit / Inspection / Issue</w:t>
            </w:r>
          </w:p>
        </w:tc>
        <w:tc>
          <w:tcPr>
            <w:tcW w:type="dxa" w:w="5112"/>
          </w:tcPr>
          <w:p>
            <w:r>
              <w:t>现场、检查及整改</w:t>
            </w:r>
          </w:p>
        </w:tc>
      </w:tr>
      <w:tr>
        <w:tc>
          <w:tcPr>
            <w:tcW w:type="dxa" w:w="5112"/>
          </w:tcPr>
          <w:p>
            <w:r>
              <w:t>Licensing Application</w:t>
            </w:r>
          </w:p>
        </w:tc>
        <w:tc>
          <w:tcPr>
            <w:tcW w:type="dxa" w:w="5112"/>
          </w:tcPr>
          <w:p>
            <w:r>
              <w:t>执照申请及结果</w:t>
            </w:r>
          </w:p>
        </w:tc>
      </w:tr>
      <w:tr>
        <w:tc>
          <w:tcPr>
            <w:tcW w:type="dxa" w:w="5112"/>
          </w:tcPr>
          <w:p>
            <w:r>
              <w:t>Decision / Approval / Audit Log</w:t>
            </w:r>
          </w:p>
        </w:tc>
        <w:tc>
          <w:tcPr>
            <w:tcW w:type="dxa" w:w="5112"/>
          </w:tcPr>
          <w:p>
            <w:r>
              <w:t>决策、批准及操作记录</w:t>
            </w:r>
          </w:p>
        </w:tc>
      </w:tr>
    </w:tbl>
    <w:p>
      <w:pPr>
        <w:pStyle w:val="Heading1"/>
      </w:pPr>
      <w:r>
        <w:t>九、首页与提醒</w:t>
      </w:r>
    </w:p>
    <w:p>
      <w:r>
        <w:t>项目总览显示：阶段、Rep、下一节点；目标与预测开园日期；预计 CO 日期和 licensing 准备状态；缺失资料、逾期任务及待客户决定事项；预算与预计超支；最需处理的风险。</w:t>
      </w:r>
    </w:p>
    <w:p>
      <w:r>
        <w:t>提醒必须包含负责人、触发条件、截止日期及处理入口，不能只有“有更新”。</w:t>
      </w:r>
    </w:p>
    <w:p>
      <w:pPr>
        <w:pStyle w:val="Heading1"/>
      </w:pPr>
      <w:r>
        <w:t>十、建议开发顺序</w:t>
      </w:r>
    </w:p>
    <w:p>
      <w:pPr>
        <w:pStyle w:val="Heading2"/>
      </w:pPr>
      <w:r>
        <w:t>第一期：内部项目管理 MVP</w:t>
      </w:r>
    </w:p>
    <w:p>
      <w:r>
        <w:t>项目档案与客户上传入口；可配置清单、审核及版本；任务、节点、分派及提醒；审图意见人工／邮件录入；报价、预算及工期；现场记录、检查及 CO；licensing 准备及提前两个月提醒；权限和日志。</w:t>
      </w:r>
    </w:p>
    <w:p>
      <w:pPr>
        <w:pStyle w:val="Heading2"/>
      </w:pPr>
      <w:r>
        <w:t>第二期：规划与知识辅助</w:t>
      </w:r>
    </w:p>
    <w:p>
      <w:r>
        <w:t>经审核法规知识库；班级容量计算及概念分区；审图辅助分析和回复草稿；跨项目风险及供应商表现分析。</w:t>
      </w:r>
    </w:p>
    <w:p>
      <w:pPr>
        <w:pStyle w:val="Heading2"/>
      </w:pPr>
      <w:r>
        <w:t>第三期：外部平台与集成</w:t>
      </w:r>
    </w:p>
    <w:p>
      <w:r>
        <w:t>第三方注册及邀请报价；可控项目发布；资质审核和评分；获准审批平台集成；按团队决定扩大客户可见范围。</w:t>
      </w:r>
    </w:p>
    <w:p>
      <w:pPr>
        <w:pStyle w:val="Heading1"/>
      </w:pPr>
      <w:r>
        <w:t>十一、关键验收标准</w:t>
      </w:r>
    </w:p>
    <w:p>
      <w:r>
        <w:t>1. 上传文件为待审核，审核通过才显示绿灯。</w:t>
      </w:r>
    </w:p>
    <w:p>
      <w:r>
        <w:t>2. 页面、下载链接及接口均阻止未授权访问内部资料。</w:t>
      </w:r>
    </w:p>
    <w:p>
      <w:r>
        <w:t>3. 每条要求可追溯地区、来源及版本。</w:t>
      </w:r>
    </w:p>
    <w:p>
      <w:r>
        <w:t>4. 容量结果展示依据、假设及未确认条件。</w:t>
      </w:r>
    </w:p>
    <w:p>
      <w:r>
        <w:t>5. 审图意见可追踪负责人、修订、提交及复审。</w:t>
      </w:r>
    </w:p>
    <w:p>
      <w:r>
        <w:t>6. 预算区分签约、付款、变更及预计总成本。</w:t>
      </w:r>
    </w:p>
    <w:p>
      <w:r>
        <w:t>7. 日期变化更新相关任务及提醒。</w:t>
      </w:r>
    </w:p>
    <w:p>
      <w:r>
        <w:t>8. 施工检查、CO 与 licensing 状态独立。</w:t>
      </w:r>
    </w:p>
    <w:p>
      <w:r>
        <w:t>9. 系统建议不能绕过人工审核直接对外提交。</w:t>
      </w:r>
    </w:p>
    <w:p>
      <w:r>
        <w:t>10. 文件修改、批准及重要决策保留记录。</w:t>
      </w:r>
    </w:p>
    <w:p>
      <w:pPr>
        <w:pStyle w:val="Heading1"/>
      </w:pPr>
      <w:r>
        <w:t>十二、开发启动前需要团队确认</w:t>
      </w:r>
    </w:p>
    <w:p>
      <w:r>
        <w:t>首批支持的州和城市；第一版客户可见范围；最终内部审核人；概念规划采用“容量计算＋人工分区”还是自动平面图；评分维度、权重和批准权限；已有清单、合同、预算及周报模板；首批审批平台及获准接入方式；CO 后 Rep 仅协助提交 licensing，还是跟进至执照取得。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Owner’s Rep｜开发交接文档 V1.1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