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Owner’s Rep Child-Care Development Management System</w:t>
      </w:r>
    </w:p>
    <w:tbl>
      <w:tblPr>
        <w:tblStyle w:val="LightShading-Accent1"/>
        <w:tblW w:type="auto" w:w="0"/>
        <w:tblLook w:firstColumn="1" w:firstRow="1" w:lastColumn="0" w:lastRow="0" w:noHBand="0" w:noVBand="1" w:val="04A0"/>
      </w:tblPr>
      <w:tblGrid>
        <w:gridCol w:w="5112"/>
        <w:gridCol w:w="5112"/>
      </w:tblGrid>
      <w:tr>
        <w:tc>
          <w:tcPr>
            <w:tcW w:type="dxa" w:w="5112"/>
          </w:tcPr>
          <w:p>
            <w:r>
              <w:t>Developer Handoff</w:t>
            </w:r>
          </w:p>
        </w:tc>
        <w:tc>
          <w:tcPr>
            <w:tcW w:type="dxa" w:w="5112"/>
          </w:tcPr>
          <w:p>
            <w:r>
              <w:t>Discussion Draft V1.1</w:t>
            </w:r>
          </w:p>
        </w:tc>
      </w:tr>
    </w:tbl>
    <w:p>
      <w:r>
        <w:t>This document translates the business concept into requirements for product, engineering, Owner’s Rep and school operations teams. The system initially supports the internal Rep department, including Jesse and Glenn, in managing multiple projects. Client and third-party access will be introduced selectively.</w:t>
      </w:r>
    </w:p>
    <w:p>
      <w:pPr>
        <w:pStyle w:val="Heading1"/>
      </w:pPr>
      <w:r>
        <w:t>1. Goals and Scope</w:t>
      </w:r>
    </w:p>
    <w:p>
      <w:r>
        <w:t>The Owner’s Rep engagement begins when the owner leases or purchases a property for a child-care center. It includes professional-team procurement, concept planning, design coordination, permitting, construction oversight, inspections and obtaining the Certificate of Occupancy (CO), with assistance preparing and advancing the child-care license application.</w:t>
      </w:r>
    </w:p>
    <w:p>
      <w:r>
        <w:t>The system must make project stage, missing items, next actions and responsibility clear; manage budget and schedule together; identify opening-date risks; and capture the Rep team’s judgment in reusable workflows and decision records.</w:t>
      </w:r>
    </w:p>
    <w:p>
      <w:r>
        <w:t>The system does not replace architects, engineers, authorities or licensed professionals. Generated concepts, requirement matches and recommendations must identify their sources, assumptions and human-review status.</w:t>
      </w:r>
    </w:p>
    <w:p>
      <w:pPr>
        <w:pStyle w:val="Heading1"/>
      </w:pPr>
      <w:r>
        <w:t>2. Distinguish Approval Types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Term</w:t>
            </w:r>
          </w:p>
        </w:tc>
        <w:tc>
          <w:tcPr>
            <w:tcW w:type="dxa" w:w="3408"/>
          </w:tcPr>
          <w:p>
            <w:r>
              <w:t>Meaning</w:t>
            </w:r>
          </w:p>
        </w:tc>
        <w:tc>
          <w:tcPr>
            <w:tcW w:type="dxa" w:w="3408"/>
          </w:tcPr>
          <w:p>
            <w:r>
              <w:t>System treatment</w:t>
            </w:r>
          </w:p>
        </w:tc>
      </w:tr>
      <w:tr>
        <w:tc>
          <w:tcPr>
            <w:tcW w:type="dxa" w:w="3408"/>
          </w:tcPr>
          <w:p>
            <w:r>
              <w:t>Tenant Improvement (TI)</w:t>
            </w:r>
          </w:p>
        </w:tc>
        <w:tc>
          <w:tcPr>
            <w:tcW w:type="dxa" w:w="3408"/>
          </w:tcPr>
          <w:p>
            <w:r>
              <w:t>Tenant fit-out or alteration work</w:t>
            </w:r>
          </w:p>
        </w:tc>
        <w:tc>
          <w:tcPr>
            <w:tcW w:type="dxa" w:w="3408"/>
          </w:tcPr>
          <w:p>
            <w:r>
              <w:t>Identify applicability and local workflow</w:t>
            </w:r>
          </w:p>
        </w:tc>
      </w:tr>
      <w:tr>
        <w:tc>
          <w:tcPr>
            <w:tcW w:type="dxa" w:w="3408"/>
          </w:tcPr>
          <w:p>
            <w:r>
              <w:t>Change of Use / Occupancy</w:t>
            </w:r>
          </w:p>
        </w:tc>
        <w:tc>
          <w:tcPr>
            <w:tcW w:type="dxa" w:w="3408"/>
          </w:tcPr>
          <w:p>
            <w:r>
              <w:t>Change in use or occupancy classification</w:t>
            </w:r>
          </w:p>
        </w:tc>
        <w:tc>
          <w:tcPr>
            <w:tcW w:type="dxa" w:w="3408"/>
          </w:tcPr>
          <w:p>
            <w:r>
              <w:t>Confirm need based on existing and proposed use</w:t>
            </w:r>
          </w:p>
        </w:tc>
      </w:tr>
      <w:tr>
        <w:tc>
          <w:tcPr>
            <w:tcW w:type="dxa" w:w="3408"/>
          </w:tcPr>
          <w:p>
            <w:r>
              <w:t>Building Permit</w:t>
            </w:r>
          </w:p>
        </w:tc>
        <w:tc>
          <w:tcPr>
            <w:tcW w:type="dxa" w:w="3408"/>
          </w:tcPr>
          <w:p>
            <w:r>
              <w:t>Authorization for construction</w:t>
            </w:r>
          </w:p>
        </w:tc>
        <w:tc>
          <w:tcPr>
            <w:tcW w:type="dxa" w:w="3408"/>
          </w:tcPr>
          <w:p>
            <w:r>
              <w:t>Manage design, submission, review, revisions and issuance</w:t>
            </w:r>
          </w:p>
        </w:tc>
      </w:tr>
      <w:tr>
        <w:tc>
          <w:tcPr>
            <w:tcW w:type="dxa" w:w="3408"/>
          </w:tcPr>
          <w:p>
            <w:r>
              <w:t>Certificate of Occupancy (CO)</w:t>
            </w:r>
          </w:p>
        </w:tc>
        <w:tc>
          <w:tcPr>
            <w:tcW w:type="dxa" w:w="3408"/>
          </w:tcPr>
          <w:p>
            <w:r>
              <w:t>Occupancy authorization</w:t>
            </w:r>
          </w:p>
        </w:tc>
        <w:tc>
          <w:tcPr>
            <w:tcW w:type="dxa" w:w="3408"/>
          </w:tcPr>
          <w:p>
            <w:r>
              <w:t>Track final inspections, documents and issuance conditions</w:t>
            </w:r>
          </w:p>
        </w:tc>
      </w:tr>
      <w:tr>
        <w:tc>
          <w:tcPr>
            <w:tcW w:type="dxa" w:w="3408"/>
          </w:tcPr>
          <w:p>
            <w:r>
              <w:t>Child Care License</w:t>
            </w:r>
          </w:p>
        </w:tc>
        <w:tc>
          <w:tcPr>
            <w:tcW w:type="dxa" w:w="3408"/>
          </w:tcPr>
          <w:p>
            <w:r>
              <w:t>Authorization to operate a child-care program</w:t>
            </w:r>
          </w:p>
        </w:tc>
        <w:tc>
          <w:tcPr>
            <w:tcW w:type="dxa" w:w="3408"/>
          </w:tcPr>
          <w:p>
            <w:r>
              <w:t>Separately track application, review, inspections and outcome</w:t>
            </w:r>
          </w:p>
        </w:tc>
      </w:tr>
    </w:tbl>
    <w:p>
      <w:r>
        <w:t>Terminology and procedures vary. Configure by state, city, authority and project type rather than imposing one national sequence.</w:t>
      </w:r>
    </w:p>
    <w:p>
      <w:r>
        <w:t>Interpretations to confirm: “EMP” is understood as MEP (mechanical, electrical and plumbing). An apparent wording error in the original concept is understood as “the owner’s confirmed preferences and classroom plan.”</w:t>
      </w:r>
    </w:p>
    <w:p>
      <w:pPr>
        <w:pStyle w:val="Heading1"/>
      </w:pPr>
      <w:r>
        <w:t>3. Owner’s Rep Professional Competencies</w:t>
      </w:r>
    </w:p>
    <w:p>
      <w:r>
        <w:t>Reps need familiarity with TI/building-permit applications, review, revisions, issuance and inspections; applicable state child-care licensing requirements; construction disciplines and practical details; clear communication with owners, authorities, designers and builders; and coordination of cross-discipline work, conflicts and dependencies.</w:t>
      </w:r>
    </w:p>
    <w:p>
      <w:r>
        <w:t>Translate these needs into terminology guidance, stage checklists, accountability, escalation, decision records and communication history. Automation supports rather than replaces professional judgment. Engage licensed professionals for technical determinations when required.</w:t>
      </w:r>
    </w:p>
    <w:p>
      <w:pPr>
        <w:pStyle w:val="Heading1"/>
      </w:pPr>
      <w:r>
        <w:t>4. Roles and Permissions</w:t>
      </w:r>
    </w:p>
    <w:p>
      <w:r>
        <w:t>Permissions must apply to individual documents, prices, comments and actions, as well as pages.</w:t>
      </w:r>
    </w:p>
    <w:tbl>
      <w:tblPr>
        <w:tblStyle w:val="LightShading-Accent1"/>
        <w:tblW w:type="auto" w:w="0"/>
        <w:tblLook w:firstColumn="1" w:firstRow="1" w:lastColumn="0" w:lastRow="0" w:noHBand="0" w:noVBand="1" w:val="04A0"/>
      </w:tblPr>
      <w:tblGrid>
        <w:gridCol w:w="5112"/>
        <w:gridCol w:w="5112"/>
      </w:tblGrid>
      <w:tr>
        <w:tc>
          <w:tcPr>
            <w:tcW w:type="dxa" w:w="5112"/>
          </w:tcPr>
          <w:p>
            <w:r>
              <w:t>Role</w:t>
            </w:r>
          </w:p>
        </w:tc>
        <w:tc>
          <w:tcPr>
            <w:tcW w:type="dxa" w:w="5112"/>
          </w:tcPr>
          <w:p>
            <w:r>
              <w:t>Main access</w:t>
            </w:r>
          </w:p>
        </w:tc>
      </w:tr>
      <w:tr>
        <w:tc>
          <w:tcPr>
            <w:tcW w:type="dxa" w:w="5112"/>
          </w:tcPr>
          <w:p>
            <w:r>
              <w:t>Administrator</w:t>
            </w:r>
          </w:p>
        </w:tc>
        <w:tc>
          <w:tcPr>
            <w:tcW w:type="dxa" w:w="5112"/>
          </w:tcPr>
          <w:p>
            <w:r>
              <w:t>Users, permissions, workflow templates and rule versions</w:t>
            </w:r>
          </w:p>
        </w:tc>
      </w:tr>
      <w:tr>
        <w:tc>
          <w:tcPr>
            <w:tcW w:type="dxa" w:w="5112"/>
          </w:tcPr>
          <w:p>
            <w:r>
              <w:t>Rep department lead</w:t>
            </w:r>
          </w:p>
        </w:tc>
        <w:tc>
          <w:tcPr>
            <w:tcW w:type="dxa" w:w="5112"/>
          </w:tcPr>
          <w:p>
            <w:r>
              <w:t>All projects, assignments and important internal approvals</w:t>
            </w:r>
          </w:p>
        </w:tc>
      </w:tr>
      <w:tr>
        <w:tc>
          <w:tcPr>
            <w:tcW w:type="dxa" w:w="5112"/>
          </w:tcPr>
          <w:p>
            <w:r>
              <w:t>Project Rep</w:t>
            </w:r>
          </w:p>
        </w:tc>
        <w:tc>
          <w:tcPr>
            <w:tcW w:type="dxa" w:w="5112"/>
          </w:tcPr>
          <w:p>
            <w:r>
              <w:t>Assigned project documents, tasks, schedule, budget and communication</w:t>
            </w:r>
          </w:p>
        </w:tc>
      </w:tr>
      <w:tr>
        <w:tc>
          <w:tcPr>
            <w:tcW w:type="dxa" w:w="5112"/>
          </w:tcPr>
          <w:p>
            <w:r>
              <w:t>School operations / Ruoyun</w:t>
            </w:r>
          </w:p>
        </w:tc>
        <w:tc>
          <w:tcPr>
            <w:tcW w:type="dxa" w:w="5112"/>
          </w:tcPr>
          <w:p>
            <w:r>
              <w:t>Capacity, age groups, classroom mix and operational feasibility review</w:t>
            </w:r>
          </w:p>
        </w:tc>
      </w:tr>
      <w:tr>
        <w:tc>
          <w:tcPr>
            <w:tcW w:type="dxa" w:w="5112"/>
          </w:tcPr>
          <w:p>
            <w:r>
              <w:t>Client / Owner</w:t>
            </w:r>
          </w:p>
        </w:tc>
        <w:tc>
          <w:tcPr>
            <w:tcW w:type="dxa" w:w="5112"/>
          </w:tcPr>
          <w:p>
            <w:r>
              <w:t>Provide documents, confirm requirements, approve authorized decisions, sign contracts and view approved information</w:t>
            </w:r>
          </w:p>
        </w:tc>
      </w:tr>
      <w:tr>
        <w:tc>
          <w:tcPr>
            <w:tcW w:type="dxa" w:w="5112"/>
          </w:tcPr>
          <w:p>
            <w:r>
              <w:t>Architects and engineers</w:t>
            </w:r>
          </w:p>
        </w:tc>
        <w:tc>
          <w:tcPr>
            <w:tcW w:type="dxa" w:w="5112"/>
          </w:tcPr>
          <w:p>
            <w:r>
              <w:t>Authorized project details; proposals, drawings and review responses</w:t>
            </w:r>
          </w:p>
        </w:tc>
      </w:tr>
      <w:tr>
        <w:tc>
          <w:tcPr>
            <w:tcW w:type="dxa" w:w="5112"/>
          </w:tcPr>
          <w:p>
            <w:r>
              <w:t>Contractors and suppliers</w:t>
            </w:r>
          </w:p>
        </w:tc>
        <w:tc>
          <w:tcPr>
            <w:tcW w:type="dxa" w:w="5112"/>
          </w:tcPr>
          <w:p>
            <w:r>
              <w:t>Authorized bid details; proposals and progress submissions</w:t>
            </w:r>
          </w:p>
        </w:tc>
      </w:tr>
    </w:tbl>
    <w:p>
      <w:r>
        <w:t>Client-visible by default: initial intake, document requests, requirement confirmation and owner approvals. Internal by default: concepts, vendor comparisons, internal ratings, budget analysis and coordination notes. Third parties see only invited or authorized information. Additional client progress visibility remains a team decision.</w:t>
      </w:r>
    </w:p>
    <w:p>
      <w:pPr>
        <w:pStyle w:val="Heading1"/>
      </w:pPr>
      <w:r>
        <w:t>5. Project Workflow</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Stage</w:t>
            </w:r>
          </w:p>
        </w:tc>
        <w:tc>
          <w:tcPr>
            <w:tcW w:type="dxa" w:w="3408"/>
          </w:tcPr>
          <w:p>
            <w:r>
              <w:t>Work</w:t>
            </w:r>
          </w:p>
        </w:tc>
        <w:tc>
          <w:tcPr>
            <w:tcW w:type="dxa" w:w="3408"/>
          </w:tcPr>
          <w:p>
            <w:r>
              <w:t>Output / milestone</w:t>
            </w:r>
          </w:p>
        </w:tc>
      </w:tr>
      <w:tr>
        <w:tc>
          <w:tcPr>
            <w:tcW w:type="dxa" w:w="3408"/>
          </w:tcPr>
          <w:p>
            <w:r>
              <w:t>1. Project setup</w:t>
            </w:r>
          </w:p>
        </w:tc>
        <w:tc>
          <w:tcPr>
            <w:tcW w:type="dxa" w:w="3408"/>
          </w:tcPr>
          <w:p>
            <w:r>
              <w:t>Record owner, property, jurisdiction and assigned Rep</w:t>
            </w:r>
          </w:p>
        </w:tc>
        <w:tc>
          <w:tcPr>
            <w:tcW w:type="dxa" w:w="3408"/>
          </w:tcPr>
          <w:p>
            <w:r>
              <w:t>Project record</w:t>
            </w:r>
          </w:p>
        </w:tc>
      </w:tr>
      <w:tr>
        <w:tc>
          <w:tcPr>
            <w:tcW w:type="dxa" w:w="3408"/>
          </w:tcPr>
          <w:p>
            <w:r>
              <w:t>2. Initial intake</w:t>
            </w:r>
          </w:p>
        </w:tc>
        <w:tc>
          <w:tcPr>
            <w:tcW w:type="dxa" w:w="3408"/>
          </w:tcPr>
          <w:p>
            <w:r>
              <w:t>First meeting, existing documents and gap identification</w:t>
            </w:r>
          </w:p>
        </w:tc>
        <w:tc>
          <w:tcPr>
            <w:tcW w:type="dxa" w:w="3408"/>
          </w:tcPr>
          <w:p>
            <w:r>
              <w:t>Target: initial collection within one week of lease/purchase completion</w:t>
            </w:r>
          </w:p>
        </w:tc>
      </w:tr>
      <w:tr>
        <w:tc>
          <w:tcPr>
            <w:tcW w:type="dxa" w:w="3408"/>
          </w:tcPr>
          <w:p>
            <w:r>
              <w:t>3. Requirements and concept</w:t>
            </w:r>
          </w:p>
        </w:tc>
        <w:tc>
          <w:tcPr>
            <w:tcW w:type="dxa" w:w="3408"/>
          </w:tcPr>
          <w:p>
            <w:r>
              <w:t>Second meeting with owner, Rep and operations</w:t>
            </w:r>
          </w:p>
        </w:tc>
        <w:tc>
          <w:tcPr>
            <w:tcW w:type="dxa" w:w="3408"/>
          </w:tcPr>
          <w:p>
            <w:r>
              <w:t>Internally reviewed concept</w:t>
            </w:r>
          </w:p>
        </w:tc>
      </w:tr>
      <w:tr>
        <w:tc>
          <w:tcPr>
            <w:tcW w:type="dxa" w:w="3408"/>
          </w:tcPr>
          <w:p>
            <w:r>
              <w:t>4. Team and contracts</w:t>
            </w:r>
          </w:p>
        </w:tc>
        <w:tc>
          <w:tcPr>
            <w:tcW w:type="dxa" w:w="3408"/>
          </w:tcPr>
          <w:p>
            <w:r>
              <w:t>Select architect, engineers and builder; compare proposals; arrange owner signing</w:t>
            </w:r>
          </w:p>
        </w:tc>
        <w:tc>
          <w:tcPr>
            <w:tcW w:type="dxa" w:w="3408"/>
          </w:tcPr>
          <w:p>
            <w:r>
              <w:t>Team, contracts and delivery plan</w:t>
            </w:r>
          </w:p>
        </w:tc>
      </w:tr>
      <w:tr>
        <w:tc>
          <w:tcPr>
            <w:tcW w:type="dxa" w:w="3408"/>
          </w:tcPr>
          <w:p>
            <w:r>
              <w:t>5. Design and permit submission</w:t>
            </w:r>
          </w:p>
        </w:tc>
        <w:tc>
          <w:tcPr>
            <w:tcW w:type="dxa" w:w="3408"/>
          </w:tcPr>
          <w:p>
            <w:r>
              <w:t>Coordinate drawings, check requirements and review submission</w:t>
            </w:r>
          </w:p>
        </w:tc>
        <w:tc>
          <w:tcPr>
            <w:tcW w:type="dxa" w:w="3408"/>
          </w:tcPr>
          <w:p>
            <w:r>
              <w:t>Application package and submission record</w:t>
            </w:r>
          </w:p>
        </w:tc>
      </w:tr>
      <w:tr>
        <w:tc>
          <w:tcPr>
            <w:tcW w:type="dxa" w:w="3408"/>
          </w:tcPr>
          <w:p>
            <w:r>
              <w:t>6. Review and revisions</w:t>
            </w:r>
          </w:p>
        </w:tc>
        <w:tc>
          <w:tcPr>
            <w:tcW w:type="dxa" w:w="3408"/>
          </w:tcPr>
          <w:p>
            <w:r>
              <w:t>Receive comments, assign work, revise and track re-review</w:t>
            </w:r>
          </w:p>
        </w:tc>
        <w:tc>
          <w:tcPr>
            <w:tcW w:type="dxa" w:w="3408"/>
          </w:tcPr>
          <w:p>
            <w:r>
              <w:t>Closed review issues</w:t>
            </w:r>
          </w:p>
        </w:tc>
      </w:tr>
      <w:tr>
        <w:tc>
          <w:tcPr>
            <w:tcW w:type="dxa" w:w="3408"/>
          </w:tcPr>
          <w:p>
            <w:r>
              <w:t>7. Mobilization and construction</w:t>
            </w:r>
          </w:p>
        </w:tc>
        <w:tc>
          <w:tcPr>
            <w:tcW w:type="dxa" w:w="3408"/>
          </w:tcPr>
          <w:p>
            <w:r>
              <w:t>Confirm start conditions as permit approaches; oversee site progress</w:t>
            </w:r>
          </w:p>
        </w:tc>
        <w:tc>
          <w:tcPr>
            <w:tcW w:type="dxa" w:w="3408"/>
          </w:tcPr>
          <w:p>
            <w:r>
              <w:t>Construction plan, visits and reports</w:t>
            </w:r>
          </w:p>
        </w:tc>
      </w:tr>
      <w:tr>
        <w:tc>
          <w:tcPr>
            <w:tcW w:type="dxa" w:w="3408"/>
          </w:tcPr>
          <w:p>
            <w:r>
              <w:t>8. Inspections and CO</w:t>
            </w:r>
          </w:p>
        </w:tc>
        <w:tc>
          <w:tcPr>
            <w:tcW w:type="dxa" w:w="3408"/>
          </w:tcPr>
          <w:p>
            <w:r>
              <w:t>Inspections, corrections, reinspection and documents</w:t>
            </w:r>
          </w:p>
        </w:tc>
        <w:tc>
          <w:tcPr>
            <w:tcW w:type="dxa" w:w="3408"/>
          </w:tcPr>
          <w:p>
            <w:r>
              <w:t>CO or local equivalent</w:t>
            </w:r>
          </w:p>
        </w:tc>
      </w:tr>
      <w:tr>
        <w:tc>
          <w:tcPr>
            <w:tcW w:type="dxa" w:w="3408"/>
          </w:tcPr>
          <w:p>
            <w:r>
              <w:t>9. Licensing</w:t>
            </w:r>
          </w:p>
        </w:tc>
        <w:tc>
          <w:tcPr>
            <w:tcW w:type="dxa" w:w="3408"/>
          </w:tcPr>
          <w:p>
            <w:r>
              <w:t>Prepare early; submit and supplement when eligible</w:t>
            </w:r>
          </w:p>
        </w:tc>
        <w:tc>
          <w:tcPr>
            <w:tcW w:type="dxa" w:w="3408"/>
          </w:tcPr>
          <w:p>
            <w:r>
              <w:t>Receipt, inspection records and license outcome</w:t>
            </w:r>
          </w:p>
        </w:tc>
      </w:tr>
    </w:tbl>
    <w:p>
      <w:r>
        <w:t>Activities may run in parallel. Licensing must not be hard-coded to begin only after CO. Prepare or submit eligible components early; determine which items require CO from local requirements.</w:t>
      </w:r>
    </w:p>
    <w:p>
      <w:pPr>
        <w:pStyle w:val="Heading1"/>
      </w:pPr>
      <w:r>
        <w:t>6. Functional Requirements</w:t>
      </w:r>
    </w:p>
    <w:p>
      <w:pPr>
        <w:pStyle w:val="Heading2"/>
      </w:pPr>
      <w:r>
        <w:t>6.1 Project Record and Intake</w:t>
      </w:r>
    </w:p>
    <w:p>
      <w:r>
        <w:t>Entry point: “I want to apply for a child-care license.” Generate a checklist based on jurisdiction, property and program type.</w:t>
      </w:r>
    </w:p>
    <w:p>
      <w:r>
        <w:t>Collect owner/company and contact details; address, state, city and authority; lease/purchase status and date; known area, existing use, plans and property records; proposed ages, enrollment and classroom mix; opening target and budget; retained professionals and prior approvals.</w:t>
      </w:r>
    </w:p>
    <w:tbl>
      <w:tblPr>
        <w:tblStyle w:val="LightShading-Accent1"/>
        <w:tblW w:type="auto" w:w="0"/>
        <w:tblLook w:firstColumn="1" w:firstRow="1" w:lastColumn="0" w:lastRow="0" w:noHBand="0" w:noVBand="1" w:val="04A0"/>
      </w:tblPr>
      <w:tblGrid>
        <w:gridCol w:w="5112"/>
        <w:gridCol w:w="5112"/>
      </w:tblGrid>
      <w:tr>
        <w:tc>
          <w:tcPr>
            <w:tcW w:type="dxa" w:w="5112"/>
          </w:tcPr>
          <w:p>
            <w:r>
              <w:t>Status</w:t>
            </w:r>
          </w:p>
        </w:tc>
        <w:tc>
          <w:tcPr>
            <w:tcW w:type="dxa" w:w="5112"/>
          </w:tcPr>
          <w:p>
            <w:r>
              <w:t>Meaning</w:t>
            </w:r>
          </w:p>
        </w:tc>
      </w:tr>
      <w:tr>
        <w:tc>
          <w:tcPr>
            <w:tcW w:type="dxa" w:w="5112"/>
          </w:tcPr>
          <w:p>
            <w:r>
              <w:t>Not provided</w:t>
            </w:r>
          </w:p>
        </w:tc>
        <w:tc>
          <w:tcPr>
            <w:tcW w:type="dxa" w:w="5112"/>
          </w:tcPr>
          <w:p>
            <w:r>
              <w:t>No document received</w:t>
            </w:r>
          </w:p>
        </w:tc>
      </w:tr>
      <w:tr>
        <w:tc>
          <w:tcPr>
            <w:tcW w:type="dxa" w:w="5112"/>
          </w:tcPr>
          <w:p>
            <w:r>
              <w:t>Uploaded—pending review</w:t>
            </w:r>
          </w:p>
        </w:tc>
        <w:tc>
          <w:tcPr>
            <w:tcW w:type="dxa" w:w="5112"/>
          </w:tcPr>
          <w:p>
            <w:r>
              <w:t>Received but not verified</w:t>
            </w:r>
          </w:p>
        </w:tc>
      </w:tr>
      <w:tr>
        <w:tc>
          <w:tcPr>
            <w:tcW w:type="dxa" w:w="5112"/>
          </w:tcPr>
          <w:p>
            <w:r>
              <w:t>Revision / additional information needed</w:t>
            </w:r>
          </w:p>
        </w:tc>
        <w:tc>
          <w:tcPr>
            <w:tcW w:type="dxa" w:w="5112"/>
          </w:tcPr>
          <w:p>
            <w:r>
              <w:t>Reviewed with deficiencies</w:t>
            </w:r>
          </w:p>
        </w:tc>
      </w:tr>
      <w:tr>
        <w:tc>
          <w:tcPr>
            <w:tcW w:type="dxa" w:w="5112"/>
          </w:tcPr>
          <w:p>
            <w:r>
              <w:t>Reviewed and accepted</w:t>
            </w:r>
          </w:p>
        </w:tc>
        <w:tc>
          <w:tcPr>
            <w:tcW w:type="dxa" w:w="5112"/>
          </w:tcPr>
          <w:p>
            <w:r>
              <w:t>Current version meets this requirement</w:t>
            </w:r>
          </w:p>
        </w:tc>
      </w:tr>
      <w:tr>
        <w:tc>
          <w:tcPr>
            <w:tcW w:type="dxa" w:w="5112"/>
          </w:tcPr>
          <w:p>
            <w:r>
              <w:t>Not applicable</w:t>
            </w:r>
          </w:p>
        </w:tc>
        <w:tc>
          <w:tcPr>
            <w:tcW w:type="dxa" w:w="5112"/>
          </w:tcPr>
          <w:p>
            <w:r>
              <w:t>Authorized reviewer confirms exemption</w:t>
            </w:r>
          </w:p>
        </w:tc>
      </w:tr>
    </w:tbl>
    <w:p>
      <w:r>
        <w:t>Green means reviewed and accepted, not merely uploaded. Store instructions, assignee, due date, reviewer, comments and version history. Replacement of an approved file triggers re-review.</w:t>
      </w:r>
    </w:p>
    <w:p>
      <w:pPr>
        <w:pStyle w:val="Heading2"/>
      </w:pPr>
      <w:r>
        <w:t>6.2 Internal Concept Planning</w:t>
      </w:r>
    </w:p>
    <w:p>
      <w:r>
        <w:t>The second meeting includes the owner, Rep and operations team; Ruoyun participates in capacity and classroom planning.</w:t>
      </w:r>
    </w:p>
    <w:p>
      <w:r>
        <w:t>Planning priority: check state child-care facility and licensing requirements first, then evaluate them together with applicable local land-use, building, fire, accessibility and other requirements. This priority does not override other applicable requirements.</w:t>
      </w:r>
    </w:p>
    <w:p>
      <w:r>
        <w:t>Inputs: desired enrollment and ages; rooms and class sizes; property dimensions, available space and constraints; indoor/outdoor areas, toilets and other facilities; applicable local requirements.</w:t>
      </w:r>
    </w:p>
    <w:p>
      <w:r>
        <w:t>Outputs: simple 2D concept zoning; suggested room areas and estimated capacity; gaps against the owner’s goals; issues requiring professional or authority confirmation; alternatives and tradeoffs.</w:t>
      </w:r>
    </w:p>
    <w:p>
      <w:r>
        <w:t>If four classrooms do not fit, offer alternatives such as a different age/class mix, reduced enrollment or reallocated space, explaining why.</w:t>
      </w:r>
    </w:p>
    <w:p>
      <w:r>
        <w:t>Match area rules by jurisdiction, age and facility type. Distinguish gross area from countable activity area. Identify fire, egress, sanitation, outdoor-space and other capacity constraints. Never apply another state’s numbers automatically. Missing inputs or unverified rules must produce “confirmation required,” not a definitive compliance finding.</w:t>
      </w:r>
    </w:p>
    <w:p>
      <w:r>
        <w:t>Every concept must state: “Internal concept only—not construction or permit drawings. Capacity and feasibility require confirmation by the appropriate professionals and authorities.”</w:t>
      </w:r>
    </w:p>
    <w:p>
      <w:pPr>
        <w:pStyle w:val="Heading2"/>
      </w:pPr>
      <w:r>
        <w:t>6.3 Professional Procurement, Proposals and Contracts</w:t>
      </w:r>
    </w:p>
    <w:p>
      <w:r>
        <w:t>Support architects; civil and MEP engineers; surveyors; geotechnical engineers when needed; builders and specialty trades.</w:t>
      </w:r>
    </w:p>
    <w:p>
      <w:r>
        <w:t>Vendor accounts capture company details, qualifications, service areas, relevant projects, insurance and resumes. Track credential review and expiration.</w:t>
      </w:r>
    </w:p>
    <w:p>
      <w:r>
        <w:t>Proposals must include scope, deliverables, inclusions/exclusions, price and payment milestones, availability and delivery dates, revision allowances, additional charges, dependencies and validity period.</w:t>
      </w:r>
    </w:p>
    <w:p>
      <w:r>
        <w:t>Provide side-by-side comparison. Authorized staff review selections and obtain owner approval where required. Control publication: public summaries exclude client identity, sensitive drawings and unauthorized details by default.</w:t>
      </w:r>
    </w:p>
    <w:p>
      <w:pPr>
        <w:pStyle w:val="Heading2"/>
      </w:pPr>
      <w:r>
        <w:t>6.4 Internal Permitting and CO Workspace</w:t>
      </w:r>
    </w:p>
    <w:p>
      <w:r>
        <w:t>Separate applicability/pre-approvals; change-of-use/building-permit application; review/revisions; construction inspections/corrections; CO preparation/outcome.</w:t>
      </w:r>
    </w:p>
    <w:p>
      <w:r>
        <w:t>Each requirement links to the authority, document or inspection, code source and version, applicability, responsible professional, document revision, review status and application/inspection milestone.</w:t>
      </w:r>
    </w:p>
    <w:p>
      <w:r>
        <w:t>When the package is ready, arrange a Rep/owner pre-submission meeting covering scope, known risks and required authorization. Submission is performed by an authorized applicant. All drawings uploaded does not mean a project is ready for CO.</w:t>
      </w:r>
    </w:p>
    <w:p>
      <w:pPr>
        <w:pStyle w:val="Heading2"/>
      </w:pPr>
      <w:r>
        <w:t>6.5 Approval Updates and Review Responses</w:t>
      </w:r>
    </w:p>
    <w:p>
      <w:r>
        <w:t>Support approved official integrations, notification-email ingestion and manual upload/entry. Do not assume every city permits direct account integration. Confirm each portal’s capabilities and never store credentials in plaintext.</w:t>
      </w:r>
    </w:p>
    <w:p>
      <w:r>
        <w:t>Each comment becomes a task with original text/source, application and review round, discipline, assignee, deadline, priority, suggested action and basis, professional response, revised drawings/version, submission record and re-review result.</w:t>
      </w:r>
    </w:p>
    <w:p>
      <w:r>
        <w:t>The system may explain comments, draft responses and organize changes. Responsible professionals or authorized staff must review before external submission.</w:t>
      </w:r>
    </w:p>
    <w:p>
      <w:pPr>
        <w:pStyle w:val="Heading2"/>
      </w:pPr>
      <w:r>
        <w:t>6.6 Budget and Schedule</w:t>
      </w:r>
    </w:p>
    <w:p>
      <w:r>
        <w:t>Cost and delivery time carry equal importance. Expose tradeoffs such as a lower price with opening-delay risk versus a higher price with stronger schedule reliability.</w:t>
      </w:r>
    </w:p>
    <w:p>
      <w:r>
        <w:t>Budget: original/approved budget; signed contracts and commitments; paid/unpaid amounts; change requests and approvals; forecast completion cost; contingency and overrun alerts.</w:t>
      </w:r>
    </w:p>
    <w:p>
      <w:r>
        <w:t>Schedule: target opening; design, submission, review, permit, start, inspection, CO and licensing milestones; dependencies and owners; baseline, forecast and actual dates; delay causes and opening-date impact.</w:t>
      </w:r>
    </w:p>
    <w:tbl>
      <w:tblPr>
        <w:tblStyle w:val="LightShading-Accent1"/>
        <w:tblW w:type="auto" w:w="0"/>
        <w:tblLook w:firstColumn="1" w:firstRow="1" w:lastColumn="0" w:lastRow="0" w:noHBand="0" w:noVBand="1" w:val="04A0"/>
      </w:tblPr>
      <w:tblGrid>
        <w:gridCol w:w="5112"/>
        <w:gridCol w:w="5112"/>
      </w:tblGrid>
      <w:tr>
        <w:tc>
          <w:tcPr>
            <w:tcW w:type="dxa" w:w="5112"/>
          </w:tcPr>
          <w:p>
            <w:r>
              <w:t>Evaluation dimension</w:t>
            </w:r>
          </w:p>
        </w:tc>
        <w:tc>
          <w:tcPr>
            <w:tcW w:type="dxa" w:w="5112"/>
          </w:tcPr>
          <w:p>
            <w:r>
              <w:t>Factors</w:t>
            </w:r>
          </w:p>
        </w:tc>
      </w:tr>
      <w:tr>
        <w:tc>
          <w:tcPr>
            <w:tcW w:type="dxa" w:w="5112"/>
          </w:tcPr>
          <w:p>
            <w:r>
              <w:t>Price</w:t>
            </w:r>
          </w:p>
        </w:tc>
        <w:tc>
          <w:tcPr>
            <w:tcW w:type="dxa" w:w="5112"/>
          </w:tcPr>
          <w:p>
            <w:r>
              <w:t>Total, omissions, extra charges and payment terms</w:t>
            </w:r>
          </w:p>
        </w:tc>
      </w:tr>
      <w:tr>
        <w:tc>
          <w:tcPr>
            <w:tcW w:type="dxa" w:w="5112"/>
          </w:tcPr>
          <w:p>
            <w:r>
              <w:t>Schedule</w:t>
            </w:r>
          </w:p>
        </w:tc>
        <w:tc>
          <w:tcPr>
            <w:tcW w:type="dxa" w:w="5112"/>
          </w:tcPr>
          <w:p>
            <w:r>
              <w:t>Availability, duration and credibility</w:t>
            </w:r>
          </w:p>
        </w:tc>
      </w:tr>
      <w:tr>
        <w:tc>
          <w:tcPr>
            <w:tcW w:type="dxa" w:w="5112"/>
          </w:tcPr>
          <w:p>
            <w:r>
              <w:t>Relevant experience</w:t>
            </w:r>
          </w:p>
        </w:tc>
        <w:tc>
          <w:tcPr>
            <w:tcW w:type="dxa" w:w="5112"/>
          </w:tcPr>
          <w:p>
            <w:r>
              <w:t>Child-care, local-jurisdiction and comparable work</w:t>
            </w:r>
          </w:p>
        </w:tc>
      </w:tr>
      <w:tr>
        <w:tc>
          <w:tcPr>
            <w:tcW w:type="dxa" w:w="5112"/>
          </w:tcPr>
          <w:p>
            <w:r>
              <w:t>Scope</w:t>
            </w:r>
          </w:p>
        </w:tc>
        <w:tc>
          <w:tcPr>
            <w:tcW w:type="dxa" w:w="5112"/>
          </w:tcPr>
          <w:p>
            <w:r>
              <w:t>Coverage of actual needs</w:t>
            </w:r>
          </w:p>
        </w:tc>
      </w:tr>
      <w:tr>
        <w:tc>
          <w:tcPr>
            <w:tcW w:type="dxa" w:w="5112"/>
          </w:tcPr>
          <w:p>
            <w:r>
              <w:t>Performance</w:t>
            </w:r>
          </w:p>
        </w:tc>
        <w:tc>
          <w:tcPr>
            <w:tcW w:type="dxa" w:w="5112"/>
          </w:tcPr>
          <w:p>
            <w:r>
              <w:t>Communication, responsiveness and delivery quality</w:t>
            </w:r>
          </w:p>
        </w:tc>
      </w:tr>
      <w:tr>
        <w:tc>
          <w:tcPr>
            <w:tcW w:type="dxa" w:w="5112"/>
          </w:tcPr>
          <w:p>
            <w:r>
              <w:t>Qualifications / risk</w:t>
            </w:r>
          </w:p>
        </w:tc>
        <w:tc>
          <w:tcPr>
            <w:tcW w:type="dxa" w:w="5112"/>
          </w:tcPr>
          <w:p>
            <w:r>
              <w:t>Credentials, insurance and contract conditions</w:t>
            </w:r>
          </w:p>
        </w:tc>
      </w:tr>
    </w:tbl>
    <w:p>
      <w:r>
        <w:t>The team sets and versions weights. Show evidence and sample size. Internal ratings are not government recognition or an objective credential grade.</w:t>
      </w:r>
    </w:p>
    <w:p>
      <w:r>
        <w:t>Downstream procurement: invite material, equipment, furnishing and other contract suppliers as appropriate using authorized project summaries. Normalize specifications, quantities, taxes, freight, installation, delivery, warranty and quote validity rather than comparing unit price alone. Record supplier relationships and potential conflicts of interest; do not disclose competitors’ confidential bids. Seek better overall value and delivery terms for owners without guaranteeing the lowest price.</w:t>
      </w:r>
    </w:p>
    <w:p>
      <w:pPr>
        <w:pStyle w:val="Heading2"/>
      </w:pPr>
      <w:r>
        <w:t>6.7 Construction Oversight and Inspections</w:t>
      </w:r>
    </w:p>
    <w:p>
      <w:r>
        <w:t>Mobile site records include date, attendees, stage, completed/next work, photos/location, deviations/issues, responsible party, deadline, closure evidence and owner decisions needed.</w:t>
      </w:r>
    </w:p>
    <w:p>
      <w:r>
        <w:t>Generate owner weekly reports: progress, budget changes, risks, decisions needed and next-week plan.</w:t>
      </w:r>
    </w:p>
    <w:p>
      <w:r>
        <w:t>Track inspection booking, prerequisites, result, correction, reinspection and retained records. Distinguish internal site checks from official government inspections.</w:t>
      </w:r>
    </w:p>
    <w:p>
      <w:pPr>
        <w:pStyle w:val="Heading2"/>
      </w:pPr>
      <w:r>
        <w:t>6.8 Licensing Preparation and Review</w:t>
      </w:r>
    </w:p>
    <w:p>
      <w:r>
        <w:t>Reuse reviewed, still-valid intake documents. Generate jurisdiction-specific checklists distinguishing early preparation, early submission and CO-dependent items.</w:t>
      </w:r>
    </w:p>
    <w:p>
      <w:r>
        <w:t>Track applicable documents, training and other requirements; submission, receipt, requests for information, inspections, outcome and conditions of approval.</w:t>
      </w:r>
    </w:p>
    <w:p>
      <w:r>
        <w:t>Two months before forecast CO, remind the owner to begin or review licensing preparation. Recalculate when forecasts change. Do not repeatedly tell active applications they have not started. Maintain separate CO and license statuses.</w:t>
      </w:r>
    </w:p>
    <w:p>
      <w:pPr>
        <w:pStyle w:val="Heading1"/>
      </w:pPr>
      <w:r>
        <w:t>7. Requirements Knowledge Base</w:t>
      </w:r>
    </w:p>
    <w:p>
      <w:r>
        <w:t>Each requirement stores state/city/authority; program type, age and applicability; category and description; original source/section; publication/effective date and version; last verification date and reviewer; human-review status; affected projects/tasks.</w:t>
      </w:r>
    </w:p>
    <w:p>
      <w:r>
        <w:t>Updates flag potentially affected projects for Rep assessment without overwriting historical decisions. Unclear-source or unreviewed requirements display “verification required.”</w:t>
      </w:r>
    </w:p>
    <w:p>
      <w:pPr>
        <w:pStyle w:val="Heading1"/>
      </w:pPr>
      <w:r>
        <w:t>8. Core Data Model</w:t>
      </w:r>
    </w:p>
    <w:tbl>
      <w:tblPr>
        <w:tblStyle w:val="LightShading-Accent1"/>
        <w:tblW w:type="auto" w:w="0"/>
        <w:tblLook w:firstColumn="1" w:firstRow="1" w:lastColumn="0" w:lastRow="0" w:noHBand="0" w:noVBand="1" w:val="04A0"/>
      </w:tblPr>
      <w:tblGrid>
        <w:gridCol w:w="5112"/>
        <w:gridCol w:w="5112"/>
      </w:tblGrid>
      <w:tr>
        <w:tc>
          <w:tcPr>
            <w:tcW w:type="dxa" w:w="5112"/>
          </w:tcPr>
          <w:p>
            <w:r>
              <w:t>Object</w:t>
            </w:r>
          </w:p>
        </w:tc>
        <w:tc>
          <w:tcPr>
            <w:tcW w:type="dxa" w:w="5112"/>
          </w:tcPr>
          <w:p>
            <w:r>
              <w:t>Purpose</w:t>
            </w:r>
          </w:p>
        </w:tc>
      </w:tr>
      <w:tr>
        <w:tc>
          <w:tcPr>
            <w:tcW w:type="dxa" w:w="5112"/>
          </w:tcPr>
          <w:p>
            <w:r>
              <w:t>Project / Property</w:t>
            </w:r>
          </w:p>
        </w:tc>
        <w:tc>
          <w:tcPr>
            <w:tcW w:type="dxa" w:w="5112"/>
          </w:tcPr>
          <w:p>
            <w:r>
              <w:t>Project and site records</w:t>
            </w:r>
          </w:p>
        </w:tc>
      </w:tr>
      <w:tr>
        <w:tc>
          <w:tcPr>
            <w:tcW w:type="dxa" w:w="5112"/>
          </w:tcPr>
          <w:p>
            <w:r>
              <w:t>Organization / User / Role</w:t>
            </w:r>
          </w:p>
        </w:tc>
        <w:tc>
          <w:tcPr>
            <w:tcW w:type="dxa" w:w="5112"/>
          </w:tcPr>
          <w:p>
            <w:r>
              <w:t>Organizations, users and access</w:t>
            </w:r>
          </w:p>
        </w:tc>
      </w:tr>
      <w:tr>
        <w:tc>
          <w:tcPr>
            <w:tcW w:type="dxa" w:w="5112"/>
          </w:tcPr>
          <w:p>
            <w:r>
              <w:t>Requirement / Rule Version</w:t>
            </w:r>
          </w:p>
        </w:tc>
        <w:tc>
          <w:tcPr>
            <w:tcW w:type="dxa" w:w="5112"/>
          </w:tcPr>
          <w:p>
            <w:r>
              <w:t>Requirements, applicability and history</w:t>
            </w:r>
          </w:p>
        </w:tc>
      </w:tr>
      <w:tr>
        <w:tc>
          <w:tcPr>
            <w:tcW w:type="dxa" w:w="5112"/>
          </w:tcPr>
          <w:p>
            <w:r>
              <w:t>Document / Document Version</w:t>
            </w:r>
          </w:p>
        </w:tc>
        <w:tc>
          <w:tcPr>
            <w:tcW w:type="dxa" w:w="5112"/>
          </w:tcPr>
          <w:p>
            <w:r>
              <w:t>Files, revisions and review</w:t>
            </w:r>
          </w:p>
        </w:tc>
      </w:tr>
      <w:tr>
        <w:tc>
          <w:tcPr>
            <w:tcW w:type="dxa" w:w="5112"/>
          </w:tcPr>
          <w:p>
            <w:r>
              <w:t>Task / Milestone / Dependency</w:t>
            </w:r>
          </w:p>
        </w:tc>
        <w:tc>
          <w:tcPr>
            <w:tcW w:type="dxa" w:w="5112"/>
          </w:tcPr>
          <w:p>
            <w:r>
              <w:t>Work, milestones and prerequisites</w:t>
            </w:r>
          </w:p>
        </w:tc>
      </w:tr>
      <w:tr>
        <w:tc>
          <w:tcPr>
            <w:tcW w:type="dxa" w:w="5112"/>
          </w:tcPr>
          <w:p>
            <w:r>
              <w:t>Concept / Classroom Scenario</w:t>
            </w:r>
          </w:p>
        </w:tc>
        <w:tc>
          <w:tcPr>
            <w:tcW w:type="dxa" w:w="5112"/>
          </w:tcPr>
          <w:p>
            <w:r>
              <w:t>Concepts and classroom mix</w:t>
            </w:r>
          </w:p>
        </w:tc>
      </w:tr>
      <w:tr>
        <w:tc>
          <w:tcPr>
            <w:tcW w:type="dxa" w:w="5112"/>
          </w:tcPr>
          <w:p>
            <w:r>
              <w:t>Vendor / Qualification</w:t>
            </w:r>
          </w:p>
        </w:tc>
        <w:tc>
          <w:tcPr>
            <w:tcW w:type="dxa" w:w="5112"/>
          </w:tcPr>
          <w:p>
            <w:r>
              <w:t>Partners and credentials</w:t>
            </w:r>
          </w:p>
        </w:tc>
      </w:tr>
      <w:tr>
        <w:tc>
          <w:tcPr>
            <w:tcW w:type="dxa" w:w="5112"/>
          </w:tcPr>
          <w:p>
            <w:r>
              <w:t>Proposal / Evaluation / Contract</w:t>
            </w:r>
          </w:p>
        </w:tc>
        <w:tc>
          <w:tcPr>
            <w:tcW w:type="dxa" w:w="5112"/>
          </w:tcPr>
          <w:p>
            <w:r>
              <w:t>Bids, assessments and agreements</w:t>
            </w:r>
          </w:p>
        </w:tc>
      </w:tr>
      <w:tr>
        <w:tc>
          <w:tcPr>
            <w:tcW w:type="dxa" w:w="5112"/>
          </w:tcPr>
          <w:p>
            <w:r>
              <w:t>Budget / Payment / Change Order</w:t>
            </w:r>
          </w:p>
        </w:tc>
        <w:tc>
          <w:tcPr>
            <w:tcW w:type="dxa" w:w="5112"/>
          </w:tcPr>
          <w:p>
            <w:r>
              <w:t>Costs, payments and changes</w:t>
            </w:r>
          </w:p>
        </w:tc>
      </w:tr>
      <w:tr>
        <w:tc>
          <w:tcPr>
            <w:tcW w:type="dxa" w:w="5112"/>
          </w:tcPr>
          <w:p>
            <w:r>
              <w:t>Permit Application / Review Comment</w:t>
            </w:r>
          </w:p>
        </w:tc>
        <w:tc>
          <w:tcPr>
            <w:tcW w:type="dxa" w:w="5112"/>
          </w:tcPr>
          <w:p>
            <w:r>
              <w:t>Applications and review issues</w:t>
            </w:r>
          </w:p>
        </w:tc>
      </w:tr>
      <w:tr>
        <w:tc>
          <w:tcPr>
            <w:tcW w:type="dxa" w:w="5112"/>
          </w:tcPr>
          <w:p>
            <w:r>
              <w:t>Site Visit / Inspection / Issue</w:t>
            </w:r>
          </w:p>
        </w:tc>
        <w:tc>
          <w:tcPr>
            <w:tcW w:type="dxa" w:w="5112"/>
          </w:tcPr>
          <w:p>
            <w:r>
              <w:t>Field records, inspections and corrections</w:t>
            </w:r>
          </w:p>
        </w:tc>
      </w:tr>
      <w:tr>
        <w:tc>
          <w:tcPr>
            <w:tcW w:type="dxa" w:w="5112"/>
          </w:tcPr>
          <w:p>
            <w:r>
              <w:t>Licensing Application</w:t>
            </w:r>
          </w:p>
        </w:tc>
        <w:tc>
          <w:tcPr>
            <w:tcW w:type="dxa" w:w="5112"/>
          </w:tcPr>
          <w:p>
            <w:r>
              <w:t>License process and outcome</w:t>
            </w:r>
          </w:p>
        </w:tc>
      </w:tr>
      <w:tr>
        <w:tc>
          <w:tcPr>
            <w:tcW w:type="dxa" w:w="5112"/>
          </w:tcPr>
          <w:p>
            <w:r>
              <w:t>Decision / Approval / Audit Log</w:t>
            </w:r>
          </w:p>
        </w:tc>
        <w:tc>
          <w:tcPr>
            <w:tcW w:type="dxa" w:w="5112"/>
          </w:tcPr>
          <w:p>
            <w:r>
              <w:t>Decisions, approvals and action history</w:t>
            </w:r>
          </w:p>
        </w:tc>
      </w:tr>
    </w:tbl>
    <w:p>
      <w:pPr>
        <w:pStyle w:val="Heading1"/>
      </w:pPr>
      <w:r>
        <w:t>9. Dashboard and Alerts</w:t>
      </w:r>
    </w:p>
    <w:p>
      <w:r>
        <w:t>Show stage, assigned Rep and next milestone; target/forecast opening; forecast CO and licensing readiness; missing documents, overdue tasks and owner decisions; budget/forecast overrun; highest-priority risks.</w:t>
      </w:r>
    </w:p>
    <w:p>
      <w:r>
        <w:t>Each alert must identify owner, trigger, due date and action link—not simply announce an update.</w:t>
      </w:r>
    </w:p>
    <w:p>
      <w:pPr>
        <w:pStyle w:val="Heading1"/>
      </w:pPr>
      <w:r>
        <w:t>10. Suggested Delivery Phases</w:t>
      </w:r>
    </w:p>
    <w:p>
      <w:pPr>
        <w:pStyle w:val="Heading2"/>
      </w:pPr>
      <w:r>
        <w:t>Phase 1: Internal MVP</w:t>
      </w:r>
    </w:p>
    <w:p>
      <w:r>
        <w:t>Project records and client uploads; configurable checklists, review and versions; assignments, milestones and alerts; manual/email comment intake; proposals, budget and schedule; site records, inspections and CO; licensing preparation/two-month alerts; permissions and audit trail.</w:t>
      </w:r>
    </w:p>
    <w:p>
      <w:pPr>
        <w:pStyle w:val="Heading2"/>
      </w:pPr>
      <w:r>
        <w:t>Phase 2: Planning and Knowledge Assistance</w:t>
      </w:r>
    </w:p>
    <w:p>
      <w:r>
        <w:t>Reviewed regulatory knowledge base; capacity calculations/concept zoning; assisted review analysis and response drafts; cross-project risks and vendor performance.</w:t>
      </w:r>
    </w:p>
    <w:p>
      <w:pPr>
        <w:pStyle w:val="Heading2"/>
      </w:pPr>
      <w:r>
        <w:t>Phase 3: External Platform and Integrations</w:t>
      </w:r>
    </w:p>
    <w:p>
      <w:r>
        <w:t>Vendor registration/invitations; controlled project publication; credential review and ratings; approved government integrations; expanded client visibility as agreed.</w:t>
      </w:r>
    </w:p>
    <w:p>
      <w:pPr>
        <w:pStyle w:val="Heading1"/>
      </w:pPr>
      <w:r>
        <w:t>11. Acceptance Criteria</w:t>
      </w:r>
    </w:p>
    <w:p>
      <w:r>
        <w:t>1. Uploads remain pending until reviewed; only accepted items show green.</w:t>
      </w:r>
    </w:p>
    <w:p>
      <w:r>
        <w:t>2. Pages, download links and APIs prevent unauthorized access to internal data.</w:t>
      </w:r>
    </w:p>
    <w:p>
      <w:r>
        <w:t>3. Requirements trace to jurisdiction, source and version.</w:t>
      </w:r>
    </w:p>
    <w:p>
      <w:r>
        <w:t>4. Capacity outputs disclose basis, assumptions and unresolved conditions.</w:t>
      </w:r>
    </w:p>
    <w:p>
      <w:r>
        <w:t>5. Review comments trace to owners, revisions, submission and re-review.</w:t>
      </w:r>
    </w:p>
    <w:p>
      <w:r>
        <w:t>6. Budgets distinguish commitments, payments, changes and forecast total.</w:t>
      </w:r>
    </w:p>
    <w:p>
      <w:r>
        <w:t>7. Date changes update relevant tasks and alerts.</w:t>
      </w:r>
    </w:p>
    <w:p>
      <w:r>
        <w:t>8. Inspection, CO and licensing statuses remain independent.</w:t>
      </w:r>
    </w:p>
    <w:p>
      <w:r>
        <w:t>9. Generated advice cannot bypass human review for external submission.</w:t>
      </w:r>
    </w:p>
    <w:p>
      <w:r>
        <w:t>10. File changes, approvals and important decisions retain an audit history.</w:t>
      </w:r>
    </w:p>
    <w:p>
      <w:pPr>
        <w:pStyle w:val="Heading1"/>
      </w:pPr>
      <w:r>
        <w:t>12. Team Decisions Before Development</w:t>
      </w:r>
    </w:p>
    <w:p>
      <w:r>
        <w:t>Confirm initial states/cities; client visibility; final internal approvers; capacity calculation plus manual zoning versus automated plans; scoring weights and approval rights; reusable checklists, contracts, budgets and reports; initial portals and approved integration methods; whether post-CO support ends at licensing submission or continues through license issuance.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Owner’s Rep | Developer Handoff V1.1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