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Waldorf-inspired early childhood curriculum</w:t>
      </w:r>
    </w:p>
    <w:p>
      <w:r>
        <w:t>Birth through age six • Teacher guide</w:t>
      </w:r>
    </w:p>
    <w:p>
      <w:r>
        <w:t>An original, secular and inclusive curriculum for a child-care setting. Seven age pathways connect warm care, daily rhythm, purposeful work, oral language, imaginative play, arts and outdoor life. This is an independent adaptation, not an accredited or endorsed Waldorf program.</w:t>
      </w:r>
    </w:p>
    <w:p>
      <w:r>
        <w:t>Start with the child’s care plan and interests. Choose one useful experience, prepare a safe accessible space, observe, and offer it again when it remains meaningful. The weekly rhythm is a familiar invitation, not a completion schedule.</w:t>
      </w:r>
    </w:p>
    <w:p>
      <w:r>
        <w:t>Package: teacher guide; 70 activity plans; weekly rhythm menus; original stories and verses; planning and observation forms; editable Word and data files.</w:t>
      </w:r>
    </w:p>
    <w:p>
      <w:r>
        <w:br w:type="page"/>
      </w:r>
    </w:p>
    <w:p>
      <w:pPr>
        <w:pStyle w:val="Title"/>
      </w:pPr>
      <w:r>
        <w:t>What gives this curriculum its character</w:t>
      </w:r>
    </w:p>
    <w:p>
      <w:r>
        <w:t>The adult does real, worthwhile work: folding, preparing a table, caring for a plant or restoring a play area. Children can watch, imitate, join or continue playing. Make the action clear and unhurried; avoid constantly testing children with questions.</w:t>
      </w:r>
    </w:p>
    <w:p>
      <w:r>
        <w:t>A familiar rhythm helps children anticipate the day. Alternate movement and rest, shared activity and individual choice, outdoor and indoor time. Sometimes called expansion and contraction, this simply means changing the pace with care. It never means forcing a child to become quiet.</w:t>
      </w:r>
    </w:p>
    <w:p>
      <w:r>
        <w:t>Simple materials leave room for imagination. A large cloth can become a river for older children; a box can become a shop. Art is an experience of making rather than copying a teacher’s finished product. Oral stories, songs and repeated verses enrich real relationships.</w:t>
      </w:r>
    </w:p>
    <w:p>
      <w:r>
        <w:t>Traditions vary. This adaptation does not treat spiritual beliefs, tooth changes, fixed seven-year stages or temperament labels as scientific facts or readiness tests.</w:t>
      </w:r>
    </w:p>
    <w:p>
      <w:r>
        <w:br w:type="page"/>
      </w:r>
    </w:p>
    <w:p>
      <w:pPr>
        <w:pStyle w:val="Title"/>
      </w:pPr>
      <w:r>
        <w:t>Seven strands, one connected day</w:t>
      </w:r>
    </w:p>
    <w:p>
      <w:r>
        <w:t>Relationships &amp; daily rhythm: Predictable, responsive care and a secure connection with familiar adults.</w:t>
      </w:r>
    </w:p>
    <w:p>
      <w:r>
        <w:t>Movement &amp; sensory exploration: Voluntary movement, comfortable sensory experience and access to the environment.</w:t>
      </w:r>
    </w:p>
    <w:p>
      <w:r>
        <w:t>Practical life &amp; purposeful work: Imitation and participation in useful everyday care at an accessible level.</w:t>
      </w:r>
    </w:p>
    <w:p>
      <w:r>
        <w:t>Oral language, stories &amp; verses: Rich spoken/signed language, family words, gentle repetition and meaningful communication.</w:t>
      </w:r>
    </w:p>
    <w:p>
      <w:r>
        <w:t>Imagination, play &amp; social connection: Responsive early play, later symbolic play, construction and supported relationships.</w:t>
      </w:r>
    </w:p>
    <w:p>
      <w:r>
        <w:t>Arts, music &amp; handwork: Original expression through color, sound, gesture, material and making.</w:t>
      </w:r>
    </w:p>
    <w:p>
      <w:r>
        <w:t>Nature, seasons &amp; community: Respectful outdoor noticing, local change, care for living things and family/community belonging.</w:t>
      </w:r>
    </w:p>
    <w:p>
      <w:r>
        <w:br w:type="page"/>
      </w:r>
    </w:p>
    <w:p>
      <w:pPr>
        <w:pStyle w:val="Title"/>
      </w:pPr>
      <w:r>
        <w:t>Prepare the environment</w:t>
      </w:r>
    </w:p>
    <w:p>
      <w:r>
        <w:t>Keep familiar materials in reachable, clearly defined places. Offer fewer well-chosen items and enough duplicates to support parallel play. Leave routes clear for mobility devices and comfortable floor access. Include quiet retreat space with adult supervision.</w:t>
      </w:r>
    </w:p>
    <w:p>
      <w:r>
        <w:t>Use dolls, pictures, family words and stories that reflect real families, cultures and disabilities without stereotypes. Purchased wooden objects are not required; safe durable everyday materials can be equally useful.</w:t>
      </w:r>
    </w:p>
    <w:p>
      <w:r>
        <w:t>Inspect every item for age suitability, choking, breakage, splinters, allergy and hygiene risks. Natural does not automatically mean safe. Loose seeds, nuts, long strands and small props must not be available to infants or children who mouth objects. Keep older-child materials separate.</w:t>
      </w:r>
    </w:p>
    <w:p>
      <w:r>
        <w:t>Keep the room media-light when it supports hands-on relationships. Communication devices, hearing and vision supports, and other assistive technology remain available. Work respectfully with families whose media habits differ.</w:t>
      </w:r>
    </w:p>
    <w:p>
      <w:r>
        <w:br w:type="page"/>
      </w:r>
    </w:p>
    <w:p>
      <w:pPr>
        <w:pStyle w:val="Title"/>
      </w:pPr>
      <w:r>
        <w:t>Birth–5 months • Young infants</w:t>
      </w:r>
    </w:p>
    <w:p>
      <w:r>
        <w:t>Care is the curriculum. Respond to feeding, sleep, comfort and connection cues; there is no group lesson schedule.</w:t>
      </w:r>
    </w:p>
    <w:p>
      <w:r>
        <w:t>A short greeting, narrated care, a pause for the infant’s response, and comfortable awake movement.</w:t>
      </w:r>
    </w:p>
    <w:p>
      <w:r>
        <w:t>Looking away, crying, changes in movement or tiredness mean adjust or stop. No imitation, pretend play or finished art is expected.</w:t>
      </w:r>
    </w:p>
    <w:p>
      <w:r>
        <w:t>Start here: W001 A familiar care greeting; W002 Comfortable awake floor movement; W003 Watching a quiet useful action.</w:t>
      </w:r>
    </w:p>
    <w:p>
      <w:r>
        <w:t>Observe access, comfort, initiative, communication and the support actually used. These age bands organize adult planning; they are not developmental deadlines.</w:t>
      </w:r>
    </w:p>
    <w:p>
      <w:r>
        <w:br w:type="page"/>
      </w:r>
    </w:p>
    <w:p>
      <w:pPr>
        <w:pStyle w:val="Title"/>
      </w:pPr>
      <w:r>
        <w:t>6–11 months • Older infants</w:t>
      </w:r>
    </w:p>
    <w:p>
      <w:r>
        <w:t>Secure exploration grows from a familiar adult. Offer reachable safe choices and welcome the child’s return.</w:t>
      </w:r>
    </w:p>
    <w:p>
      <w:r>
        <w:t>Name a real object, pause for a response, let the infant move toward an interest and return.</w:t>
      </w:r>
    </w:p>
    <w:p>
      <w:r>
        <w:t>Do not place the infant in unsupported positions or make reaching a performance. Keep sleep spaces clear.</w:t>
      </w:r>
    </w:p>
    <w:p>
      <w:r>
        <w:t>Start here: W011 Explore and return; W012 Travel toward a chosen interest; W013 Folding nearby, noticing together.</w:t>
      </w:r>
    </w:p>
    <w:p>
      <w:r>
        <w:t>Observe access, comfort, initiative, communication and the support actually used. These age bands organize adult planning; they are not developmental deadlines.</w:t>
      </w:r>
    </w:p>
    <w:p>
      <w:r>
        <w:br w:type="page"/>
      </w:r>
    </w:p>
    <w:p>
      <w:pPr>
        <w:pStyle w:val="Title"/>
      </w:pPr>
      <w:r>
        <w:t>12–23 months • Young toddlers</w:t>
      </w:r>
    </w:p>
    <w:p>
      <w:r>
        <w:t>Simple repeated actions support participation. Offer a small real role alongside an adult.</w:t>
      </w:r>
    </w:p>
    <w:p>
      <w:r>
        <w:t>Carry a light cloth, wipe beside the adult, hear a two-line verse and return the cloth.</w:t>
      </w:r>
    </w:p>
    <w:p>
      <w:r>
        <w:t>Expect repetition and changing interests. A gesture or home-language word is meaningful communication.</w:t>
      </w:r>
    </w:p>
    <w:p>
      <w:r>
        <w:t>Start here: W021 A predictable arrival invitation; W022 Carry a light useful object; W023 Wipe beside a familiar adult.</w:t>
      </w:r>
    </w:p>
    <w:p>
      <w:r>
        <w:t>Observe access, comfort, initiative, communication and the support actually used. These age bands organize adult planning; they are not developmental deadlines.</w:t>
      </w:r>
    </w:p>
    <w:p>
      <w:r>
        <w:br w:type="page"/>
      </w:r>
    </w:p>
    <w:p>
      <w:pPr>
        <w:pStyle w:val="Title"/>
      </w:pPr>
      <w:r>
        <w:t>24–35 months • Older toddlers</w:t>
      </w:r>
    </w:p>
    <w:p>
      <w:r>
        <w:t>Children often enjoy imitation, short stories and nearby pretend play. Keep invitations brief and concrete.</w:t>
      </w:r>
    </w:p>
    <w:p>
      <w:r>
        <w:t>Sweep crumbs with support, hear a tiny tabletop tale and choose a familiar pretend object.</w:t>
      </w:r>
    </w:p>
    <w:p>
      <w:r>
        <w:t>Offer duplicates, describe another child’s boundary, and help without demanding sharing or apologies.</w:t>
      </w:r>
    </w:p>
    <w:p>
      <w:r>
        <w:t>Start here: W031 A small repeated welcome; W032 Walk a gentle imagined path; W033 Brush crumbs into a pan.</w:t>
      </w:r>
    </w:p>
    <w:p>
      <w:r>
        <w:t>Observe access, comfort, initiative, communication and the support actually used. These age bands organize adult planning; they are not developmental deadlines.</w:t>
      </w:r>
    </w:p>
    <w:p>
      <w:r>
        <w:br w:type="page"/>
      </w:r>
    </w:p>
    <w:p>
      <w:pPr>
        <w:pStyle w:val="Title"/>
      </w:pPr>
      <w:r>
        <w:t>3 years · 36–47 months • Preschool</w:t>
      </w:r>
    </w:p>
    <w:p>
      <w:r>
        <w:t>Longer imaginative play can grow beside useful work and a familiar story. Protect substantial uninterrupted play.</w:t>
      </w:r>
    </w:p>
    <w:p>
      <w:r>
        <w:t>Care for a plant, hear a short repeated tale, explore color and return to a cloth landscape.</w:t>
      </w:r>
    </w:p>
    <w:p>
      <w:r>
        <w:t>Support settling and joining through an adult relationship. Do not require a group performance or identical artwork.</w:t>
      </w:r>
    </w:p>
    <w:p>
      <w:r>
        <w:t>Start here: W041 Help the room begin and end; W042 A story-led movement invitation; W043 Wash and fold a small cloth.</w:t>
      </w:r>
    </w:p>
    <w:p>
      <w:r>
        <w:t>Observe access, comfort, initiative, communication and the support actually used. These age bands organize adult planning; they are not developmental deadlines.</w:t>
      </w:r>
    </w:p>
    <w:p>
      <w:r>
        <w:br w:type="page"/>
      </w:r>
    </w:p>
    <w:p>
      <w:pPr>
        <w:pStyle w:val="Title"/>
      </w:pPr>
      <w:r>
        <w:t>4 years · 48–59 months • Pre-K</w:t>
      </w:r>
    </w:p>
    <w:p>
      <w:r>
        <w:t>Children can help plan small real tasks and sustain shared pretend settings with support.</w:t>
      </w:r>
    </w:p>
    <w:p>
      <w:r>
        <w:t>Prepare a bread-day table, make a play message, revisit painting and care for an outdoor place.</w:t>
      </w:r>
    </w:p>
    <w:p>
      <w:r>
        <w:t>Offer meaningful print and number experiences. Respond directly when a child asks how a word or quantity works.</w:t>
      </w:r>
    </w:p>
    <w:p>
      <w:r>
        <w:t>Start here: W051 Choose a useful weekly helper role; W052 Create an inclusive movement verse; W053 Bread-day kneading with adult safeguards.</w:t>
      </w:r>
    </w:p>
    <w:p>
      <w:r>
        <w:t>Observe access, comfort, initiative, communication and the support actually used. These age bands organize adult planning; they are not developmental deadlines.</w:t>
      </w:r>
    </w:p>
    <w:p>
      <w:r>
        <w:br w:type="page"/>
      </w:r>
    </w:p>
    <w:p>
      <w:pPr>
        <w:pStyle w:val="Title"/>
      </w:pPr>
      <w:r>
        <w:t>5- and 6-year-olds · 60–83 months • Kindergarten bridge</w:t>
      </w:r>
    </w:p>
    <w:p>
      <w:r>
        <w:t>Combine imaginative projects and practical responsibility with appropriate explicit teaching and school coordination.</w:t>
      </w:r>
    </w:p>
    <w:p>
      <w:r>
        <w:t>Read a useful play sign, write or dictate a story, measure a real project and revise a shared construction.</w:t>
      </w:r>
    </w:p>
    <w:p>
      <w:r>
        <w:t>Do not delay literacy, math, screening or disability support until age seven or tooth loss. Follow individual learning plans and school expectations.</w:t>
      </w:r>
    </w:p>
    <w:p>
      <w:r>
        <w:t>Start here: W061 Plan a rhythm that includes everyone; W062 A cooperative outdoor journey game; W063 Measure for a real making task.</w:t>
      </w:r>
    </w:p>
    <w:p>
      <w:r>
        <w:t>Observe access, comfort, initiative, communication and the support actually used. These age bands organize adult planning; they are not developmental deadlines.</w:t>
      </w:r>
    </w:p>
    <w:p>
      <w:r>
        <w:br w:type="page"/>
      </w:r>
    </w:p>
    <w:p>
      <w:pPr>
        <w:pStyle w:val="Title"/>
      </w:pPr>
      <w:r>
        <w:t>Daily rhythm: infants</w:t>
      </w:r>
    </w:p>
    <w:p>
      <w:r>
        <w:t>Arrival: exchange care information with the family and connect with the infant. Throughout the day: respond to feeding, changing, sleep and comfort needs; offer brief awake floor exploration, face-to-face communication and suitable outdoor noticing between care moments. Departure: share a concrete observation and needed care information.</w:t>
      </w:r>
    </w:p>
    <w:p>
      <w:r>
        <w:t>A repeated phrase can make care understandable. For example, “Here is your clean cloth. I will help you now.” Pause for the infant’s cue; do not delay needed care to finish a verse.</w:t>
      </w:r>
    </w:p>
    <w:p>
      <w:r>
        <w:t>Sleep: place infants on their backs on an approved firm, flat, clear sleep surface according to current program and health requirements. No loose cloths, toys or silks in the sleep space. Awake, directly supervised tummy time is separate from sleep. Follow individual medical directions through approved procedures.</w:t>
      </w:r>
    </w:p>
    <w:p>
      <w:r>
        <w:br w:type="page"/>
      </w:r>
    </w:p>
    <w:p>
      <w:pPr>
        <w:pStyle w:val="Title"/>
      </w:pPr>
      <w:r>
        <w:t>Daily rhythm: toddlers</w:t>
      </w:r>
    </w:p>
    <w:p>
      <w:r>
        <w:t>Welcome and family handover → free exploration with familiar adults → necessary care and approved food → outdoor movement → short optional song or real-life story → meal and individual rest → play and useful work → departure. Care needs can change the order.</w:t>
      </w:r>
    </w:p>
    <w:p>
      <w:r>
        <w:t>Protect choice: a child may listen while playing nearby. Use concrete transition cues, such as showing the outdoor shoes, rather than repeatedly telling the group to hurry.</w:t>
      </w:r>
    </w:p>
    <w:p>
      <w:r>
        <w:t>Keep practical roles small: carry one cloth or wipe one space. Adults remain responsible for sanitation and safe food handling. Toddlers need co-regulation and adult help with conflicts, not moral lessons disguised as stories.</w:t>
      </w:r>
    </w:p>
    <w:p>
      <w:r>
        <w:br w:type="page"/>
      </w:r>
    </w:p>
    <w:p>
      <w:pPr>
        <w:pStyle w:val="Title"/>
      </w:pPr>
      <w:r>
        <w:t>Daily rhythm: ages three to six</w:t>
      </w:r>
    </w:p>
    <w:p>
      <w:r>
        <w:t>Example full-day sequence: personal welcome and open play; optional purposeful work beside an adult; outdoor play; hygiene and snack; brief optional story, song or movement gathering; another play period; lunch; individual rest or quiet alternatives; afternoon outdoor/art/play opportunities; shared restoration and departure.</w:t>
      </w:r>
    </w:p>
    <w:p>
      <w:r>
        <w:t>Fit the sequence to opening hours, staffing and care requirements. Offer substantial uninterrupted play and predictable transition cues. Extend an absorbed project where practical. Story length and gathering time follow the children’s engagement, not a quota.</w:t>
      </w:r>
    </w:p>
    <w:p>
      <w:r>
        <w:t>Rest arrangements follow local rules and individual needs. Children who do not sleep need a suitable quiet alternative when allowed. Food, water, toileting, comfort and access to support never depend on finishing a task.</w:t>
      </w:r>
    </w:p>
    <w:p>
      <w:r>
        <w:br w:type="page"/>
      </w:r>
    </w:p>
    <w:p>
      <w:pPr>
        <w:pStyle w:val="Title"/>
      </w:pPr>
      <w:r>
        <w:t>Weekly rhythm without a rigid timetable</w:t>
      </w:r>
    </w:p>
    <w:p>
      <w:r>
        <w:t>A possible recurring pattern is: Monday useful care; Tuesday color and mark-making; Wednesday outdoor noticing; Thursday making and preparing; Friday a familiar story or shared project. Repeat preferred experiences rather than constantly adding novelty.</w:t>
      </w:r>
    </w:p>
    <w:p>
      <w:r>
        <w:t>For infants, these are adult preparation reminders only. The infant’s care rhythm takes priority. For toddlers, one small invitation is enough. Older children can return to a project across several days.</w:t>
      </w:r>
    </w:p>
    <w:p>
      <w:r>
        <w:t>The separate weekly menus give five starting points for each pathway. They do not require five daily lessons. Keep free play, care, movement, communication and relationships present throughout the week.</w:t>
      </w:r>
    </w:p>
    <w:p>
      <w:r>
        <w:br w:type="page"/>
      </w:r>
    </w:p>
    <w:p>
      <w:pPr>
        <w:pStyle w:val="Title"/>
      </w:pPr>
      <w:r>
        <w:t>Adult modeling and useful work</w:t>
      </w:r>
    </w:p>
    <w:p>
      <w:r>
        <w:t>Prepare the task so the child sees its purpose. “The table is wet. I am drying this part.” Begin slowly and leave a possible role nearby. A child may join; an observer still belongs.</w:t>
      </w:r>
    </w:p>
    <w:p>
      <w:r>
        <w:t>Use specific feedback: “You held the bowl while I mixed.” Avoid praise that compares children or makes helpfulness a test of being good. Adults handle sanitation, heat, hazardous tools and final safety checks.</w:t>
      </w:r>
    </w:p>
    <w:p>
      <w:r>
        <w:t>When a task goes wrong, name the problem and help repair it. “The water spilled. We can put a cloth here.” Do not make cleaning a punishment or expect children to manage hazards.</w:t>
      </w:r>
    </w:p>
    <w:p>
      <w:r>
        <w:br w:type="page"/>
      </w:r>
    </w:p>
    <w:p>
      <w:pPr>
        <w:pStyle w:val="Title"/>
      </w:pPr>
      <w:r>
        <w:t>Oral language, stories and early literacy</w:t>
      </w:r>
    </w:p>
    <w:p>
      <w:r>
        <w:t>Tell a short original story with clear actions and a reassuring ending. Repeat it on later days if children enjoy it. Use a few safe props, signs or a picture when these support understanding. Invite listening, acting, dictating or drawing without testing recall.</w:t>
      </w:r>
    </w:p>
    <w:p>
      <w:r>
        <w:t>Speak naturally. Explain unfamiliar words in context. Welcome family languages and accurate pronunciation of children’s names. Use interpreters and communication supports when needed.</w:t>
      </w:r>
    </w:p>
    <w:p>
      <w:r>
        <w:t>Keep books and meaningful print available. Follow interest in names, letters, sounds and messages. For five- and six-year-olds, provide appropriate explicit instruction in sound awareness, letter-sound relationships, reading and writing, informed by assessment and school/individual plans. Stories and play complement that instruction.</w:t>
      </w:r>
    </w:p>
    <w:p>
      <w:r>
        <w:br w:type="page"/>
      </w:r>
    </w:p>
    <w:p>
      <w:pPr>
        <w:pStyle w:val="Title"/>
      </w:pPr>
      <w:r>
        <w:t>Number, space and inquiry</w:t>
      </w:r>
    </w:p>
    <w:p>
      <w:r>
        <w:t>Count places for real people; compare lengths for a construction; sort materials by useful features; notice a repeating verse or pattern. Use actual quantities and invite explanations rather than assuming a correct chant means understanding.</w:t>
      </w:r>
    </w:p>
    <w:p>
      <w:r>
        <w:t>For older children, model one-to-one counting, written numerals and simple joining or separating quantities with objects. Teach directly where needed, then use the skill in meaningful play and work.</w:t>
      </w:r>
    </w:p>
    <w:p>
      <w:r>
        <w:t>Observe the child’s strategy: “Counted four plates, one for each place, then added one for the visitor.” Avoid a universal mastery calendar. Seek additional support promptly when concerns persist.</w:t>
      </w:r>
    </w:p>
    <w:p>
      <w:r>
        <w:br w:type="page"/>
      </w:r>
    </w:p>
    <w:p>
      <w:pPr>
        <w:pStyle w:val="Title"/>
      </w:pPr>
      <w:r>
        <w:t>Art, music and handwork</w:t>
      </w:r>
    </w:p>
    <w:p>
      <w:r>
        <w:t>Offer non-toxic age-appropriate color materials and a workable surface. Describe the invitation, then leave decisions about marks and images to the child. Use original songs, family-approved songs with suitable permissions, humming and comfortable body percussion.</w:t>
      </w:r>
    </w:p>
    <w:p>
      <w:r>
        <w:t>Handwork begins with useful hand movements: folding, rolling and pressing. Older children may weave wide paper strips or use short reviewed strands with direct supervision. No long cords, wearable loops, sharp needles or accessible small parts. Adapt tools and position for access.</w:t>
      </w:r>
    </w:p>
    <w:p>
      <w:r>
        <w:t>Avoid open flames, heated wax, essential oils, unsafe polish and hot cooking tools in child activities. Adults manage any approved cooking process. Children never need a costly natural-material kit to participate.</w:t>
      </w:r>
    </w:p>
    <w:p>
      <w:r>
        <w:br w:type="page"/>
      </w:r>
    </w:p>
    <w:p>
      <w:pPr>
        <w:pStyle w:val="Title"/>
      </w:pPr>
      <w:r>
        <w:t>Imaginative play and relationships</w:t>
      </w:r>
    </w:p>
    <w:p>
      <w:r>
        <w:t>Offer simple flexible materials and time to revisit an idea. Let a box remain a bus today and a home tomorrow. Ask before entering a child’s play; help with a useful role if invited.</w:t>
      </w:r>
    </w:p>
    <w:p>
      <w:r>
        <w:t>Support fair access with clear boundaries: “Sam is using that large cloth. Here is another. We can ask when they are finished.” Help children express needs with speech, signs, pictures or devices.</w:t>
      </w:r>
    </w:p>
    <w:p>
      <w:r>
        <w:t>Stop harmful or exclusionary play gently and directly. Name a safer possibility. Do not use frightening stories, stereotypes or shame to control behavior. A child can decline pretend play and choose a different meaningful activity.</w:t>
      </w:r>
    </w:p>
    <w:p>
      <w:r>
        <w:br w:type="page"/>
      </w:r>
    </w:p>
    <w:p>
      <w:pPr>
        <w:pStyle w:val="Title"/>
      </w:pPr>
      <w:r>
        <w:t>A local nature year</w:t>
      </w:r>
    </w:p>
    <w:p>
      <w:r>
        <w:t>Use these twelve connections in any order: notice light and shade; observe rain or dry weather; compare breezes; revisit a tree; look for local animal activity; notice a plant’s change; care for a suitable growing place; observe textures without collecting; listen outdoors; notice community work; care for a shared place; revisit earlier observations.</w:t>
      </w:r>
    </w:p>
    <w:p>
      <w:r>
        <w:t>Choose a connection that actually exists locally. Dry regions, tropical places, cities and cold climates need different experiences. Do not require snow, a harvest festival or a European seasonal calendar.</w:t>
      </w:r>
    </w:p>
    <w:p>
      <w:r>
        <w:t>Check weather, air quality, sun protection, accessible routes, plant hazards and local animal risks. Do not taste wild plants or disturb wildlife. Use pictures, a window view or an accessible outdoor place when needed.</w:t>
      </w:r>
    </w:p>
    <w:p>
      <w:r>
        <w:br w:type="page"/>
      </w:r>
    </w:p>
    <w:p>
      <w:pPr>
        <w:pStyle w:val="Title"/>
      </w:pPr>
      <w:r>
        <w:t>Community, celebrations and family partnership</w:t>
      </w:r>
    </w:p>
    <w:p>
      <w:r>
        <w:t>Invite families to describe ordinary routines, home words, meaningful stories and celebrations they would like represented. Participation is optional; never ask one child to represent an entire culture.</w:t>
      </w:r>
    </w:p>
    <w:p>
      <w:r>
        <w:t>Use shared, secular experiences such as caring for a garden, welcoming a new classmate or thanking community helpers. Discuss any faith-related material with families and the program in advance. Offer equivalent participation without pressure.</w:t>
      </w:r>
    </w:p>
    <w:p>
      <w:r>
        <w:t>A family handover should be practical: care information, one actual observation and one question. Avoid judging family routines or turning optional home ideas into homework.</w:t>
      </w:r>
    </w:p>
    <w:p>
      <w:r>
        <w:br w:type="page"/>
      </w:r>
    </w:p>
    <w:p>
      <w:pPr>
        <w:pStyle w:val="Title"/>
      </w:pPr>
      <w:r>
        <w:t>Observation that guides the next invitation</w:t>
      </w:r>
    </w:p>
    <w:p>
      <w:r>
        <w:t>Write what happened, the context and the support. Separate that from your interpretation. Example: “During table preparation, Lina placed four cups beside four plates. With a picture cue, she added one for our guest.” Interpretation: she used one-to-one matching in this setting. Next: offer another real table task and see whether the strategy returns.</w:t>
      </w:r>
    </w:p>
    <w:p>
      <w:r>
        <w:t>For an infant: “After the familiar care phrase, Jo turned toward the adult and relaxed their hands. Adult paused and continued the change.” Next: share the useful phrase with family and check whether it remains helpful.</w:t>
      </w:r>
    </w:p>
    <w:p>
      <w:r>
        <w:t>Record interest, access and participation as well as emerging skills. Do not infer health, ability, attachment or personality from one event. Discuss persistent concerns with the family and appropriate qualified staff; do not postpone screening or services.</w:t>
      </w:r>
    </w:p>
    <w:p>
      <w:r>
        <w:br w:type="page"/>
      </w:r>
    </w:p>
    <w:p>
      <w:pPr>
        <w:pStyle w:val="Title"/>
      </w:pPr>
      <w:r>
        <w:t>Weekly planning and review</w:t>
      </w:r>
    </w:p>
    <w:p>
      <w:r>
        <w:t>1. Review care needs, family information and recent observations. 2. Choose one repeated anchor and a few accessible materials. 3. Plan safety, staffing and individual supports. 4. Offer the experience alongside play. 5. Record a useful fact. 6. Repeat, adapt or replace based on the child’s response.</w:t>
      </w:r>
    </w:p>
    <w:p>
      <w:r>
        <w:t>Keep records limited to information the program needs. Store them in approved systems with controlled access, follow consent and retention policies, and avoid identifiable child details in public examples.</w:t>
      </w:r>
    </w:p>
    <w:p>
      <w:r>
        <w:t>Review whether the environment welcomes each child, whether play time is protected, and whether a familiar rhythm has become inflexible. The quality of adult response matters more than the number of activities completed.</w:t>
      </w:r>
    </w:p>
    <w:p>
      <w:r>
        <w:br w:type="page"/>
      </w:r>
    </w:p>
    <w:p>
      <w:pPr>
        <w:pStyle w:val="Title"/>
      </w:pPr>
      <w:r>
        <w:t>Safety and access before each invitation</w:t>
      </w:r>
    </w:p>
    <w:p>
      <w:r>
        <w:t>Check current state licensing rules and program procedures for supervision, ratios, safe sleep, food, allergies, sanitation, outdoor activity and emergencies. This curriculum does not replace those requirements.</w:t>
      </w:r>
    </w:p>
    <w:p>
      <w:r>
        <w:t>Avoid choking-size materials and detachable parts; keep older-child materials inaccessible to younger children. Use shallow water only with direct supervision and empty it immediately. Children do not taste raw flour, raw dough or unapproved food. Adults control heat, sharp tools and final sanitation.</w:t>
      </w:r>
    </w:p>
    <w:p>
      <w:r>
        <w:t>Never force touch, eye contact, handholding, tasting, singing or performance. Use visual supports, home languages, accessible tools and movement alternatives. A child may watch or opt for another activity. Coordinate accommodations and medical/learning plans with qualified staff.</w:t>
      </w:r>
    </w:p>
    <w:p>
      <w:r>
        <w:br w:type="page"/>
      </w:r>
    </w:p>
    <w:p>
      <w:pPr>
        <w:pStyle w:val="Title"/>
      </w:pPr>
      <w:r>
        <w:t>Reference and scope notes</w:t>
      </w:r>
    </w:p>
    <w:p>
      <w:r>
        <w:t>Waldorf background sources to consult: Waldorf Early Childhood Association of North America — https://waldorfearlychildhood.org/ ; Association of Waldorf Schools of North America — https://www.waldorfeducation.org/ ; International Association for Steiner/Waldorf Early Childhood Education — https://iaswece.org/ .</w:t>
      </w:r>
    </w:p>
    <w:p>
      <w:r>
        <w:t>Live retrieval of these three websites was blocked by the execution environment (CONNECT 403); no source text was retrieved. The accompanying research log records the attempts. This original curriculum does not claim verified alignment, accreditation or endorsement.</w:t>
      </w:r>
    </w:p>
    <w:p>
      <w:r>
        <w:t>For local implementation, review current state child-care licensing rules, applicable school standards and individual service plans. Useful U.S. public reference starting points include Head Start ELOF (https://headstart.gov/school-readiness/article/head-start-early-learning-outcomes-framework), CDC developmental monitoring (https://www.cdc.gov/act-early/) and NICHD Safe to Sleep (https://safetosleep.nichd.nih.gov/). These additional links are suggested review resources, not sources retrieved in this session.</w:t>
      </w:r>
    </w:p>
    <w:p>
      <w:r>
        <w:t>All activity wording, stories and verses in this package are original. Use the editable versions to adapt family languages, local conditions, access supports and approved program procedures.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