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Prosistant books: review and revised editorial edition 0.2</w:t>
      </w:r>
    </w:p>
    <w:p>
      <w:r>
        <w:rPr>
          <w:b w:val="0"/>
        </w:rPr>
        <w:t>October 15, 2026 · Audience: general child-care staff competency · English and Chinese</w:t>
      </w:r>
    </w:p>
    <w:p>
      <w:r>
        <w:rPr>
          <w:b w:val="0"/>
        </w:rPr>
      </w:r>
      <w:r>
        <w:rPr>
          <w:b/>
        </w:rPr>
        <w:t>Outcome:</w:t>
      </w:r>
      <w:r>
        <w:rPr>
          <w:b w:val="0"/>
        </w:rPr>
        <w:t xml:space="preserve"> all 50 supplied state books have been rebuilt with revised shared teaching content. The edition includes 1,000 guided exercises in 100 situation families, eight short foundation lessons, a 12-question practice check, and a 1,000-row before/after change register. These are substantive editorial improvements, not a completed current-law review or a validated examination.</w:t>
      </w:r>
    </w:p>
    <w:p>
      <w:r>
        <w:rPr>
          <w:b w:val="0"/>
        </w:rPr>
      </w:r>
      <w:r>
        <w:rPr>
          <w:b/>
        </w:rPr>
        <w:t>Source prerequisite remains blocked.</w:t>
      </w:r>
      <w:r>
        <w:rPr>
          <w:b w:val="0"/>
        </w:rPr>
        <w:t xml:space="preserve"> The environment's published configuration now lists the requested official source hosts, but all 72 research requests still returned a proxy `403 Forbidden`. A fresh network grant and an outside-sandbox diagnostic did not restore access. No current source text was successfully read. Therefore the requested source-based regulatory review cannot be represented as complete. Source IDs and URLs are research leads, not verified support for the revised answers. No government agency, independent legal reviewer, clinician, or bilingual editor has approved this edition.</w:t>
      </w:r>
    </w:p>
    <w:p>
      <w:pPr>
        <w:pStyle w:val="Heading2"/>
      </w:pPr>
      <w:r>
        <w:t>1. What the new upload contained</w:t>
      </w:r>
    </w:p>
    <w:p>
      <w:r>
        <w:rPr>
          <w:b w:val="0"/>
        </w:rPr>
        <w:t>The new ZIP contains 50 state books and a start page, plus macOS metadata. SHA-256 comparison established that every state book is byte-for-byte identical to its counterpart in the earlier draft. The new start page was treated as document content, not instructions to execute. Only the HTML content was extracted for review; macOS metadata was not added to the revised books.</w:t>
      </w:r>
    </w:p>
    <w:p>
      <w:r>
        <w:rPr>
          <w:b w:val="0"/>
        </w:rPr>
        <w:t>The original books use 1,000 shared exercises built from 100 situations and ten decision patterns. They are not 50,000 independently written or state-law-reviewed cases. The supplied books correctly disclose this reuse and pending legal review; those distinctions remain visible.</w:t>
      </w:r>
    </w:p>
    <w:p>
      <w:r>
        <w:rPr>
          <w:b w:val="0"/>
        </w:rPr>
        <w:t>The inherited shared curriculum has only ten distinct question texts and ten distinct rationale texts. Each state edition contains the same underlying teaching content. Exact legal sections and state-specific reviewer approvals were absent from the original review register.</w:t>
      </w:r>
    </w:p>
    <w:p>
      <w:pPr>
        <w:pStyle w:val="Heading2"/>
      </w:pPr>
      <w:r>
        <w:t>2. First pass: preliminary regulatory and safety triage</w:t>
      </w:r>
    </w:p>
    <w:p>
      <w:r>
        <w:rPr>
          <w:b w:val="0"/>
        </w:rPr>
        <w:t>This pass identifies questions a qualified reviewer must resolve; it does not claim that unread rules establish a violation. The perspectives considered include early childhood education, licensing, protective reporting, public health, disability access, food safety, transportation, emergency planning, and subsidy administration. These authorities have different coverage. No single federal rulebook applies to every child-care program.</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Priority and affected families</w:t>
            </w:r>
          </w:p>
        </w:tc>
        <w:tc>
          <w:tcPr>
            <w:tcW w:type="dxa" w:w="2880"/>
          </w:tcPr>
          <w:p>
            <w:r>
              <w:t>Problem in the earlier answers</w:t>
            </w:r>
          </w:p>
        </w:tc>
        <w:tc>
          <w:tcPr>
            <w:tcW w:type="dxa" w:w="2880"/>
          </w:tcPr>
          <w:p>
            <w:r>
              <w:t>Required correction and remaining verification</w:t>
            </w:r>
          </w:p>
        </w:tc>
      </w:tr>
      <w:tr>
        <w:tc>
          <w:tcPr>
            <w:tcW w:type="dxa" w:w="2880"/>
          </w:tcPr>
          <w:p>
            <w:r>
              <w:t>Supervision, FAM-001–004</w:t>
            </w:r>
          </w:p>
        </w:tc>
        <w:tc>
          <w:tcPr>
            <w:tcW w:type="dxa" w:w="2880"/>
          </w:tcPr>
          <w:p>
            <w:r>
              <w:t>“Assign eligible coverage” is abstract and can assume an absent adult.</w:t>
            </w:r>
          </w:p>
        </w:tc>
        <w:tc>
          <w:tcPr>
            <w:tcW w:type="dxa" w:w="2880"/>
          </w:tcPr>
          <w:p>
            <w:r>
              <w:t>Name who accepts responsibility. For a home provider working alone, keep a feasible plan that does not invent help. Verify the actual supervision and transition requirements.</w:t>
            </w:r>
          </w:p>
        </w:tc>
      </w:tr>
      <w:tr>
        <w:tc>
          <w:tcPr>
            <w:tcW w:type="dxa" w:w="2880"/>
          </w:tcPr>
          <w:p>
            <w:r>
              <w:t>Capacity and staffing, FAM-005–016</w:t>
            </w:r>
          </w:p>
        </w:tc>
        <w:tc>
          <w:tcPr>
            <w:tcW w:type="dxa" w:w="2880"/>
          </w:tcPr>
          <w:p>
            <w:r>
              <w:t>Legal decisions lack ages, license category, qualified staff, and governing limits.</w:t>
            </w:r>
          </w:p>
        </w:tc>
        <w:tc>
          <w:tcPr>
            <w:tcW w:type="dxa" w:w="2880"/>
          </w:tcPr>
          <w:p>
            <w:r>
              <w:t>Keep the legal result unresolved until those facts and effective rules are supplied. Separate clearance, supervised work, role eligibility and counting in staffing.</w:t>
            </w:r>
          </w:p>
        </w:tc>
      </w:tr>
      <w:tr>
        <w:tc>
          <w:tcPr>
            <w:tcW w:type="dxa" w:w="2880"/>
          </w:tcPr>
          <w:p>
            <w:r>
              <w:t>Infant sleep, FAM-017–020</w:t>
            </w:r>
          </w:p>
        </w:tc>
        <w:tc>
          <w:tcPr>
            <w:tcW w:type="dxa" w:w="2880"/>
          </w:tcPr>
          <w:p>
            <w:r>
              <w:t>“Appropriate sleep environment” does not teach a complete safe-sleep procedure.</w:t>
            </w:r>
          </w:p>
        </w:tc>
        <w:tc>
          <w:tcPr>
            <w:tcW w:type="dxa" w:w="2880"/>
          </w:tcPr>
          <w:p>
            <w:r>
              <w:t>Give concrete introductory examples; obtain current sleep guidance, state positioning/equipment/observation rules and any lawful exception process before final use. Parent preference is not treated as an automatic exception.</w:t>
            </w:r>
          </w:p>
        </w:tc>
      </w:tr>
      <w:tr>
        <w:tc>
          <w:tcPr>
            <w:tcW w:type="dxa" w:w="2880"/>
          </w:tcPr>
          <w:p>
            <w:r>
              <w:t>Medication, FAM-021–024</w:t>
            </w:r>
          </w:p>
        </w:tc>
        <w:tc>
          <w:tcPr>
            <w:tcW w:type="dxa" w:w="2880"/>
          </w:tcPr>
          <w:p>
            <w:r>
              <w:t>Routine permission checks, possible duplicate dosing and an active emergency need different responses.</w:t>
            </w:r>
          </w:p>
        </w:tc>
        <w:tc>
          <w:tcPr>
            <w:tcW w:type="dxa" w:w="2880"/>
          </w:tcPr>
          <w:p>
            <w:r>
              <w:t>Retain no guessing or repeating a dose from an unclear record. Distinguish qualified clinical advice, the child's plan and emergency response. Do not supply dosing instructions.</w:t>
            </w:r>
          </w:p>
        </w:tc>
      </w:tr>
      <w:tr>
        <w:tc>
          <w:tcPr>
            <w:tcW w:type="dxa" w:w="2880"/>
          </w:tcPr>
          <w:p>
            <w:r>
              <w:t>Allergy and food handling, FAM-025–028</w:t>
            </w:r>
          </w:p>
        </w:tc>
        <w:tc>
          <w:tcPr>
            <w:tcW w:type="dxa" w:w="2880"/>
          </w:tcPr>
          <w:p>
            <w:r>
              <w:t>Generic verification does not explain ingredients, cross-contact or already-affected food.</w:t>
            </w:r>
          </w:p>
        </w:tc>
        <w:tc>
          <w:tcPr>
            <w:tcW w:type="dxa" w:w="2880"/>
          </w:tcPr>
          <w:p>
            <w:r>
              <w:t>Use concrete food examples. Separate routine meal choice from symptom response. Verify current allergy/food guidance and the applicable care plan.</w:t>
            </w:r>
          </w:p>
        </w:tc>
      </w:tr>
      <w:tr>
        <w:tc>
          <w:tcPr>
            <w:tcW w:type="dxa" w:w="2880"/>
          </w:tcPr>
          <w:p>
            <w:r>
              <w:t>Illness and incidents, FAM-029–032, 045–048</w:t>
            </w:r>
          </w:p>
        </w:tc>
        <w:tc>
          <w:tcPr>
            <w:tcW w:type="dxa" w:w="2880"/>
          </w:tcPr>
          <w:p>
            <w:r>
              <w:t>“Follow the process” omits recipients and timing.</w:t>
            </w:r>
          </w:p>
        </w:tc>
        <w:tc>
          <w:tcPr>
            <w:tcW w:type="dxa" w:w="2880"/>
          </w:tcPr>
          <w:p>
            <w:r>
              <w:t>Distinguish family notice, licensing notice, protective reporting, health authority and emergency response. No universal temperature, exclusion interval or reporting deadline is invented.</w:t>
            </w:r>
          </w:p>
        </w:tc>
      </w:tr>
      <w:tr>
        <w:tc>
          <w:tcPr>
            <w:tcW w:type="dxa" w:w="2880"/>
          </w:tcPr>
          <w:p>
            <w:r>
              <w:t>Protective reporting, FAM-049–052</w:t>
            </w:r>
          </w:p>
        </w:tc>
        <w:tc>
          <w:tcPr>
            <w:tcW w:type="dxa" w:w="2880"/>
          </w:tcPr>
          <w:p>
            <w:r>
              <w:t>A reader may still think proof or manager permission is required first.</w:t>
            </w:r>
          </w:p>
        </w:tc>
        <w:tc>
          <w:tcPr>
            <w:tcW w:type="dxa" w:w="2880"/>
          </w:tcPr>
          <w:p>
            <w:r>
              <w:t>Explain calm listening, no secrecy promise, no leading investigation, exact words and timely applicable reporting. Verify the state trigger, recipient, timing and written follow-up.</w:t>
            </w:r>
          </w:p>
        </w:tc>
      </w:tr>
      <w:tr>
        <w:tc>
          <w:tcPr>
            <w:tcW w:type="dxa" w:w="2880"/>
          </w:tcPr>
          <w:p>
            <w:r>
              <w:t>Behavior and inclusion, FAM-053–060</w:t>
            </w:r>
          </w:p>
        </w:tc>
        <w:tc>
          <w:tcPr>
            <w:tcW w:type="dxa" w:w="2880"/>
          </w:tcPr>
          <w:p>
            <w:r>
              <w:t>Abstract wording does not demonstrate respectful guidance or individual review.</w:t>
            </w:r>
          </w:p>
        </w:tc>
        <w:tc>
          <w:tcPr>
            <w:tcW w:type="dxa" w:w="2880"/>
          </w:tcPr>
          <w:p>
            <w:r>
              <w:t>Add observable examples and practical participation supports. Do not teach restraint techniques. Determine ADA/state coverage and any program-specific requirements, including Head Start only where applicable.</w:t>
            </w:r>
          </w:p>
        </w:tc>
      </w:tr>
      <w:tr>
        <w:tc>
          <w:tcPr>
            <w:tcW w:type="dxa" w:w="2880"/>
          </w:tcPr>
          <w:p>
            <w:r>
              <w:t>Pickup and transport, FAM-061–068</w:t>
            </w:r>
          </w:p>
        </w:tc>
        <w:tc>
          <w:tcPr>
            <w:tcW w:type="dxa" w:w="2880"/>
          </w:tcPr>
          <w:p>
            <w:r>
              <w:t>Identity, release authority and vehicle checks need more explicit instruction.</w:t>
            </w:r>
          </w:p>
        </w:tc>
        <w:tc>
          <w:tcPr>
            <w:tcW w:type="dxa" w:w="2880"/>
          </w:tcPr>
          <w:p>
            <w:r>
              <w:t>Separate ID from permission to collect a child; teach the actual passenger/vehicle-check sequence. Verify custody, driver, restraint and transport requirements.</w:t>
            </w:r>
          </w:p>
        </w:tc>
      </w:tr>
      <w:tr>
        <w:tc>
          <w:tcPr>
            <w:tcW w:type="dxa" w:w="2880"/>
          </w:tcPr>
          <w:p>
            <w:r>
              <w:t>Home/household, FAM-077–080</w:t>
            </w:r>
          </w:p>
        </w:tc>
        <w:tc>
          <w:tcPr>
            <w:tcW w:type="dxa" w:w="2880"/>
          </w:tcPr>
          <w:p>
            <w:r>
              <w:t>A commercial center may receive a household scenario that does not fit.</w:t>
            </w:r>
          </w:p>
        </w:tc>
        <w:tc>
          <w:tcPr>
            <w:tcW w:type="dxa" w:w="2880"/>
          </w:tcPr>
          <w:p>
            <w:r>
              <w:t>Add a conspicuous applicability check and allow adaptation or not-applicable decisions. Do not infer household duties for unrelated commercial settings.</w:t>
            </w:r>
          </w:p>
        </w:tc>
      </w:tr>
      <w:tr>
        <w:tc>
          <w:tcPr>
            <w:tcW w:type="dxa" w:w="2880"/>
          </w:tcPr>
          <w:p>
            <w:r>
              <w:t>Records, FAM-081–084</w:t>
            </w:r>
          </w:p>
        </w:tc>
        <w:tc>
          <w:tcPr>
            <w:tcW w:type="dxa" w:w="2880"/>
          </w:tcPr>
          <w:p>
            <w:r>
              <w:t>Operational recommendations can sound like universal legal software or privacy rules.</w:t>
            </w:r>
          </w:p>
        </w:tc>
        <w:tc>
          <w:tcPr>
            <w:tcW w:type="dxa" w:w="2880"/>
          </w:tcPr>
          <w:p>
            <w:r>
              <w:t>Distinguish individual-login advice from a legal mandate; check actual law coverage, consent purpose, record category and retention/hold requirements.</w:t>
            </w:r>
          </w:p>
        </w:tc>
      </w:tr>
      <w:tr>
        <w:tc>
          <w:tcPr>
            <w:tcW w:type="dxa" w:w="2880"/>
          </w:tcPr>
          <w:p>
            <w:r>
              <w:t>Subsidy, FAM-085–088</w:t>
            </w:r>
          </w:p>
        </w:tc>
        <w:tc>
          <w:tcPr>
            <w:tcW w:type="dxa" w:w="2880"/>
          </w:tcPr>
          <w:p>
            <w:r>
              <w:t>Attendance evidence and payment eligibility can be confused.</w:t>
            </w:r>
          </w:p>
        </w:tc>
        <w:tc>
          <w:tcPr>
            <w:tcW w:type="dxa" w:w="2880"/>
          </w:tcPr>
          <w:p>
            <w:r>
              <w:t>Keep both accurate while checking current authorization and program payment terms. An absence is not automatically unpayable; a discrepancy is not by itself fraud.</w:t>
            </w:r>
          </w:p>
        </w:tc>
      </w:tr>
      <w:tr>
        <w:tc>
          <w:tcPr>
            <w:tcW w:type="dxa" w:w="2880"/>
          </w:tcPr>
          <w:p>
            <w:r>
              <w:t>Licensing and policy, FAM-089–100</w:t>
            </w:r>
          </w:p>
        </w:tc>
        <w:tc>
          <w:tcPr>
            <w:tcW w:type="dxa" w:w="2880"/>
          </w:tcPr>
          <w:p>
            <w:r>
              <w:t>Summaries, paperwork and repair receipts can be mistaken for effective authority or functioning safeguards.</w:t>
            </w:r>
          </w:p>
        </w:tc>
        <w:tc>
          <w:tcPr>
            <w:tcW w:type="dxa" w:w="2880"/>
          </w:tcPr>
          <w:p>
            <w:r>
              <w:t>Verify effective text and actual license conditions; test corrections; preserve truthful dates and current working versions.</w:t>
            </w:r>
          </w:p>
        </w:tc>
      </w:tr>
    </w:tbl>
    <w:p>
      <w:r>
        <w:rPr>
          <w:b w:val="0"/>
        </w:rPr>
        <w:t>The inherited 100-family revision plan remains a useful authoring queue. Edition 0.2 implements the plain-language direction across the shared exercises, while preserving uncompleted legal review rather than auto-filling citations or approvals.</w:t>
      </w:r>
    </w:p>
    <w:p>
      <w:pPr>
        <w:pStyle w:val="Heading2"/>
      </w:pPr>
      <w:r>
        <w:t>3. Second pass: textbook and question-bank improvements implemented</w:t>
      </w:r>
    </w:p>
    <w:p>
      <w:pPr>
        <w:pStyle w:val="Heading3"/>
      </w:pPr>
      <w:r>
        <w:t>Concrete language and event-specific explanations</w:t>
      </w:r>
    </w:p>
    <w:p>
      <w:r>
        <w:rPr>
          <w:b w:val="0"/>
        </w:rPr>
        <w:t>Each situation now has a plain-language action note in English and Chinese and its own explanation of the underlying concern. There are 100 situation-specific explanations rather than ten generic rationales. Those explanations are intentionally shared by the ten tasks addressing the same underlying situation; they are not presented as 1,000 independently authored lessons.</w:t>
      </w:r>
    </w:p>
    <w:tbl>
      <w:tblPr>
        <w:tblStyle w:val="LightShading-Accent1"/>
        <w:tblW w:type="auto" w:w="0"/>
        <w:tblLook w:firstColumn="1" w:firstRow="1" w:lastColumn="0" w:lastRow="0" w:noHBand="0" w:noVBand="1" w:val="04A0"/>
      </w:tblPr>
      <w:tblGrid>
        <w:gridCol w:w="4320"/>
        <w:gridCol w:w="4320"/>
      </w:tblGrid>
      <w:tr>
        <w:tc>
          <w:tcPr>
            <w:tcW w:type="dxa" w:w="4320"/>
          </w:tcPr>
          <w:p>
            <w:r>
              <w:t>Earlier wording or pattern</w:t>
            </w:r>
          </w:p>
        </w:tc>
        <w:tc>
          <w:tcPr>
            <w:tcW w:type="dxa" w:w="4320"/>
          </w:tcPr>
          <w:p>
            <w:r>
              <w:t>Revised teaching approach</w:t>
            </w:r>
          </w:p>
        </w:tc>
      </w:tr>
      <w:tr>
        <w:tc>
          <w:tcPr>
            <w:tcW w:type="dxa" w:w="4320"/>
          </w:tcPr>
          <w:p>
            <w:r>
              <w:t>“Assign responsibility explicitly and reconcile each child during the handoff.”</w:t>
            </w:r>
          </w:p>
        </w:tc>
        <w:tc>
          <w:tcPr>
            <w:tcW w:type="dxa" w:w="4320"/>
          </w:tcPr>
          <w:p>
            <w:r>
              <w:t>“Say, ‘Maya, you have Leo now.’ Maya replies, ‘I have Leo.’ Both check Leo against the attendance list.” The explanation notes that a nearby adult may not know responsibility changed.</w:t>
            </w:r>
          </w:p>
        </w:tc>
      </w:tr>
      <w:tr>
        <w:tc>
          <w:tcPr>
            <w:tcW w:type="dxa" w:w="4320"/>
          </w:tcPr>
          <w:p>
            <w:r>
              <w:t>“Use the medication escalation process.”</w:t>
            </w:r>
          </w:p>
        </w:tc>
        <w:tc>
          <w:tcPr>
            <w:tcW w:type="dxa" w:w="4320"/>
          </w:tcPr>
          <w:p>
            <w:r>
              <w:t>Do not repeat a possible dose on a guess; keep the child supervised and use the medication plan's qualified clinical advice route. Emergency symptoms require emergency response.</w:t>
            </w:r>
          </w:p>
        </w:tc>
      </w:tr>
      <w:tr>
        <w:tc>
          <w:tcPr>
            <w:tcW w:type="dxa" w:w="4320"/>
          </w:tcPr>
          <w:p>
            <w:r>
              <w:t>“Use individually accountable access.”</w:t>
            </w:r>
          </w:p>
        </w:tc>
        <w:tc>
          <w:tcPr>
            <w:tcW w:type="dxa" w:w="4320"/>
          </w:tcPr>
          <w:p>
            <w:r>
              <w:t>Where the system supports it, use each worker's own authorized login so entries can be traced. Check the actual legal requirements separately.</w:t>
            </w:r>
          </w:p>
        </w:tc>
      </w:tr>
      <w:tr>
        <w:tc>
          <w:tcPr>
            <w:tcW w:type="dxa" w:w="4320"/>
          </w:tcPr>
          <w:p>
            <w:r>
              <w:t>“Review applicable supports.”</w:t>
            </w:r>
          </w:p>
        </w:tc>
        <w:tc>
          <w:tcPr>
            <w:tcW w:type="dxa" w:w="4320"/>
          </w:tcPr>
          <w:p>
            <w:r>
              <w:t>Consider an individual change, such as a larger paintbrush handle, that lets a child join the activity. The exact legal duty remains a separate applicability question.</w:t>
            </w:r>
          </w:p>
        </w:tc>
      </w:tr>
      <w:tr>
        <w:tc>
          <w:tcPr>
            <w:tcW w:type="dxa" w:w="4320"/>
          </w:tcPr>
          <w:p>
            <w:r>
              <w:t>The same generic rationale across unrelated topics</w:t>
            </w:r>
          </w:p>
        </w:tc>
        <w:tc>
          <w:tcPr>
            <w:tcW w:type="dxa" w:w="4320"/>
          </w:tcPr>
          <w:p>
            <w:r>
              <w:t>“A blank record does not prove a dose was not given,” “A sleeping child may remain silent during a vehicle check,” and other explanations tied to the particular situation.</w:t>
            </w:r>
          </w:p>
        </w:tc>
      </w:tr>
    </w:tbl>
    <w:p>
      <w:r>
        <w:rPr>
          <w:b w:val="0"/>
        </w:rPr>
        <w:t>The 1,000 questions now identify the situation they address and the particular decision task. Ten deliberate task patterns remain: first action, working alone, explaining a limit, handoff, uncertain records, an offer of help, family communication, preventing a repeat, local-rule research and truthful evidence. This is transparent guided practice, not a claim of 1,000 independent exam items.</w:t>
      </w:r>
    </w:p>
    <w:p>
      <w:pPr>
        <w:pStyle w:val="Heading3"/>
      </w:pPr>
      <w:r>
        <w:t>Feasibility and setting</w:t>
      </w:r>
    </w:p>
    <w:p>
      <w:r>
        <w:rPr>
          <w:b w:val="0"/>
        </w:rPr>
        <w:t>The doorway and bathroom “working alone” answers were rewritten specifically so they do not require a nonexistent second adult. Other home tasks explicitly preserve supervision, allow non-urgent tasks to wait and require a permitted backup or contingency plan where necessary. Household-context examples now warn that a commercial center may need an adapted scenario or a not-applicable decision.</w:t>
      </w:r>
    </w:p>
    <w:p>
      <w:pPr>
        <w:pStyle w:val="Heading3"/>
      </w:pPr>
      <w:r>
        <w:t>Teaching before assessment</w:t>
      </w:r>
    </w:p>
    <w:p>
      <w:r>
        <w:rPr>
          <w:b w:val="0"/>
        </w:rPr>
        <w:t>Each exercise includes a teaching note, situation, question, suggested answer, explanation, demonstration task and local-applicability box. The eight new foundation lessons add relationships, observation without diagnosis, learning through play, language and books, early math, individual access supports, family communication and the limits of practice answers.</w:t>
      </w:r>
    </w:p>
    <w:p>
      <w:r>
        <w:rPr>
          <w:b w:val="0"/>
        </w:rPr>
        <w:t>Everyday examples include a child crying at arrival, building a block bridge, matching pretend plates to guests, using a wider paintbrush handle, and rewriting a label such as “bad” as a concrete observation. They are introductions, not a complete early childhood education curriculum.</w:t>
      </w:r>
    </w:p>
    <w:p>
      <w:pPr>
        <w:pStyle w:val="Heading3"/>
      </w:pPr>
      <w:r>
        <w:t>Study, practice and exam preparation</w:t>
      </w:r>
    </w:p>
    <w:p>
      <w:r>
        <w:rPr>
          <w:b w:val="0"/>
        </w:rPr>
        <w:t>The books provide show/hide answer controls, topic and setting filters, bilingual search and print support. The teaching note remains visible as scaffolding; hiding answers does not make the book a secure exam.</w:t>
      </w:r>
    </w:p>
    <w:p>
      <w:r>
        <w:rPr>
          <w:b w:val="0"/>
        </w:rPr>
        <w:t>A separate 12-question practice check provides answer choices, local scoring, explanations, examples, safety feedback and skill-demonstration tasks. Responses stay in the browser and are not transmitted or saved. A reset button supports another attempt. The answer key is included for transparent learning and can be inspected in the file. There is no claimed pass mark, certification, security or exam validity.</w:t>
      </w:r>
    </w:p>
    <w:p>
      <w:r>
        <w:rPr>
          <w:b w:val="0"/>
        </w:rPr>
        <w:t>For a future formal assessment: specify the competency blueprint, create independently reviewed items, supply verified rules for legal questions, separate controlled assessment materials from study materials, pilot with intended adult learners in each language, assess item ambiguity and difficulty, and set a defensible standard. A written score alone cannot establish every practical skill.</w:t>
      </w:r>
    </w:p>
    <w:p>
      <w:pPr>
        <w:pStyle w:val="Heading3"/>
      </w:pPr>
      <w:r>
        <w:t>Bilingual and readability limits</w:t>
      </w:r>
    </w:p>
    <w:p>
      <w:r>
        <w:rPr>
          <w:b w:val="0"/>
        </w:rPr>
        <w:t>The revised Chinese action notes and reasons use more direct wording, while keeping necessary terms. Longer legal-verification prompts are retained and visibly marked as unfinished. Chinese text presence does not establish accurate equivalence. The 12 assessment items provide Chinese teaching summaries rather than complete independently reviewed translations of every question and option. Independent bilingual editing and learner testing remain required. No reading-grade score or user-study outcome is claimed.</w:t>
      </w:r>
    </w:p>
    <w:p>
      <w:pPr>
        <w:pStyle w:val="Heading2"/>
      </w:pPr>
      <w:r>
        <w:t>4. Source knowledge base: scope and remaining work</w:t>
      </w:r>
    </w:p>
    <w:p>
      <w:r>
        <w:rPr>
          <w:b w:val="0"/>
        </w:rPr>
        <w:t>`sources/SOURCE_CATALOG.csv` records all 72 current retrieval attempts. All failed at the environment proxy, so no retrieved source snapshots or verified legal propositions exist in this edition. The supplied source addresses may themselves need updating after access is restored.</w:t>
      </w:r>
    </w:p>
    <w:p>
      <w:r>
        <w:rPr>
          <w:b w:val="0"/>
        </w:rPr>
        <w:t>Research leads include CDC/NIH safe sleep; CDC handwashing, diapering, allergy and milestone guidance; CPSC sleep products; DOJ child-care ADA guidance; CCDF 45 CFR 98.41; Head Start safety and active supervision; NHTSA restraints; EPA product-use guidance; IDEA Part C; NAEYC developmentally appropriate practice; and all 50 supplied state licensing entry points. Candidate California, Washington, New York and Texas primary-rule sources are also listed. These are leads, not citations that were verified in this review.</w:t>
      </w:r>
    </w:p>
    <w:p>
      <w:r>
        <w:rPr>
          <w:b w:val="0"/>
        </w:rPr>
        <w:t>NAEYC is a professional organization, not a regulator. Health guidance, product standards, legal mandates and useful operational advice must be tagged separately. CCDF, Head Start, ADA and IDEA have distinct applicability; they do not create one universal national licensing rule. Licensing portals do not comprehensively cover all local health, fire/building, protective-reporting, civil-rights, food-program or subsidy authorities.</w:t>
      </w:r>
    </w:p>
    <w:p>
      <w:r>
        <w:rPr>
          <w:b w:val="0"/>
        </w:rPr>
        <w:t>Before claiming a state-specific answer, obtain the issuing-source text, exact section, effective period, retrieval timestamp and retained snapshot; identify license category, ages, roles, local jurisdiction and program participation; map each mandatory claim; identify exceptions, recipients and deadlines; and record real reviewer decisions. Missing source text remains unresolved. Do not fill official or expert approval fields with AI-generated identities or dates.</w:t>
      </w:r>
    </w:p>
    <w:p>
      <w:r>
        <w:rPr>
          <w:b w:val="0"/>
        </w:rPr>
        <w:t>The immediate external blocker is that the runtime proxy denies hosts already present in the published configuration. This is not evidence that the official websites denied access or that another duplicate draft is needed. Repair runtime source access or supply current authoritative documents, then retry retrieval and complete the mappings. The new books are useful editorial drafts while this work remains outstanding; they are not cleared for operational compliance reliance.</w:t>
      </w:r>
    </w:p>
    <w:p>
      <w:pPr>
        <w:pStyle w:val="Heading2"/>
      </w:pPr>
      <w:r>
        <w:t>5. How to open the revised books</w:t>
      </w:r>
    </w:p>
    <w:p>
      <w:r>
        <w:rPr>
          <w:b w:val="0"/>
        </w:rPr>
        <w:t>Download and extract `Prosistant_Revised_Books_v0.2.zip`, keep the folder structure together, and open `START_HERE.html` in a browser. All 50 book links and shared lessons are included. Individual state books now point to the correct parent start page. The uploaded start page and book links were not assumed to work merely because files existed.</w:t>
      </w:r>
    </w:p>
    <w:p>
      <w:r>
        <w:rPr>
          <w:b w:val="0"/>
        </w:rPr>
        <w:t>On GitHub, read this Markdown report directly. Download the ZIP to use the HTML controls; GitHub generally displays HTML source rather than rendering a local interactive book. A Word copy of this report is also included.</w:t>
      </w:r>
    </w:p>
    <w:p>
      <w:r>
        <w:rPr>
          <w:b w:val="0"/>
        </w:rPr>
        <w:t>`data/revised_curriculum_1000.json` is the new shared content. `data/CHANGE_REGISTER_1000.csv` keeps original and revised questions, answers and rationales side by side. Existing core and family IDs and state case IDs are retained. `data/input_comparison.json` records input hashes. `validation_report.json` records actual structural and browser outcomes, not legal approval.</w:t>
      </w:r>
    </w:p>
    <w:p>
      <w:pPr>
        <w:pStyle w:val="Heading2"/>
      </w:pPr>
      <w:r>
        <w:t>6. Status of this edition</w:t>
      </w:r>
    </w:p>
    <w:p>
      <w:pPr>
        <w:pStyle w:val="ListBullet"/>
      </w:pPr>
      <w:r>
        <w:rPr>
          <w:b w:val="0"/>
        </w:rPr>
        <w:t>All 50 books rebuilt; 1,000 shared editorial exercises retained and revised.</w:t>
      </w:r>
    </w:p>
    <w:p>
      <w:pPr>
        <w:pStyle w:val="ListBullet"/>
      </w:pPr>
      <w:r>
        <w:rPr>
          <w:b w:val="0"/>
        </w:rPr>
        <w:t>100 English/Chinese action notes and situation-specific reasons supplied.</w:t>
      </w:r>
    </w:p>
    <w:p>
      <w:pPr>
        <w:pStyle w:val="ListBullet"/>
      </w:pPr>
      <w:r>
        <w:rPr>
          <w:b w:val="0"/>
        </w:rPr>
        <w:t>Eight new foundation lessons and a separate 12-question formative practice check added.</w:t>
      </w:r>
    </w:p>
    <w:p>
      <w:pPr>
        <w:pStyle w:val="ListBullet"/>
      </w:pPr>
      <w:r>
        <w:rPr>
          <w:b w:val="0"/>
        </w:rPr>
        <w:t>All rule-verification flags remain false; legal research tasks are unscored.</w:t>
      </w:r>
    </w:p>
    <w:p>
      <w:pPr>
        <w:pStyle w:val="ListBullet"/>
      </w:pPr>
      <w:r>
        <w:rPr>
          <w:b w:val="0"/>
        </w:rPr>
        <w:t>No named reviewer approvals, training credits, official pass marks or government endorsements created.</w:t>
      </w:r>
    </w:p>
    <w:p>
      <w:pPr>
        <w:pStyle w:val="ListBullet"/>
      </w:pPr>
      <w:r>
        <w:rPr>
          <w:b w:val="0"/>
        </w:rPr>
        <w:t>Original uploaded files preserved; the prior preliminary review remains available separately.</w:t>
      </w:r>
    </w:p>
    <w:p>
      <w:pPr>
        <w:pStyle w:val="ListBullet"/>
      </w:pPr>
      <w:r>
        <w:rPr>
          <w:b w:val="0"/>
        </w:rPr>
        <w:t>Current authoritative-source research, full state/category legal mapping, independent bilingual review, clinical review where appropriate, learner piloting and formal examination validation remain incomplete.</w:t>
      </w:r>
    </w:p>
    <w:p>
      <w:r>
        <w:rPr>
          <w:b w:val="0"/>
        </w:rPr>
        <w:t>Browser checks passed through an internal local HTTP test server. Direct `file:` navigation was blocked by the cloud browser policy, so direct-file opening was not independently exercised in this environment. The edition has no external reading dependency or data submission.</w:t>
      </w:r>
    </w:p>
    <w:p>
      <w:r>
        <w:rPr>
          <w:b w:val="0"/>
        </w:rPr>
        <w:t>See `validation_report.json` for measured file counts, cross-edition consistency and browser checks. Technical validation establishes that the edition opens and its controls work; it does not establish that the curriculum is legally current, fully comprehensive or ready for approved training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