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Child and family learning profile</w:t>
      </w:r>
    </w:p>
    <w:p>
      <w:pPr>
        <w:pStyle w:val="Heading2"/>
      </w:pPr>
      <w:r>
        <w:t>Child / identifier; birth date; enrollment date; key educator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pPr>
        <w:pStyle w:val="Heading2"/>
      </w:pPr>
      <w:r>
        <w:t>Strengths, interests and preferred communication / home languages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pPr>
        <w:pStyle w:val="Heading2"/>
      </w:pPr>
      <w:r>
        <w:t>Family priorities and perspective · date / consent for sharing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pPr>
        <w:pStyle w:val="Heading2"/>
      </w:pPr>
      <w:r>
        <w:t>Useful interaction, transition and access supports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r>
        <w:t>Teaching information only. Keep medical, safeguarding and formal support records in approved systems. Do not require sensitive family disclosure.</w:t>
      </w:r>
    </w:p>
    <w:p>
      <w:r>
        <w:br w:type="page"/>
      </w:r>
    </w:p>
    <w:p>
      <w:pPr>
        <w:pStyle w:val="Title"/>
      </w:pPr>
      <w:r>
        <w:t>Weekly invitations and environment</w:t>
      </w:r>
    </w:p>
    <w:p>
      <w:pPr>
        <w:pStyle w:val="Heading2"/>
      </w:pPr>
      <w:r>
        <w:t>Week / dates; educator / group</w:t>
      </w:r>
    </w:p>
    <w:p>
      <w:r>
        <w:t>___________________________________________________________________________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</w:tcPr>
          <w:p>
            <w:r>
              <w:t>Day</w:t>
            </w:r>
          </w:p>
        </w:tc>
        <w:tc>
          <w:tcPr>
            <w:tcW w:type="dxa" w:w="2074"/>
          </w:tcPr>
          <w:p>
            <w:r>
              <w:t>Child / small group</w:t>
            </w:r>
          </w:p>
        </w:tc>
        <w:tc>
          <w:tcPr>
            <w:tcW w:type="dxa" w:w="2074"/>
          </w:tcPr>
          <w:p>
            <w:r>
              <w:t>Purpose / observed interest</w:t>
            </w:r>
          </w:p>
        </w:tc>
        <w:tc>
          <w:tcPr>
            <w:tcW w:type="dxa" w:w="2074"/>
          </w:tcPr>
          <w:p>
            <w:r>
              <w:t>Invitation / prepare / adapt</w:t>
            </w:r>
          </w:p>
        </w:tc>
        <w:tc>
          <w:tcPr>
            <w:tcW w:type="dxa" w:w="2074"/>
          </w:tcPr>
          <w:p>
            <w:r>
              <w:t>Actual outcome / revisit</w:t>
            </w:r>
          </w:p>
        </w:tc>
      </w:tr>
      <w:tr>
        <w:tc>
          <w:tcPr>
            <w:tcW w:type="dxa" w:w="2074"/>
          </w:tcPr>
          <w:p>
            <w:r>
              <w:t>Monday</w:t>
            </w:r>
          </w:p>
        </w:tc>
        <w:tc>
          <w:tcPr>
            <w:tcW w:type="dxa" w:w="2074"/>
          </w:tcPr>
          <w:p>
            <w:r/>
          </w:p>
        </w:tc>
        <w:tc>
          <w:tcPr>
            <w:tcW w:type="dxa" w:w="2074"/>
          </w:tcPr>
          <w:p>
            <w:r/>
          </w:p>
        </w:tc>
        <w:tc>
          <w:tcPr>
            <w:tcW w:type="dxa" w:w="2074"/>
          </w:tcPr>
          <w:p>
            <w:r/>
          </w:p>
        </w:tc>
        <w:tc>
          <w:tcPr>
            <w:tcW w:type="dxa" w:w="2074"/>
          </w:tcPr>
          <w:p>
            <w:r/>
          </w:p>
        </w:tc>
      </w:tr>
      <w:tr>
        <w:tc>
          <w:tcPr>
            <w:tcW w:type="dxa" w:w="2074"/>
          </w:tcPr>
          <w:p>
            <w:r>
              <w:t>Tuesday</w:t>
            </w:r>
          </w:p>
        </w:tc>
        <w:tc>
          <w:tcPr>
            <w:tcW w:type="dxa" w:w="2074"/>
          </w:tcPr>
          <w:p>
            <w:r/>
          </w:p>
        </w:tc>
        <w:tc>
          <w:tcPr>
            <w:tcW w:type="dxa" w:w="2074"/>
          </w:tcPr>
          <w:p>
            <w:r/>
          </w:p>
        </w:tc>
        <w:tc>
          <w:tcPr>
            <w:tcW w:type="dxa" w:w="2074"/>
          </w:tcPr>
          <w:p>
            <w:r/>
          </w:p>
        </w:tc>
        <w:tc>
          <w:tcPr>
            <w:tcW w:type="dxa" w:w="2074"/>
          </w:tcPr>
          <w:p>
            <w:r/>
          </w:p>
        </w:tc>
      </w:tr>
      <w:tr>
        <w:tc>
          <w:tcPr>
            <w:tcW w:type="dxa" w:w="2074"/>
          </w:tcPr>
          <w:p>
            <w:r>
              <w:t>Wednesday</w:t>
            </w:r>
          </w:p>
        </w:tc>
        <w:tc>
          <w:tcPr>
            <w:tcW w:type="dxa" w:w="2074"/>
          </w:tcPr>
          <w:p>
            <w:r/>
          </w:p>
        </w:tc>
        <w:tc>
          <w:tcPr>
            <w:tcW w:type="dxa" w:w="2074"/>
          </w:tcPr>
          <w:p>
            <w:r/>
          </w:p>
        </w:tc>
        <w:tc>
          <w:tcPr>
            <w:tcW w:type="dxa" w:w="2074"/>
          </w:tcPr>
          <w:p>
            <w:r/>
          </w:p>
        </w:tc>
        <w:tc>
          <w:tcPr>
            <w:tcW w:type="dxa" w:w="2074"/>
          </w:tcPr>
          <w:p>
            <w:r/>
          </w:p>
        </w:tc>
      </w:tr>
      <w:tr>
        <w:tc>
          <w:tcPr>
            <w:tcW w:type="dxa" w:w="2074"/>
          </w:tcPr>
          <w:p>
            <w:r>
              <w:t>Thursday</w:t>
            </w:r>
          </w:p>
        </w:tc>
        <w:tc>
          <w:tcPr>
            <w:tcW w:type="dxa" w:w="2074"/>
          </w:tcPr>
          <w:p>
            <w:r/>
          </w:p>
        </w:tc>
        <w:tc>
          <w:tcPr>
            <w:tcW w:type="dxa" w:w="2074"/>
          </w:tcPr>
          <w:p>
            <w:r/>
          </w:p>
        </w:tc>
        <w:tc>
          <w:tcPr>
            <w:tcW w:type="dxa" w:w="2074"/>
          </w:tcPr>
          <w:p>
            <w:r/>
          </w:p>
        </w:tc>
        <w:tc>
          <w:tcPr>
            <w:tcW w:type="dxa" w:w="2074"/>
          </w:tcPr>
          <w:p>
            <w:r/>
          </w:p>
        </w:tc>
      </w:tr>
      <w:tr>
        <w:tc>
          <w:tcPr>
            <w:tcW w:type="dxa" w:w="2074"/>
          </w:tcPr>
          <w:p>
            <w:r>
              <w:t>Friday</w:t>
            </w:r>
          </w:p>
        </w:tc>
        <w:tc>
          <w:tcPr>
            <w:tcW w:type="dxa" w:w="2074"/>
          </w:tcPr>
          <w:p>
            <w:r/>
          </w:p>
        </w:tc>
        <w:tc>
          <w:tcPr>
            <w:tcW w:type="dxa" w:w="2074"/>
          </w:tcPr>
          <w:p>
            <w:r/>
          </w:p>
        </w:tc>
        <w:tc>
          <w:tcPr>
            <w:tcW w:type="dxa" w:w="2074"/>
          </w:tcPr>
          <w:p>
            <w:r/>
          </w:p>
        </w:tc>
        <w:tc>
          <w:tcPr>
            <w:tcW w:type="dxa" w:w="2074"/>
          </w:tcPr>
          <w:p>
            <w:r/>
          </w:p>
        </w:tc>
      </w:tr>
    </w:tbl>
    <w:p>
      <w:pPr>
        <w:pStyle w:val="Heading2"/>
      </w:pPr>
      <w:r>
        <w:t>Keep available: familiar play, care, outdoor and communication opportunities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pPr>
        <w:pStyle w:val="Heading2"/>
      </w:pPr>
      <w:r>
        <w:t>Family perspective / environment changes / follow-ups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r>
        <w:t>A planned invitation is not a completed observation. Protect care, repetition and child choice.</w:t>
      </w:r>
    </w:p>
    <w:p>
      <w:r>
        <w:br w:type="page"/>
      </w:r>
    </w:p>
    <w:p>
      <w:pPr>
        <w:pStyle w:val="Title"/>
      </w:pPr>
      <w:r>
        <w:t>Individual activity / interaction plan</w:t>
      </w:r>
    </w:p>
    <w:p>
      <w:pPr>
        <w:pStyle w:val="Heading2"/>
      </w:pPr>
      <w:r>
        <w:t>Child / small group; date; educator; activity ID / pathway / area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pPr>
        <w:pStyle w:val="Heading2"/>
      </w:pPr>
      <w:r>
        <w:t>Why now? Actual interest / prior observation / family perspective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pPr>
        <w:pStyle w:val="Heading2"/>
      </w:pPr>
      <w:r>
        <w:t>Purpose, materials, care and safety review, access supports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pPr>
        <w:pStyle w:val="Heading2"/>
      </w:pPr>
      <w:r>
        <w:t>How the adult may respond, model or step back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pPr>
        <w:pStyle w:val="Heading2"/>
      </w:pPr>
      <w:r>
        <w:t>What to observe; possible next opportunity if useful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r>
        <w:br w:type="page"/>
      </w:r>
    </w:p>
    <w:p>
      <w:pPr>
        <w:pStyle w:val="Title"/>
      </w:pPr>
      <w:r>
        <w:t>Dated observation</w:t>
      </w:r>
    </w:p>
    <w:p>
      <w:pPr>
        <w:pStyle w:val="Heading2"/>
      </w:pPr>
      <w:r>
        <w:t>Child / identifier; date; recorder; activity / real routine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pPr>
        <w:pStyle w:val="Heading2"/>
      </w:pPr>
      <w:r>
        <w:t>What was actually seen or heard? Include context and a short quote if useful.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pPr>
        <w:pStyle w:val="Heading2"/>
      </w:pPr>
      <w:r>
        <w:t>Adult support / access / co-regulation actually provided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pPr>
        <w:pStyle w:val="Heading2"/>
      </w:pPr>
      <w:r>
        <w:t>Child’s response, choices and repeated interests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pPr>
        <w:pStyle w:val="Heading2"/>
      </w:pPr>
      <w:r>
        <w:t>Working question or possible next opportunity · separate from facts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r>
        <w:t>No permanent mastery labels, character judgments or diagnoses. Responsive support is not failure.</w:t>
      </w:r>
    </w:p>
    <w:p>
      <w:r>
        <w:br w:type="page"/>
      </w:r>
    </w:p>
    <w:p>
      <w:pPr>
        <w:pStyle w:val="Title"/>
      </w:pPr>
      <w:r>
        <w:t>Weekly team reflection</w:t>
      </w:r>
    </w:p>
    <w:p>
      <w:pPr>
        <w:pStyle w:val="Heading2"/>
      </w:pPr>
      <w:r>
        <w:t>Date / educators / pathway or group</w:t>
      </w:r>
    </w:p>
    <w:p>
      <w:r>
        <w:t>___________________________________________________________________________</w:t>
      </w:r>
    </w:p>
    <w:p>
      <w:pPr>
        <w:pStyle w:val="Heading2"/>
      </w:pPr>
      <w:r>
        <w:t>What interests and strengths were observed?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pPr>
        <w:pStyle w:val="Heading2"/>
      </w:pPr>
      <w:r>
        <w:t>Whose participation, language or family voice needs better access?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pPr>
        <w:pStyle w:val="Heading2"/>
      </w:pPr>
      <w:r>
        <w:t>What support helped? What should be changed or stopped?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pPr>
        <w:pStyle w:val="Heading2"/>
      </w:pPr>
      <w:r>
        <w:t>A manageable next invitation; environment/safety check; responsibility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pPr>
        <w:pStyle w:val="Heading2"/>
      </w:pPr>
      <w:r>
        <w:t>Backup / records review completed; next review date</w:t>
      </w:r>
    </w:p>
    <w:p>
      <w:r>
        <w:t>___________________________________________________________________________</w:t>
      </w:r>
    </w:p>
    <w:p>
      <w:r>
        <w:br w:type="page"/>
      </w:r>
    </w:p>
    <w:p>
      <w:pPr>
        <w:pStyle w:val="Title"/>
      </w:pPr>
      <w:r>
        <w:t>Family conversation and transition</w:t>
      </w:r>
    </w:p>
    <w:p>
      <w:pPr>
        <w:pStyle w:val="Heading2"/>
      </w:pPr>
      <w:r>
        <w:t>Child / date / authorized participants</w:t>
      </w:r>
    </w:p>
    <w:p>
      <w:r>
        <w:t>___________________________________________________________________________</w:t>
      </w:r>
    </w:p>
    <w:p>
      <w:pPr>
        <w:pStyle w:val="Heading2"/>
      </w:pPr>
      <w:r>
        <w:t>A factual strength or meaningful work sample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pPr>
        <w:pStyle w:val="Heading2"/>
      </w:pPr>
      <w:r>
        <w:t>Family perspective and child’s own voice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pPr>
        <w:pStyle w:val="Heading2"/>
      </w:pPr>
      <w:r>
        <w:t>Useful supports and one shared next opportunity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pPr>
        <w:pStyle w:val="Heading2"/>
      </w:pPr>
      <w:r>
        <w:t>What may be shared, with whom, and by which approved route?</w:t>
      </w:r>
    </w:p>
    <w:p>
      <w:r>
        <w:t>___________________________________________________________________________</w:t>
      </w:r>
    </w:p>
    <w:p>
      <w:r>
        <w:t>___________________________________________________________________________</w:t>
      </w:r>
    </w:p>
    <w:p>
      <w:r>
        <w:t>This form supports learning conversations. It does not replace required consent, health, incident, safeguarding or formal referral records.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