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331.2" w:lineRule="auto"/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Дополнительная лабораторная 4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Развертывание и работа с Message-oriented middleware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Используя одну из реализаций Message-oriented middleware (MOM): JMS (или любой из провайдеров), Microsoft Message Queuing, IronMQ, … продемонстрировать асинхронное взаимодействие нескольких систем/подсистем (приложений).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Реализовать варианты Point-to-Point и Publish/Subscribe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Посмотреть варианты предоставляемые MOM, связанные с подтверждением доставки/обработки сообщений клиентом (Message Acknowledgment), и сохранности сообщений в очереди (Message Persistence)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