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left"/>
      </w:pPr>
      <w:r>
        <w:rPr>
          <w:b/>
          <w:sz w:val="32"/>
        </w:rPr>
        <w:t>Кейс-задача № 1</w:t>
      </w:r>
    </w:p>
    <w:p>
      <w:pPr>
        <w:spacing w:line="360" w:lineRule="auto"/>
        <w:jc w:val="both"/>
      </w:pPr>
      <w:r>
        <w:rPr>
          <w:b/>
        </w:rPr>
        <w:t>Организация прохождения практики:</w:t>
      </w:r>
      <w:r>
        <w:t xml:space="preserve"> Университет «Синергия» (г. Москва)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1. Полное и сокращённое официальное название компании</w:t>
      </w:r>
    </w:p>
    <w:p>
      <w:pPr>
        <w:spacing w:line="360" w:lineRule="auto"/>
        <w:jc w:val="both"/>
      </w:pPr>
      <w:r>
        <w:rPr>
          <w:b/>
        </w:rPr>
        <w:t>Полное официальное наименование:</w:t>
      </w:r>
      <w:r>
        <w:t xml:space="preserve"> Негосударственное образовательное частное учреждение высшего образования «Московский финансово-промышленный университет «Синергия».</w:t>
      </w:r>
    </w:p>
    <w:p>
      <w:pPr>
        <w:spacing w:line="360" w:lineRule="auto"/>
        <w:jc w:val="both"/>
      </w:pPr>
      <w:r>
        <w:rPr>
          <w:b/>
        </w:rPr>
        <w:t>Сокращённое официальное наименование:</w:t>
      </w:r>
      <w:r>
        <w:t xml:space="preserve"> НОЧУ ВО «Московский финансово-промышленный университет «Синергия» / Университет «Синергия».</w:t>
      </w:r>
    </w:p>
    <w:p>
      <w:pPr>
        <w:spacing w:line="360" w:lineRule="auto"/>
        <w:jc w:val="both"/>
      </w:pPr>
      <w:r>
        <w:rPr>
          <w:b/>
        </w:rPr>
        <w:t>Основные реквизиты (общедоступные данные):</w:t>
      </w:r>
    </w:p>
    <w:p>
      <w:pPr>
        <w:pStyle w:val="ListBullet"/>
        <w:spacing w:line="360" w:lineRule="auto"/>
        <w:ind w:firstLine="0" w:left="567"/>
      </w:pPr>
      <w:r>
        <w:t>ИНН: 7729152149</w:t>
      </w:r>
    </w:p>
    <w:p>
      <w:pPr>
        <w:pStyle w:val="ListBullet"/>
        <w:spacing w:line="360" w:lineRule="auto"/>
        <w:ind w:firstLine="0" w:left="567"/>
      </w:pPr>
      <w:r>
        <w:t>ОГРН: 1037700232558</w:t>
      </w:r>
    </w:p>
    <w:p>
      <w:pPr>
        <w:pStyle w:val="ListBullet"/>
        <w:spacing w:line="360" w:lineRule="auto"/>
        <w:ind w:firstLine="0" w:left="567"/>
      </w:pPr>
      <w:r>
        <w:t>Лицензия на осуществление образовательной деятельности и свидетельство о государственной аккредитации выданы Федеральной службой по надзору в сфере образования и науки (Рособрнадзор).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2. Организационно-правовая форма компании</w:t>
      </w:r>
    </w:p>
    <w:p>
      <w:pPr>
        <w:spacing w:line="360" w:lineRule="auto"/>
        <w:jc w:val="both"/>
      </w:pPr>
      <w:r>
        <w:rPr>
          <w:b/>
        </w:rPr>
        <w:t>Организационно-правовая форма:</w:t>
      </w:r>
      <w:r>
        <w:t xml:space="preserve"> негосударственное (частное) образовательное учреждение высшего образования.</w:t>
      </w:r>
    </w:p>
    <w:p>
      <w:pPr>
        <w:spacing w:line="360" w:lineRule="auto"/>
        <w:jc w:val="both"/>
      </w:pPr>
      <w:r>
        <w:t xml:space="preserve">В соответствии с Гражданским кодексом РФ (ст. 123.21–123.23) и Федеральным законом от 29.12.2012 № 273-ФЗ «Об образовании в Российской Федерации» Университет «Синергия» относится к </w:t>
      </w:r>
      <w:r>
        <w:rPr>
          <w:b/>
        </w:rPr>
        <w:t>частным учреждениям</w:t>
      </w:r>
      <w:r>
        <w:t xml:space="preserve"> - некоммерческим унитарным организациям, созданным собственником для осуществления образовательной деятельности.</w:t>
      </w:r>
    </w:p>
    <w:p>
      <w:pPr>
        <w:spacing w:line="360" w:lineRule="auto"/>
        <w:jc w:val="both"/>
      </w:pPr>
      <w:r>
        <w:t>Особенности:</w:t>
      </w:r>
    </w:p>
    <w:p>
      <w:pPr>
        <w:pStyle w:val="ListBullet"/>
        <w:spacing w:line="360" w:lineRule="auto"/>
        <w:ind w:firstLine="0" w:left="567"/>
      </w:pPr>
      <w:r>
        <w:t>учредителями выступают физические/юридические лица (не государство и не муниципалитет);</w:t>
      </w:r>
    </w:p>
    <w:p>
      <w:pPr>
        <w:pStyle w:val="ListBullet"/>
        <w:spacing w:line="360" w:lineRule="auto"/>
        <w:ind w:firstLine="0" w:left="567"/>
      </w:pPr>
      <w:r>
        <w:t>финансирование осуществляется за счёт средств учредителей, доходов от приносящей доход деятельности (платных образовательных услуг), грантов и иных поступлений, не запрещённых законом;</w:t>
      </w:r>
    </w:p>
    <w:p>
      <w:pPr>
        <w:pStyle w:val="ListBullet"/>
        <w:spacing w:line="360" w:lineRule="auto"/>
        <w:ind w:firstLine="0" w:left="567"/>
      </w:pPr>
      <w:r>
        <w:t>основная цель деятельности - образовательная, а не извлечение прибыли.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3. Основные виды оказываемых услуг (выполняемых работ)</w:t>
      </w:r>
    </w:p>
    <w:p>
      <w:pPr>
        <w:spacing w:line="360" w:lineRule="auto"/>
        <w:jc w:val="both"/>
      </w:pPr>
      <w:r>
        <w:t xml:space="preserve">Основной вид деятельности по ОКВЭД - </w:t>
      </w:r>
      <w:r>
        <w:rPr>
          <w:b/>
        </w:rPr>
        <w:t>85.22 «Образование высшее»</w:t>
      </w:r>
      <w:r>
        <w:t>. Дополнительно университет реализует широкий спектр образовательных и сопутствующих услуг:</w:t>
      </w:r>
    </w:p>
    <w:p>
      <w:pPr>
        <w:spacing w:line="360" w:lineRule="auto"/>
        <w:jc w:val="both"/>
      </w:pPr>
      <w:r>
        <w:rPr>
          <w:b/>
        </w:rPr>
        <w:t>Образовательные услуги: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Высшее образование</w:t>
      </w:r>
      <w:r>
        <w:t xml:space="preserve"> - программы бакалавриата, специалитета, магистратуры по направлениям: экономика, менеджмент, юриспруденция, информационные технологии, реклама и PR, психология, лингвистика, гостиничное дело, спортивный менеджмент, индустрия моды, киберспорт, банковское дело и др.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Среднее профессиональное образование (СПО)</w:t>
      </w:r>
      <w:r>
        <w:t xml:space="preserve"> - обучение по программам колледжа на базе 9 и 11 классов.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Аспирантура</w:t>
      </w:r>
      <w:r>
        <w:t xml:space="preserve"> - подготовка научно-педагогических кадров высшей квалификации.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Дополнительное профессиональное образование (ДПО)</w:t>
      </w:r>
      <w:r>
        <w:t xml:space="preserve"> - программы повышения квалификации и профессиональной переподготовки.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Бизнес-образование</w:t>
      </w:r>
      <w:r>
        <w:t xml:space="preserve"> - программы MBA, Executive MBA, DBA (Школа бизнеса «Синергия»).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Дополнительное образование детей и взрослых</w:t>
      </w:r>
      <w:r>
        <w:t xml:space="preserve"> - школьное направление, подготовительные курсы, языковые программы.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Дистанционное (онлайн) обучение</w:t>
      </w:r>
      <w:r>
        <w:t xml:space="preserve"> - реализация программ с применением электронного обучения и дистанционных образовательных технологий.</w:t>
      </w:r>
    </w:p>
    <w:p>
      <w:pPr>
        <w:spacing w:line="360" w:lineRule="auto"/>
        <w:jc w:val="both"/>
      </w:pPr>
      <w:r>
        <w:rPr>
          <w:b/>
        </w:rPr>
        <w:t>Сопутствующая деятельность:</w:t>
      </w:r>
    </w:p>
    <w:p>
      <w:pPr>
        <w:pStyle w:val="ListBullet"/>
        <w:spacing w:line="360" w:lineRule="auto"/>
        <w:ind w:firstLine="0" w:left="567"/>
      </w:pPr>
      <w:r>
        <w:t>организация и проведение образовательных, деловых и культурно-массовых мероприятий (Synergy Global Forum, Synergy Online Forum и др.);</w:t>
      </w:r>
    </w:p>
    <w:p>
      <w:pPr>
        <w:pStyle w:val="ListBullet"/>
        <w:spacing w:line="360" w:lineRule="auto"/>
        <w:ind w:firstLine="0" w:left="567"/>
      </w:pPr>
      <w:r>
        <w:t>издательская и научная деятельность;</w:t>
      </w:r>
    </w:p>
    <w:p>
      <w:pPr>
        <w:pStyle w:val="ListBullet"/>
        <w:spacing w:line="360" w:lineRule="auto"/>
        <w:ind w:firstLine="0" w:left="567"/>
      </w:pPr>
      <w:r>
        <w:t>консалтинговые услуги;</w:t>
      </w:r>
    </w:p>
    <w:p>
      <w:pPr>
        <w:pStyle w:val="ListBullet"/>
        <w:spacing w:line="360" w:lineRule="auto"/>
        <w:ind w:firstLine="0" w:left="567"/>
      </w:pPr>
      <w:r>
        <w:t>профориентационные мероприятия и карьерное сопровождение студентов.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4. Территориальное размещение компании</w:t>
      </w:r>
    </w:p>
    <w:p>
      <w:pPr>
        <w:spacing w:line="360" w:lineRule="auto"/>
        <w:jc w:val="both"/>
      </w:pPr>
      <w:r>
        <w:rPr>
          <w:b/>
        </w:rPr>
        <w:t>Юридический и фактический адрес головного офиса:</w:t>
      </w:r>
      <w:r>
        <w:t xml:space="preserve"> 125190, г. Москва, Ленинградский проспект, д. 80, корп. Г.</w:t>
      </w:r>
    </w:p>
    <w:p>
      <w:pPr>
        <w:spacing w:line="360" w:lineRule="auto"/>
        <w:jc w:val="both"/>
      </w:pPr>
      <w:r>
        <w:rPr>
          <w:b/>
        </w:rPr>
        <w:t>География присутствия:</w:t>
      </w:r>
    </w:p>
    <w:p>
      <w:pPr>
        <w:pStyle w:val="ListBullet"/>
        <w:spacing w:line="360" w:lineRule="auto"/>
        <w:ind w:firstLine="0" w:left="567"/>
      </w:pPr>
      <w:r>
        <w:t xml:space="preserve">основные учебные корпуса расположены в </w:t>
      </w:r>
      <w:r>
        <w:rPr>
          <w:b/>
        </w:rPr>
        <w:t>г. Москве</w:t>
      </w:r>
      <w:r>
        <w:t xml:space="preserve"> (Ленинградский проспект, Измайловский Вал, Мещанская и др.);</w:t>
      </w:r>
    </w:p>
    <w:p>
      <w:pPr>
        <w:pStyle w:val="ListBullet"/>
        <w:spacing w:line="360" w:lineRule="auto"/>
        <w:ind w:firstLine="0" w:left="567"/>
      </w:pPr>
      <w:r>
        <w:t xml:space="preserve">сеть </w:t>
      </w:r>
      <w:r>
        <w:rPr>
          <w:b/>
        </w:rPr>
        <w:t>региональных представительств и филиалов</w:t>
      </w:r>
      <w:r>
        <w:t xml:space="preserve"> в крупных городах России (Санкт-Петербург, Омск, Элиста и др.);</w:t>
      </w:r>
    </w:p>
    <w:p>
      <w:pPr>
        <w:pStyle w:val="ListBullet"/>
        <w:spacing w:line="360" w:lineRule="auto"/>
        <w:ind w:firstLine="0" w:left="567"/>
      </w:pPr>
      <w:r>
        <w:t xml:space="preserve">активно развивается направление </w:t>
      </w:r>
      <w:r>
        <w:rPr>
          <w:b/>
        </w:rPr>
        <w:t>онлайн-обучения</w:t>
      </w:r>
      <w:r>
        <w:t>, что обеспечивает доступ к образовательным программам обучающимся на территории всей Российской Федерации, а также за её пределами (страны СНГ и дальнего зарубежья);</w:t>
      </w:r>
    </w:p>
    <w:p>
      <w:pPr>
        <w:pStyle w:val="ListBullet"/>
        <w:spacing w:line="360" w:lineRule="auto"/>
        <w:ind w:firstLine="0" w:left="567"/>
      </w:pPr>
      <w:r>
        <w:t>реализуются программы международного сотрудничества с зарубежными вузами и партнёрами.</w:t>
      </w:r>
    </w:p>
    <w:p>
      <w:pPr>
        <w:spacing w:line="360" w:lineRule="auto"/>
        <w:jc w:val="both"/>
      </w:pPr>
      <w:r>
        <w:t xml:space="preserve">Таким образом, территориальное размещение носит </w:t>
      </w:r>
      <w:r>
        <w:rPr>
          <w:b/>
        </w:rPr>
        <w:t>многоуровневый характер</w:t>
      </w:r>
      <w:r>
        <w:t>: головной офис в Москве - региональные представительства по РФ - дистанционная (онлайн) аудитория без географической привязки.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5. Основные факторы внешней среды (делового окружения) компании</w:t>
      </w:r>
    </w:p>
    <w:p>
      <w:pPr>
        <w:spacing w:line="360" w:lineRule="auto"/>
        <w:jc w:val="both"/>
      </w:pPr>
      <w:r>
        <w:t xml:space="preserve">Деловое окружение университета включает факторы </w:t>
      </w:r>
      <w:r>
        <w:rPr>
          <w:b/>
        </w:rPr>
        <w:t>прямого</w:t>
      </w:r>
      <w:r>
        <w:t xml:space="preserve"> и </w:t>
      </w:r>
      <w:r>
        <w:rPr>
          <w:b/>
        </w:rPr>
        <w:t>косвенного</w:t>
      </w:r>
      <w:r>
        <w:t xml:space="preserve"> воздействия.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5.1. Факторы прямого воздействия (микросреда)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Группа факторов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Содержание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Потребители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Абитуриенты и их родители, студенты, слушатели программ ДПО и MBA, корпоративные заказчики обучения.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Конкуренты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Государственные вузы (МГУ, РЭУ им. Г. В. Плеханова, ВШЭ, Финансовый университет при Правительстве РФ), частные образовательные организации (РАНХиГС, Университет «Иннополис», «Нетология», Skillbox, GeekBrains), онлайн-платформы.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Поставщики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Поставщики IT-оборудования и программного обеспечения, образовательного контента, учебной литературы, услуг связи и хостинга, провайдеры LMS-систем.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Партнёры и работодатели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Российские и международные компании, обеспечивающие практику студентов и трудоустройство выпускников (Сбер, Яндекс, Газпром, Ростех, банки, IT-компании).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Регулирующие органы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Министерство науки и высшего образования РФ, Министерство просвещения РФ, Рособрнадзор, ФНС, Роспотребнадзор, Роскомнадзор.</w:t>
            </w:r>
          </w:p>
        </w:tc>
      </w:tr>
      <w:tr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Профессиональные сообщества</w:t>
            </w:r>
          </w:p>
        </w:tc>
        <w:tc>
          <w:tcPr>
            <w:tcW w:type="dxa" w:w="4677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Ассоциации вузов, объединения работодателей (РСПП, «Деловая Россия»), профессиональные ассоциации по отраслям подготовки.</w:t>
            </w:r>
          </w:p>
        </w:tc>
      </w:tr>
    </w:tbl>
    <w:p>
      <w:pPr>
        <w:spacing w:before="160" w:after="120"/>
        <w:ind w:firstLine="0"/>
        <w:jc w:val="left"/>
      </w:pPr>
      <w:r>
        <w:rPr>
          <w:b/>
          <w:sz w:val="26"/>
        </w:rPr>
        <w:t>5.2. Факторы косвенного воздействия (макросреда)</w:t>
      </w:r>
    </w:p>
    <w:p>
      <w:pPr>
        <w:spacing w:line="360" w:lineRule="auto"/>
        <w:jc w:val="both"/>
      </w:pPr>
      <w:r>
        <w:t>Из политико-правовых факторов сильнее всего влияет 273-ФЗ «Об образовании в Российской Федерации», система ФГОС, требования к лицензированию и государственной аккредитации. Также сказывается общая государственная политика - программы вроде «Приоритета 2030», курс на цифровизацию образования, санкционные ограничения по международному сотрудничеству.</w:t>
      </w:r>
    </w:p>
    <w:p>
      <w:pPr>
        <w:spacing w:line="360" w:lineRule="auto"/>
        <w:jc w:val="both"/>
      </w:pPr>
      <w:r>
        <w:t>Экономика влияет через несколько каналов сразу: уровень доходов населения определяет платёжеспособный спрос на платное обучение; инфляция и ставки по кредитам - доступность образовательных кредитов; курс рубля - стоимость международных программ и зарубежного ПО для учебных лабораторий. Сюда же относится бюджетное финансирование контрольных цифр приёма и общее состояние рынка труда - оно задаёт спрос на конкретные направления подготовки.</w:t>
      </w:r>
    </w:p>
    <w:p>
      <w:pPr>
        <w:spacing w:line="360" w:lineRule="auto"/>
        <w:jc w:val="both"/>
      </w:pPr>
      <w:r>
        <w:t>Социально-демографические факторы для частного вуза критичны. Численность выпускников школ - это, по сути, потенциальный рынок. Сюда же относятся миграционные процессы, общее отношение общества к высшему образованию и престижу профессий, растущий спрос на программы переквалификации (концепция lifelong learning) и запрос на гибкие форматы - онлайн, смешанное обучение.</w:t>
      </w:r>
    </w:p>
    <w:p>
      <w:pPr>
        <w:spacing w:line="360" w:lineRule="auto"/>
        <w:jc w:val="both"/>
      </w:pPr>
      <w:r>
        <w:t>Технологические факторы для университета, делающего ставку на онлайн, особенно важны: дистанционные образовательные технологии (LMS, VR, AR), AI-инструменты в учебном процессе, цифровизация документооборота, развитие EdTech-рынка в целом и вопросы кибербезопасности образовательных платформ.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Источники информации</w:t>
      </w:r>
    </w:p>
    <w:p>
      <w:pPr>
        <w:pStyle w:val="ListNumber"/>
        <w:spacing w:line="360" w:lineRule="auto"/>
        <w:ind w:firstLine="0" w:left="567"/>
      </w:pPr>
      <w:r>
        <w:t>Официальный сайт Университета «Синергия» - synergy.ru.</w:t>
      </w:r>
    </w:p>
    <w:p>
      <w:pPr>
        <w:pStyle w:val="ListNumber"/>
        <w:spacing w:line="360" w:lineRule="auto"/>
        <w:ind w:firstLine="0" w:left="567"/>
      </w:pPr>
      <w:r>
        <w:t>Сведения об образовательной организации, размещённые в специальном разделе официального сайта в соответствии с Постановлением Правительства РФ от 20.10.2021 № 1802.</w:t>
      </w:r>
    </w:p>
    <w:p>
      <w:pPr>
        <w:pStyle w:val="ListNumber"/>
        <w:spacing w:line="360" w:lineRule="auto"/>
        <w:ind w:firstLine="0" w:left="567"/>
      </w:pPr>
      <w:r>
        <w:t>Открытые данные ФНС России (ЕГРЮЛ) и Росстата.</w:t>
      </w:r>
    </w:p>
    <w:p>
      <w:pPr>
        <w:pStyle w:val="ListNumber"/>
        <w:spacing w:line="360" w:lineRule="auto"/>
        <w:ind w:firstLine="0" w:left="567"/>
      </w:pPr>
      <w:r>
        <w:t>Реестры лицензий и аккредитаций Рособрнадзора (isga.obrnadzor.gov.ru).</w:t>
      </w:r>
    </w:p>
    <w:p>
      <w:pPr>
        <w:pStyle w:val="ListNumber"/>
        <w:spacing w:line="360" w:lineRule="auto"/>
        <w:ind w:firstLine="0" w:left="567"/>
      </w:pPr>
      <w:r>
        <w:t>Федеральный закон от 29.12.2012 № 273-ФЗ «Об образовании в Российской Федерации».</w:t>
      </w:r>
    </w:p>
    <w:p>
      <w:pPr>
        <w:pStyle w:val="ListNumber"/>
        <w:spacing w:line="360" w:lineRule="auto"/>
        <w:ind w:firstLine="0" w:left="567"/>
      </w:pPr>
      <w:r>
        <w:t>Гражданский кодекс Российской Федерации (часть первая).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Полывянный Александр Михайлович</dc:creator>
  <cp:keywords/>
  <dc:description/>
  <cp:lastModifiedBy>Полывянный Александр Михайлович</cp:lastModifiedBy>
  <cp:revision>4</cp:revision>
  <dcterms:created xsi:type="dcterms:W3CDTF">2026-04-27T09:10:00Z</dcterms:created>
  <dcterms:modified xsi:type="dcterms:W3CDTF">2026-04-29T18:25:00Z</dcterms:modified>
  <cp:category/>
</cp:coreProperties>
</file>