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23059" w:rsidRDefault="00000000" w14:paraId="0BF7357F" w14:textId="77777777">
      <w:pPr>
        <w:jc w:val="center"/>
        <w:rPr>
          <w:b/>
        </w:rPr>
      </w:pPr>
      <w:r>
        <w:rPr>
          <w:b/>
        </w:rPr>
        <w:t>CR/NC Policy FAQs for Advisors</w:t>
      </w:r>
    </w:p>
    <w:p w:rsidR="00E23059" w:rsidRDefault="00000000" w14:paraId="25CC0D8C" w14:textId="77777777">
      <w:pPr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C07FFD" wp14:editId="71FAD729">
                <wp:simplePos x="0" y="0"/>
                <wp:positionH relativeFrom="column">
                  <wp:posOffset>685800</wp:posOffset>
                </wp:positionH>
                <wp:positionV relativeFrom="paragraph">
                  <wp:posOffset>190500</wp:posOffset>
                </wp:positionV>
                <wp:extent cx="462534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3330" y="3780000"/>
                          <a:ext cx="46253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044D111A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190500</wp:posOffset>
                </wp:positionV>
                <wp:extent cx="4625340" cy="12700"/>
                <wp:effectExtent l="0" t="0" r="0" b="0"/>
                <wp:wrapNone/>
                <wp:docPr id="208056379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5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3059" w:rsidRDefault="00000000" w14:paraId="2030877B" w14:textId="77777777">
      <w:pPr>
        <w:spacing w:line="240" w:lineRule="auto"/>
        <w:jc w:val="center"/>
      </w:pPr>
      <w:r>
        <w:t>The FAQs are prepared for advisors who will be reviewing students’ CR/NC requests.</w:t>
      </w:r>
    </w:p>
    <w:p w:rsidR="00E23059" w:rsidRDefault="00000000" w14:paraId="00CA4870" w14:textId="77777777">
      <w:pPr>
        <w:spacing w:line="240" w:lineRule="auto"/>
        <w:jc w:val="center"/>
      </w:pPr>
      <w:r>
        <w:t>All the policies below are subject to change if UG Bulletin is updated.</w:t>
      </w:r>
    </w:p>
    <w:p w:rsidR="00E23059" w:rsidRDefault="00000000" w14:paraId="6B49A07D" w14:textId="77777777">
      <w:pPr>
        <w:jc w:val="center"/>
        <w:rPr>
          <w:color w:val="1F4E7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F1D4052" wp14:editId="60397084">
                <wp:simplePos x="0" y="0"/>
                <wp:positionH relativeFrom="column">
                  <wp:posOffset>965200</wp:posOffset>
                </wp:positionH>
                <wp:positionV relativeFrom="paragraph">
                  <wp:posOffset>25400</wp:posOffset>
                </wp:positionV>
                <wp:extent cx="39243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383850" y="3776190"/>
                          <a:ext cx="392430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056E4ACA" wp14:editId="7777777">
                <wp:simplePos x="0" y="0"/>
                <wp:positionH relativeFrom="column">
                  <wp:posOffset>965200</wp:posOffset>
                </wp:positionH>
                <wp:positionV relativeFrom="paragraph">
                  <wp:posOffset>25400</wp:posOffset>
                </wp:positionV>
                <wp:extent cx="3924300" cy="12700"/>
                <wp:effectExtent l="0" t="0" r="0" b="0"/>
                <wp:wrapNone/>
                <wp:docPr id="159932467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3059" w:rsidRDefault="00000000" w14:paraId="029ED746" w14:textId="77777777">
      <w:pPr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Q: What are the total CR/NC credits and the deadlines for students requesting it? </w:t>
      </w:r>
    </w:p>
    <w:tbl>
      <w:tblPr>
        <w:tblStyle w:val="a"/>
        <w:tblW w:w="8460" w:type="dxa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3293"/>
        <w:gridCol w:w="3748"/>
      </w:tblGrid>
      <w:tr w:rsidR="00E23059" w14:paraId="2AB80133" w14:textId="77777777">
        <w:trPr>
          <w:trHeight w:val="199"/>
        </w:trPr>
        <w:tc>
          <w:tcPr>
            <w:tcW w:w="1419" w:type="dxa"/>
          </w:tcPr>
          <w:p w:rsidR="00E23059" w:rsidRDefault="00E23059" w14:paraId="22B53AD3" w14:textId="77777777">
            <w:pPr>
              <w:rPr>
                <w:b/>
              </w:rPr>
            </w:pPr>
          </w:p>
        </w:tc>
        <w:tc>
          <w:tcPr>
            <w:tcW w:w="3293" w:type="dxa"/>
          </w:tcPr>
          <w:p w:rsidR="00E23059" w:rsidRDefault="00000000" w14:paraId="1D9E7272" w14:textId="77777777">
            <w:pPr>
              <w:rPr>
                <w:b/>
              </w:rPr>
            </w:pPr>
            <w:r>
              <w:rPr>
                <w:b/>
              </w:rPr>
              <w:t>Total CR/NC credit</w:t>
            </w:r>
          </w:p>
        </w:tc>
        <w:tc>
          <w:tcPr>
            <w:tcW w:w="3748" w:type="dxa"/>
          </w:tcPr>
          <w:p w:rsidR="00E23059" w:rsidRDefault="00000000" w14:paraId="629935F6" w14:textId="77777777">
            <w:pPr>
              <w:rPr>
                <w:b/>
              </w:rPr>
            </w:pPr>
            <w:r>
              <w:rPr>
                <w:b/>
              </w:rPr>
              <w:t>Deadline to apply</w:t>
            </w:r>
          </w:p>
        </w:tc>
      </w:tr>
      <w:tr w:rsidR="00E23059" w14:paraId="0B2F70BD" w14:textId="77777777">
        <w:trPr>
          <w:trHeight w:val="707"/>
        </w:trPr>
        <w:tc>
          <w:tcPr>
            <w:tcW w:w="1419" w:type="dxa"/>
          </w:tcPr>
          <w:p w:rsidR="00E23059" w:rsidRDefault="00000000" w14:paraId="7012CB67" w14:textId="77777777">
            <w:r>
              <w:t xml:space="preserve">Class of 2023 </w:t>
            </w:r>
          </w:p>
        </w:tc>
        <w:tc>
          <w:tcPr>
            <w:tcW w:w="3293" w:type="dxa"/>
          </w:tcPr>
          <w:p w:rsidR="00E23059" w:rsidRDefault="00000000" w14:paraId="1C12325F" w14:textId="77777777">
            <w:r>
              <w:t xml:space="preserve">Maximum 28 credits [16 standard + 12 additional in SP20, FA20, SP21], with </w:t>
            </w:r>
            <w:r>
              <w:rPr>
                <w:b/>
              </w:rPr>
              <w:t>4 credits/term.</w:t>
            </w:r>
            <w:r>
              <w:t xml:space="preserve"> </w:t>
            </w:r>
          </w:p>
          <w:p w:rsidR="00E23059" w:rsidRDefault="00E23059" w14:paraId="0123150C" w14:textId="77777777"/>
        </w:tc>
        <w:tc>
          <w:tcPr>
            <w:tcW w:w="3748" w:type="dxa"/>
            <w:vMerge w:val="restart"/>
          </w:tcPr>
          <w:p w:rsidR="00E23059" w:rsidRDefault="00000000" w14:paraId="39EB191E" w14:textId="77777777">
            <w:pPr>
              <w:rPr>
                <w:i/>
              </w:rPr>
            </w:pPr>
            <w:r>
              <w:t xml:space="preserve">Until the end of Drop/Add of the first session of the immediate next term </w:t>
            </w:r>
            <w:r>
              <w:rPr>
                <w:b/>
                <w:i/>
              </w:rPr>
              <w:t>[after the grade was posted], except</w:t>
            </w:r>
            <w:r>
              <w:rPr>
                <w:i/>
              </w:rPr>
              <w:t xml:space="preserve"> the student in graduating term, who must elect to change the grading basis within 24 hours after grades are posted.</w:t>
            </w:r>
          </w:p>
        </w:tc>
      </w:tr>
      <w:tr w:rsidR="00E23059" w14:paraId="666F648F" w14:textId="77777777">
        <w:trPr>
          <w:trHeight w:val="476"/>
        </w:trPr>
        <w:tc>
          <w:tcPr>
            <w:tcW w:w="1419" w:type="dxa"/>
          </w:tcPr>
          <w:p w:rsidR="00E23059" w:rsidRDefault="00000000" w14:paraId="3604C3A0" w14:textId="77777777">
            <w:r>
              <w:t>Class of 2024</w:t>
            </w:r>
          </w:p>
        </w:tc>
        <w:tc>
          <w:tcPr>
            <w:tcW w:w="3293" w:type="dxa"/>
          </w:tcPr>
          <w:p w:rsidR="00E23059" w:rsidRDefault="00000000" w14:paraId="6FD1971B" w14:textId="77777777">
            <w:pPr>
              <w:rPr>
                <w:b/>
              </w:rPr>
            </w:pPr>
            <w:r>
              <w:t xml:space="preserve">Maximum 24 credits [16 standard + 8 additional in FA20, SP21], with </w:t>
            </w:r>
            <w:r>
              <w:rPr>
                <w:b/>
              </w:rPr>
              <w:t>4 credits/term.</w:t>
            </w:r>
          </w:p>
          <w:p w:rsidR="00E23059" w:rsidRDefault="00E23059" w14:paraId="569ED9AC" w14:textId="77777777"/>
        </w:tc>
        <w:tc>
          <w:tcPr>
            <w:tcW w:w="3748" w:type="dxa"/>
            <w:vMerge/>
          </w:tcPr>
          <w:p w:rsidR="00E23059" w:rsidRDefault="00E23059" w14:paraId="271186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E23059" w14:paraId="44F1917E" w14:textId="77777777">
        <w:trPr>
          <w:trHeight w:val="1151"/>
        </w:trPr>
        <w:tc>
          <w:tcPr>
            <w:tcW w:w="1419" w:type="dxa"/>
          </w:tcPr>
          <w:p w:rsidR="00E23059" w:rsidRDefault="00000000" w14:paraId="5A71BC75" w14:textId="77777777">
            <w:r>
              <w:t>Class of 2025 &amp; beyond</w:t>
            </w:r>
          </w:p>
        </w:tc>
        <w:tc>
          <w:tcPr>
            <w:tcW w:w="3293" w:type="dxa"/>
          </w:tcPr>
          <w:p w:rsidR="00E23059" w:rsidRDefault="00000000" w14:paraId="5857ADAB" w14:textId="77777777">
            <w:r>
              <w:t xml:space="preserve">Total 16 credits, with </w:t>
            </w:r>
            <w:r>
              <w:rPr>
                <w:b/>
              </w:rPr>
              <w:t xml:space="preserve">4 credits/session. </w:t>
            </w:r>
          </w:p>
        </w:tc>
        <w:tc>
          <w:tcPr>
            <w:tcW w:w="3748" w:type="dxa"/>
          </w:tcPr>
          <w:p w:rsidR="00E23059" w:rsidRDefault="00000000" w14:paraId="36AE58CE" w14:textId="77777777">
            <w:r>
              <w:t>Until the course withdrawal deadline of the session that the student takes the course</w:t>
            </w:r>
          </w:p>
          <w:p w:rsidR="00E23059" w:rsidRDefault="00000000" w14:paraId="5991AEF3" w14:textId="77777777">
            <w:pPr>
              <w:rPr>
                <w:b/>
                <w:i/>
              </w:rPr>
            </w:pPr>
            <w:r>
              <w:rPr>
                <w:b/>
                <w:i/>
              </w:rPr>
              <w:t>[before the grade was posted]</w:t>
            </w:r>
          </w:p>
        </w:tc>
      </w:tr>
    </w:tbl>
    <w:p w:rsidR="00E23059" w:rsidRDefault="00E23059" w14:paraId="02677A3A" w14:textId="77777777">
      <w:pPr>
        <w:rPr>
          <w:b/>
        </w:rPr>
      </w:pPr>
    </w:p>
    <w:p w:rsidR="00E23059" w:rsidRDefault="00000000" w14:paraId="56C8A250" w14:textId="77777777">
      <w:pPr>
        <w:rPr>
          <w:color w:val="2E75B5"/>
          <w:sz w:val="24"/>
          <w:szCs w:val="24"/>
        </w:rPr>
      </w:pPr>
      <w:r w:rsidRPr="771B428D" w:rsidR="771B428D">
        <w:rPr>
          <w:color w:val="2E75B5"/>
          <w:sz w:val="24"/>
          <w:szCs w:val="24"/>
        </w:rPr>
        <w:t>Q: Can students CR/NC any courses?</w:t>
      </w:r>
    </w:p>
    <w:p w:rsidR="771B428D" w:rsidP="771B428D" w:rsidRDefault="771B428D" w14:paraId="666633BB" w14:textId="50292A20">
      <w:pPr>
        <w:pStyle w:val="Normal"/>
      </w:pPr>
      <w:r w:rsidR="771B428D">
        <w:rPr/>
        <w:t>Any student currently on academic probation may take no more than 4 credits as CR/NC grading basis during their probation term.</w:t>
      </w:r>
    </w:p>
    <w:p w:rsidR="00E23059" w:rsidRDefault="00000000" w14:paraId="6A07CD73" w14:textId="77777777">
      <w:pPr>
        <w:ind w:firstLine="720"/>
        <w:rPr>
          <w:b/>
        </w:rPr>
      </w:pPr>
      <w:r>
        <w:rPr>
          <w:b/>
        </w:rPr>
        <w:t>Class of 2023 and 2024</w:t>
      </w:r>
    </w:p>
    <w:p w:rsidR="00E23059" w:rsidRDefault="00000000" w14:paraId="4861A55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Students must be enrolled in no less than a normal load of 16 credits to be approved to change to CR/NC.</w:t>
      </w:r>
    </w:p>
    <w:p w:rsidR="00E23059" w:rsidRDefault="00000000" w14:paraId="65100DE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In students’ first year, </w:t>
      </w:r>
      <w:r>
        <w:t>students</w:t>
      </w:r>
      <w:r>
        <w:rPr>
          <w:rFonts w:eastAsia="Calibri"/>
          <w:color w:val="000000"/>
        </w:rPr>
        <w:t xml:space="preserve"> can CR/NC any course. </w:t>
      </w:r>
    </w:p>
    <w:p w:rsidR="00E23059" w:rsidP="57A59959" w:rsidRDefault="00000000" w14:paraId="33F181CD" w14:textId="4E3946C5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eastAsia="Calibri"/>
          <w:color w:val="000000" w:themeColor="text1" w:themeTint="FF" w:themeShade="FF"/>
        </w:rPr>
      </w:pPr>
      <w:r w:rsidRPr="57A59959" w:rsidR="57A59959">
        <w:rPr>
          <w:rFonts w:eastAsia="Calibri"/>
          <w:color w:val="000000" w:themeColor="text1" w:themeTint="FF" w:themeShade="FF"/>
        </w:rPr>
        <w:t>Starting from the second year, students should not CR/NC any major courses (foundations, disciplinary, interdisciplinary, capstone courses, and including prerequisites). Because courses taken on CR/NC basis from the 3</w:t>
      </w:r>
      <w:r w:rsidRPr="57A59959" w:rsidR="57A59959">
        <w:rPr>
          <w:rFonts w:eastAsia="Calibri"/>
          <w:color w:val="000000" w:themeColor="text1" w:themeTint="FF" w:themeShade="FF"/>
          <w:vertAlign w:val="superscript"/>
        </w:rPr>
        <w:t>rd</w:t>
      </w:r>
      <w:r w:rsidRPr="57A59959" w:rsidR="57A59959">
        <w:rPr>
          <w:rFonts w:eastAsia="Calibri"/>
          <w:color w:val="000000" w:themeColor="text1" w:themeTint="FF" w:themeShade="FF"/>
        </w:rPr>
        <w:t xml:space="preserve"> term onward, do NOT count toward general education requirements or any other degree requirements. In addition, 8 credits of D grades count towards 136 total. </w:t>
      </w:r>
    </w:p>
    <w:p w:rsidR="57A59959" w:rsidP="57A59959" w:rsidRDefault="57A59959" w14:paraId="1815ABB2" w14:textId="4CA8F369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eastAsia="Calibri"/>
          <w:color w:val="000000" w:themeColor="text1" w:themeTint="FF" w:themeShade="FF"/>
        </w:rPr>
      </w:pPr>
      <w:r w:rsidRPr="57A59959" w:rsidR="57A59959">
        <w:rPr>
          <w:rFonts w:eastAsia="Calibri"/>
          <w:color w:val="000000" w:themeColor="text1" w:themeTint="FF" w:themeShade="FF"/>
        </w:rPr>
        <w:t>General education courses include Common Core, Distribution Requirements, Quantitative Reasoning, Language Courses</w:t>
      </w:r>
    </w:p>
    <w:p w:rsidR="00E23059" w:rsidRDefault="00E23059" w14:paraId="530D622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:rsidR="00E23059" w:rsidRDefault="00000000" w14:paraId="437A387F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rFonts w:eastAsia="Calibri"/>
          <w:b/>
          <w:color w:val="000000"/>
        </w:rPr>
        <w:t>Class of 2025 and beyond</w:t>
      </w:r>
    </w:p>
    <w:p w:rsidR="00E23059" w:rsidRDefault="00000000" w14:paraId="42D635EE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First year students in the first session of their first term must be enrolled in no less than 6 credits. In all subsequent sessions, must enroll in no less than 8 credits. </w:t>
      </w:r>
    </w:p>
    <w:p w:rsidR="00E23059" w:rsidRDefault="00000000" w14:paraId="2EDFC47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In student’s first year, student can CR/NC any course </w:t>
      </w:r>
      <w:r>
        <w:rPr>
          <w:rFonts w:eastAsia="Calibri"/>
          <w:b/>
          <w:color w:val="000000"/>
        </w:rPr>
        <w:t>except GCHINA 101</w:t>
      </w:r>
    </w:p>
    <w:p w:rsidR="00E23059" w:rsidP="57A59959" w:rsidRDefault="00000000" w14:paraId="59814E11" w14:textId="751B1B1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eastAsia="Calibri"/>
          <w:color w:val="000000" w:themeColor="text1" w:themeTint="FF" w:themeShade="FF"/>
        </w:rPr>
      </w:pPr>
      <w:r w:rsidRPr="57A59959" w:rsidR="57A59959">
        <w:rPr>
          <w:rFonts w:eastAsia="Calibri"/>
          <w:color w:val="000000" w:themeColor="text1" w:themeTint="FF" w:themeShade="FF"/>
        </w:rPr>
        <w:t>Starting from the second year, students should not CR/NC any major courses (foundations, disciplinary, interdisciplinary, capstone courses, and including prerequisites). Because courses taken on CR/NC basis from the 3</w:t>
      </w:r>
      <w:r w:rsidRPr="57A59959" w:rsidR="57A59959">
        <w:rPr>
          <w:rFonts w:eastAsia="Calibri"/>
          <w:color w:val="000000" w:themeColor="text1" w:themeTint="FF" w:themeShade="FF"/>
          <w:vertAlign w:val="superscript"/>
        </w:rPr>
        <w:t>rd</w:t>
      </w:r>
      <w:r w:rsidRPr="57A59959" w:rsidR="57A59959">
        <w:rPr>
          <w:rFonts w:eastAsia="Calibri"/>
          <w:color w:val="000000" w:themeColor="text1" w:themeTint="FF" w:themeShade="FF"/>
        </w:rPr>
        <w:t xml:space="preserve"> term onward, do NOT count toward general education requirements or any other degree requirements. In addition, 8 credits of D grades count towards 136 total. </w:t>
      </w:r>
    </w:p>
    <w:p w:rsidR="57A59959" w:rsidP="57A59959" w:rsidRDefault="57A59959" w14:paraId="6ABD588A" w14:textId="3E20CE9D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eastAsia="Calibri"/>
          <w:color w:val="000000" w:themeColor="text1" w:themeTint="FF" w:themeShade="FF"/>
        </w:rPr>
      </w:pPr>
      <w:r w:rsidRPr="57A59959" w:rsidR="57A59959">
        <w:rPr>
          <w:rFonts w:eastAsia="Calibri"/>
          <w:color w:val="000000" w:themeColor="text1" w:themeTint="FF" w:themeShade="FF"/>
        </w:rPr>
        <w:t>General education courses include Common Core, Distribution Requirements, Quantitative Reasoning, Language Courses.</w:t>
      </w:r>
    </w:p>
    <w:p w:rsidR="57A59959" w:rsidP="57A59959" w:rsidRDefault="57A59959" w14:paraId="1F2F0CA1" w14:textId="535E4601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eastAsia="Calibri"/>
          <w:color w:val="000000" w:themeColor="text1" w:themeTint="FF" w:themeShade="FF"/>
        </w:rPr>
      </w:pPr>
      <w:r w:rsidRPr="57A59959" w:rsidR="57A59959">
        <w:rPr>
          <w:rFonts w:eastAsia="Calibri"/>
          <w:color w:val="000000" w:themeColor="text1" w:themeTint="FF" w:themeShade="FF"/>
        </w:rPr>
        <w:t xml:space="preserve">The 2-credit writing course is required for </w:t>
      </w:r>
      <w:proofErr w:type="gramStart"/>
      <w:r w:rsidRPr="57A59959" w:rsidR="57A59959">
        <w:rPr>
          <w:rFonts w:eastAsia="Calibri"/>
          <w:color w:val="000000" w:themeColor="text1" w:themeTint="FF" w:themeShade="FF"/>
        </w:rPr>
        <w:t>students</w:t>
      </w:r>
      <w:proofErr w:type="gramEnd"/>
      <w:r w:rsidRPr="57A59959" w:rsidR="57A59959">
        <w:rPr>
          <w:rFonts w:eastAsia="Calibri"/>
          <w:color w:val="000000" w:themeColor="text1" w:themeTint="FF" w:themeShade="FF"/>
        </w:rPr>
        <w:t xml:space="preserve"> class of 2026 and beyond. This course is also a general education requirement.</w:t>
      </w:r>
    </w:p>
    <w:p w:rsidR="00E23059" w:rsidRDefault="00000000" w14:paraId="509CC288" w14:textId="7777777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2E75B5"/>
          <w:sz w:val="24"/>
          <w:szCs w:val="24"/>
        </w:rPr>
        <w:t>Q: Can courses with CR grades count towards 136 credit requirements?</w:t>
      </w:r>
    </w:p>
    <w:p w:rsidR="00E23059" w:rsidRDefault="00000000" w14:paraId="28DFCBE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Students in any year, most courses in which a CR is earned do count toward the requirement of 136 credits and term credit requirements. </w:t>
      </w:r>
    </w:p>
    <w:p w:rsidR="00E23059" w:rsidRDefault="00000000" w14:paraId="2C9D1C8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However, no more than 2 credits of PE courses, which are typically only offered in CR/NC, may count towards the 136 credits requirements. PE courses are NOT counted towards the normal 16 CR/NC credit limitations. </w:t>
      </w:r>
    </w:p>
    <w:p w:rsidR="00E23059" w:rsidRDefault="00000000" w14:paraId="225B495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Q: Can students CR/NC repeated courses?</w:t>
      </w:r>
    </w:p>
    <w:p w:rsidR="00E23059" w:rsidRDefault="00000000" w14:paraId="23189B1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Students may NOT use a CR/NC option on a course being taken for a second or more time. </w:t>
      </w:r>
    </w:p>
    <w:p w:rsidR="00E23059" w:rsidRDefault="00000000" w14:paraId="0201B192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You can review the students’ course records in “Course History” </w:t>
      </w:r>
      <w:r>
        <w:t>on the “Student</w:t>
      </w:r>
      <w:r>
        <w:rPr>
          <w:rFonts w:eastAsia="Calibri"/>
          <w:color w:val="000000"/>
        </w:rPr>
        <w:t xml:space="preserve"> Center</w:t>
      </w:r>
      <w:r>
        <w:t xml:space="preserve">” </w:t>
      </w:r>
      <w:r>
        <w:rPr>
          <w:rFonts w:eastAsia="Calibri"/>
          <w:color w:val="000000"/>
        </w:rPr>
        <w:t xml:space="preserve">page in DKUHub. </w:t>
      </w:r>
    </w:p>
    <w:p w:rsidR="00E23059" w:rsidRDefault="00000000" w14:paraId="1605F214" w14:textId="77777777">
      <w:pPr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Q: Does CR/NC factor into grade point average?</w:t>
      </w:r>
    </w:p>
    <w:p w:rsidR="00E23059" w:rsidRDefault="00000000" w14:paraId="7D249A0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color w:val="000000"/>
        </w:rPr>
        <w:t>Neither CR nor NC will be factored into grade point average.</w:t>
      </w:r>
    </w:p>
    <w:p w:rsidR="00E23059" w:rsidRDefault="00000000" w14:paraId="0036925C" w14:textId="77777777">
      <w:pPr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Q: Will students be eligible for Dean’s list with CR/NC courses? </w:t>
      </w:r>
    </w:p>
    <w:p w:rsidR="00E23059" w:rsidRDefault="00000000" w14:paraId="4899785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eastAsia="Calibri"/>
          <w:color w:val="000000"/>
        </w:rPr>
        <w:t xml:space="preserve">CR </w:t>
      </w:r>
      <w:r>
        <w:t>may be eligible</w:t>
      </w:r>
      <w:r>
        <w:rPr>
          <w:rFonts w:eastAsia="Calibri"/>
          <w:color w:val="000000"/>
        </w:rPr>
        <w:t xml:space="preserve"> for the Dean’s list if student</w:t>
      </w:r>
      <w:r>
        <w:t>s</w:t>
      </w:r>
      <w:r>
        <w:rPr>
          <w:rFonts w:eastAsia="Calibri"/>
          <w:color w:val="000000"/>
        </w:rPr>
        <w:t xml:space="preserve"> completed at least 16 credits for a regularly assigned grade. </w:t>
      </w:r>
    </w:p>
    <w:p w:rsidR="00E23059" w:rsidRDefault="00000000" w14:paraId="42AB505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eastAsia="Calibri"/>
          <w:color w:val="000000"/>
        </w:rPr>
        <w:t xml:space="preserve">NC will receive no credit for the course and will be ineligible for the Dean’s list in that term. Students may be subject to academic warning or may take extra </w:t>
      </w:r>
      <w:r>
        <w:t>courses</w:t>
      </w:r>
      <w:r>
        <w:rPr>
          <w:rFonts w:eastAsia="Calibri"/>
          <w:color w:val="000000"/>
        </w:rPr>
        <w:t xml:space="preserve"> at later terms to </w:t>
      </w:r>
      <w:r>
        <w:t>graduate</w:t>
      </w:r>
      <w:r>
        <w:rPr>
          <w:rFonts w:eastAsia="Calibri"/>
          <w:color w:val="000000"/>
        </w:rPr>
        <w:t xml:space="preserve"> on time.</w:t>
      </w:r>
      <w:r>
        <w:rPr>
          <w:rFonts w:eastAsia="Calibri"/>
          <w:i/>
          <w:color w:val="000000"/>
        </w:rPr>
        <w:t xml:space="preserve"> </w:t>
      </w:r>
    </w:p>
    <w:p w:rsidR="00E23059" w:rsidRDefault="00000000" w14:paraId="4135150F" w14:textId="77777777">
      <w:pPr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Q: Can CR/NC change back to the original letter grade?</w:t>
      </w:r>
    </w:p>
    <w:p w:rsidR="00E23059" w:rsidRDefault="00000000" w14:paraId="2C75ADED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r>
        <w:rPr>
          <w:rFonts w:eastAsia="Calibri"/>
          <w:color w:val="000000"/>
        </w:rPr>
        <w:t>Once a student has notified the registrar to change the grading basis to CR/NC, it may NOT be changed back to a letter grade. H</w:t>
      </w:r>
      <w:r>
        <w:t xml:space="preserve">owever, the CR’ed course taken in 3rd semester may change back to letter grade after petitioning with the UG Studies if it’s a major course after declaring a major. </w:t>
      </w:r>
    </w:p>
    <w:p w:rsidR="00E23059" w:rsidRDefault="00000000" w14:paraId="399E2FE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color w:val="000000"/>
        </w:rPr>
        <w:t xml:space="preserve">Need to be mindful before approving the pre – requisites of major courses and major courses, which may influence students’ progress towards degree. </w:t>
      </w:r>
    </w:p>
    <w:p w:rsidR="00E23059" w:rsidRDefault="00000000" w14:paraId="04A03305" w14:textId="77777777">
      <w:pPr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Q: Are Duke Satisfactory/Unsatisfactory courses subject to DKU CR/NC policy?</w:t>
      </w:r>
    </w:p>
    <w:p w:rsidR="00E23059" w:rsidRDefault="00000000" w14:paraId="10D1FD98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Courses taken at Duke on S/U basis will transfer back to DKU </w:t>
      </w:r>
      <w:r>
        <w:t>using the CR</w:t>
      </w:r>
      <w:r>
        <w:rPr>
          <w:rFonts w:eastAsia="Calibri"/>
          <w:color w:val="000000"/>
        </w:rPr>
        <w:t xml:space="preserve">/NC system. </w:t>
      </w:r>
    </w:p>
    <w:p w:rsidRPr="00221619" w:rsidR="00E23059" w:rsidRDefault="00000000" w14:paraId="62FA5B3A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And such courses will be subject to all DKU CR/NC policy, including restrictions on the number of credits and which courses can be taken on this basis. </w:t>
      </w:r>
    </w:p>
    <w:p w:rsidRPr="00221619" w:rsidR="00221619" w:rsidP="00221619" w:rsidRDefault="00221619" w14:paraId="7305B017" w14:textId="273C060A">
      <w:pPr>
        <w:rPr>
          <w:color w:val="2E75B5"/>
          <w:sz w:val="24"/>
          <w:szCs w:val="24"/>
        </w:rPr>
      </w:pPr>
      <w:r w:rsidRPr="00221619">
        <w:rPr>
          <w:rFonts w:hint="eastAsia"/>
          <w:color w:val="2E75B5"/>
          <w:sz w:val="24"/>
          <w:szCs w:val="24"/>
        </w:rPr>
        <w:t>Q:</w:t>
      </w:r>
      <w:r w:rsidRPr="00221619">
        <w:rPr>
          <w:color w:val="2E75B5"/>
          <w:sz w:val="24"/>
          <w:szCs w:val="24"/>
        </w:rPr>
        <w:t xml:space="preserve"> Can student CR/NC Duke</w:t>
      </w:r>
      <w:r w:rsidR="004C0AB0">
        <w:rPr>
          <w:color w:val="2E75B5"/>
          <w:sz w:val="24"/>
          <w:szCs w:val="24"/>
        </w:rPr>
        <w:t xml:space="preserve"> courses that have</w:t>
      </w:r>
      <w:r w:rsidRPr="00221619">
        <w:rPr>
          <w:color w:val="2E75B5"/>
          <w:sz w:val="24"/>
          <w:szCs w:val="24"/>
        </w:rPr>
        <w:t xml:space="preserve"> letter grades while studying at Duke?</w:t>
      </w:r>
    </w:p>
    <w:p w:rsidRPr="00582B23" w:rsidR="00E23059" w:rsidP="00582B23" w:rsidRDefault="00582B23" w14:paraId="398AA3F3" w14:textId="26FBBC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While at Duke, s</w:t>
      </w:r>
      <w:r w:rsidRPr="00F02334" w:rsidR="00221619">
        <w:rPr>
          <w:rFonts w:eastAsia="Calibri"/>
          <w:color w:val="000000"/>
        </w:rPr>
        <w:t xml:space="preserve">tudents can request CR/NC to Duke </w:t>
      </w:r>
      <w:r>
        <w:rPr>
          <w:rFonts w:eastAsia="Calibri"/>
          <w:color w:val="000000"/>
        </w:rPr>
        <w:t xml:space="preserve">courses that have </w:t>
      </w:r>
      <w:r w:rsidRPr="00F02334" w:rsidR="00221619">
        <w:rPr>
          <w:rFonts w:eastAsia="Calibri"/>
          <w:color w:val="000000"/>
        </w:rPr>
        <w:t xml:space="preserve">letter grades, by submitting the request to Academic Dean Dr. Liguo Zhang, </w:t>
      </w:r>
      <w:hyperlink w:history="1" r:id="rId9">
        <w:r w:rsidRPr="00F02334" w:rsidR="00221619">
          <w:rPr>
            <w:rStyle w:val="Hyperlink"/>
            <w:rFonts w:eastAsia="Calibri"/>
          </w:rPr>
          <w:t>Liguo.zhang@duke.edu.cn</w:t>
        </w:r>
      </w:hyperlink>
      <w:r w:rsidRPr="00F02334" w:rsidR="00221619">
        <w:rPr>
          <w:rFonts w:eastAsia="Calibri"/>
          <w:color w:val="000000"/>
        </w:rPr>
        <w:t xml:space="preserve">, by 11:59pm on the </w:t>
      </w:r>
      <w:hyperlink w:history="1" r:id="rId10">
        <w:r w:rsidRPr="00582B23">
          <w:rPr>
            <w:rStyle w:val="Hyperlink"/>
            <w:rFonts w:eastAsia="Calibri"/>
          </w:rPr>
          <w:t xml:space="preserve">Duke </w:t>
        </w:r>
        <w:r w:rsidRPr="00582B23" w:rsidR="00221619">
          <w:rPr>
            <w:rStyle w:val="Hyperlink"/>
            <w:rFonts w:eastAsia="Calibri"/>
          </w:rPr>
          <w:t>withdrawal deadline.</w:t>
        </w:r>
      </w:hyperlink>
      <w:r w:rsidRPr="00F02334" w:rsidR="00221619">
        <w:rPr>
          <w:rFonts w:eastAsia="Calibri"/>
          <w:color w:val="000000"/>
        </w:rPr>
        <w:t xml:space="preserve"> </w:t>
      </w:r>
    </w:p>
    <w:sectPr w:rsidRPr="00582B23" w:rsidR="00E23059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21E" w:rsidRDefault="00EA321E" w14:paraId="78E948A2" w14:textId="77777777">
      <w:pPr>
        <w:spacing w:after="0" w:line="240" w:lineRule="auto"/>
      </w:pPr>
      <w:r>
        <w:separator/>
      </w:r>
    </w:p>
  </w:endnote>
  <w:endnote w:type="continuationSeparator" w:id="0">
    <w:p w:rsidR="00EA321E" w:rsidRDefault="00EA321E" w14:paraId="627DB1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059" w:rsidRDefault="00000000" w14:paraId="23240EBE" w14:textId="77777777">
    <w:pPr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 w:rsidR="008C07CA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eastAsia="Calibri"/>
        <w:b/>
        <w:color w:val="000000"/>
      </w:rPr>
      <w:t xml:space="preserve"> | </w:t>
    </w:r>
    <w:r>
      <w:rPr>
        <w:rFonts w:eastAsia="Calibri"/>
        <w:color w:val="7F7F7F"/>
      </w:rPr>
      <w:t>Page</w:t>
    </w:r>
  </w:p>
  <w:p w:rsidR="00E23059" w:rsidRDefault="00E23059" w14:paraId="3956638B" w14:textId="77777777">
    <w:pPr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E23059" w:rsidRDefault="00E23059" w14:paraId="4235A12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21E" w:rsidRDefault="00EA321E" w14:paraId="6B108195" w14:textId="77777777">
      <w:pPr>
        <w:spacing w:after="0" w:line="240" w:lineRule="auto"/>
      </w:pPr>
      <w:r>
        <w:separator/>
      </w:r>
    </w:p>
  </w:footnote>
  <w:footnote w:type="continuationSeparator" w:id="0">
    <w:p w:rsidR="00EA321E" w:rsidRDefault="00EA321E" w14:paraId="2FF8E55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23059" w:rsidP="771B428D" w:rsidRDefault="00000000" w14:textId="6781A73A" w14:paraId="5C95452C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inline distT="114300" distB="114300" distL="114300" distR="114300" wp14:anchorId="1F951AED" wp14:editId="3636C73F">
          <wp:extent cx="2252663" cy="49530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663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Calibri"/>
        <w:color w:val="000000"/>
      </w:rPr>
      <w:tab/>
    </w:r>
    <w:r>
      <w:rPr>
        <w:rFonts w:eastAsia="Calibri"/>
        <w:color w:val="000000"/>
      </w:rPr>
      <w:tab/>
    </w:r>
    <w:r>
      <w:rPr>
        <w:rFonts w:eastAsia="Calibri"/>
        <w:color w:val="000000"/>
      </w:rPr>
      <w:t>Last update: 09/</w:t>
    </w:r>
    <w:r w:rsidR="008C07CA">
      <w:rPr>
        <w:color w:val="000000"/>
      </w:rPr>
      <w:t>18</w:t>
    </w:r>
    <w:r>
      <w:rPr>
        <w:rFonts w:eastAsia="Calibri"/>
        <w:color w:val="000000"/>
      </w:rPr>
      <w:t>/2024</w:t>
    </w:r>
  </w:p>
  <w:p w:rsidR="00E23059" w:rsidRDefault="00E23059" w14:paraId="198374BA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B73"/>
    <w:multiLevelType w:val="multilevel"/>
    <w:tmpl w:val="8D3C97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9A534F1"/>
    <w:multiLevelType w:val="multilevel"/>
    <w:tmpl w:val="8D4CF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5079ED"/>
    <w:multiLevelType w:val="multilevel"/>
    <w:tmpl w:val="80B66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557702D1"/>
    <w:multiLevelType w:val="multilevel"/>
    <w:tmpl w:val="6DCEF4D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608223B6"/>
    <w:multiLevelType w:val="hybridMultilevel"/>
    <w:tmpl w:val="892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C346AC"/>
    <w:multiLevelType w:val="multilevel"/>
    <w:tmpl w:val="D9C88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240911110">
    <w:abstractNumId w:val="5"/>
  </w:num>
  <w:num w:numId="2" w16cid:durableId="1358312235">
    <w:abstractNumId w:val="3"/>
  </w:num>
  <w:num w:numId="3" w16cid:durableId="135683044">
    <w:abstractNumId w:val="0"/>
  </w:num>
  <w:num w:numId="4" w16cid:durableId="1353798472">
    <w:abstractNumId w:val="1"/>
  </w:num>
  <w:num w:numId="5" w16cid:durableId="216011874">
    <w:abstractNumId w:val="2"/>
  </w:num>
  <w:num w:numId="6" w16cid:durableId="119912749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59"/>
    <w:rsid w:val="00221619"/>
    <w:rsid w:val="004C0AB0"/>
    <w:rsid w:val="00582B23"/>
    <w:rsid w:val="008C07CA"/>
    <w:rsid w:val="00E23059"/>
    <w:rsid w:val="00EA321E"/>
    <w:rsid w:val="00F02334"/>
    <w:rsid w:val="57A59959"/>
    <w:rsid w:val="771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04FF"/>
  <w15:docId w15:val="{42BE5732-C7CD-4570-81E1-7EEAB28679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SimSun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7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07CA"/>
  </w:style>
  <w:style w:type="paragraph" w:styleId="Footer">
    <w:name w:val="footer"/>
    <w:basedOn w:val="Normal"/>
    <w:link w:val="FooterChar"/>
    <w:uiPriority w:val="99"/>
    <w:unhideWhenUsed/>
    <w:rsid w:val="008C07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07CA"/>
  </w:style>
  <w:style w:type="character" w:styleId="Hyperlink">
    <w:name w:val="Hyperlink"/>
    <w:basedOn w:val="DefaultParagraphFont"/>
    <w:uiPriority w:val="99"/>
    <w:unhideWhenUsed/>
    <w:rsid w:val="002216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yperlink" Target="https://registrar.duke.edu/academic-calendar/current-academic-calendar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Liguo.zhang@duke.edu.cn" TargetMode="Externa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Duke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Arianne Riley</lastModifiedBy>
  <revision>29</revision>
  <dcterms:created xsi:type="dcterms:W3CDTF">2023-05-15T07:26:00.0000000Z</dcterms:created>
  <dcterms:modified xsi:type="dcterms:W3CDTF">2024-09-18T01:56:52.0047519Z</dcterms:modified>
</coreProperties>
</file>