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949A4"/>
    <w:p w14:paraId="2F86CCC9"/>
    <w:p w14:paraId="1D18DF26"/>
    <w:p w14:paraId="4C51298C">
      <w:pPr>
        <w:jc w:val="center"/>
      </w:pPr>
      <w:r>
        <w:rPr>
          <w:b/>
          <w:sz w:val="44"/>
        </w:rPr>
        <w:t>网上书店系统</w:t>
      </w:r>
    </w:p>
    <w:p w14:paraId="07955989">
      <w:pPr>
        <w:jc w:val="center"/>
      </w:pPr>
      <w:r>
        <w:rPr>
          <w:b/>
          <w:sz w:val="56"/>
        </w:rPr>
        <w:t>测试报告</w:t>
      </w:r>
    </w:p>
    <w:p w14:paraId="40D08FE6">
      <w:pPr>
        <w:jc w:val="center"/>
      </w:pPr>
      <w:r>
        <w:rPr>
          <w:b w:val="0"/>
          <w:sz w:val="24"/>
        </w:rPr>
        <w:t>（M1 用户认证 / M4 购物车）</w:t>
      </w:r>
    </w:p>
    <w:p w14:paraId="0B462885"/>
    <w:p w14:paraId="0DE2879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56C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5C8BB3">
            <w:pPr>
              <w:spacing w:after="0" w:line="240" w:lineRule="auto"/>
            </w:pPr>
            <w:r>
              <w:rPr>
                <w:b/>
              </w:rPr>
              <w:t>日</w:t>
            </w:r>
            <w:r>
              <w:rPr>
                <w:rFonts w:hint="eastAsia"/>
                <w:b/>
                <w:lang w:val="en-US" w:eastAsia="zh-CN"/>
              </w:rPr>
              <w:t xml:space="preserve"> </w:t>
            </w:r>
            <w:r>
              <w:rPr>
                <w:b/>
              </w:rPr>
              <w:t>期</w:t>
            </w:r>
          </w:p>
        </w:tc>
        <w:tc>
          <w:tcPr>
            <w:tcW w:w="2160" w:type="dxa"/>
          </w:tcPr>
          <w:p w14:paraId="2117A3DF">
            <w:pPr>
              <w:spacing w:after="0" w:line="240" w:lineRule="auto"/>
            </w:pPr>
            <w:r>
              <w:rPr>
                <w:b/>
              </w:rPr>
              <w:t>版</w:t>
            </w:r>
            <w:r>
              <w:rPr>
                <w:rFonts w:hint="eastAsia"/>
                <w:b/>
                <w:lang w:val="en-US" w:eastAsia="zh-CN"/>
              </w:rPr>
              <w:t xml:space="preserve"> </w:t>
            </w:r>
            <w:r>
              <w:rPr>
                <w:b/>
              </w:rPr>
              <w:t>本</w:t>
            </w:r>
          </w:p>
        </w:tc>
        <w:tc>
          <w:tcPr>
            <w:tcW w:w="2160" w:type="dxa"/>
          </w:tcPr>
          <w:p w14:paraId="79E68243">
            <w:pPr>
              <w:spacing w:after="0" w:line="240" w:lineRule="auto"/>
            </w:pPr>
            <w:r>
              <w:rPr>
                <w:b/>
              </w:rPr>
              <w:t>说</w:t>
            </w:r>
            <w:r>
              <w:rPr>
                <w:rFonts w:hint="eastAsia"/>
                <w:b/>
                <w:lang w:val="en-US" w:eastAsia="zh-CN"/>
              </w:rPr>
              <w:t xml:space="preserve"> </w:t>
            </w:r>
            <w:r>
              <w:rPr>
                <w:b/>
              </w:rPr>
              <w:t>明</w:t>
            </w:r>
          </w:p>
        </w:tc>
        <w:tc>
          <w:tcPr>
            <w:tcW w:w="2160" w:type="dxa"/>
          </w:tcPr>
          <w:p w14:paraId="54A466BA">
            <w:pPr>
              <w:spacing w:after="0" w:line="240" w:lineRule="auto"/>
            </w:pPr>
            <w:r>
              <w:rPr>
                <w:b/>
              </w:rPr>
              <w:t>作</w:t>
            </w:r>
            <w:r>
              <w:rPr>
                <w:rFonts w:hint="eastAsia"/>
                <w:b/>
                <w:lang w:val="en-US" w:eastAsia="zh-CN"/>
              </w:rPr>
              <w:t xml:space="preserve"> </w:t>
            </w:r>
            <w:r>
              <w:rPr>
                <w:b/>
              </w:rPr>
              <w:t>者</w:t>
            </w:r>
          </w:p>
        </w:tc>
      </w:tr>
      <w:tr w14:paraId="513A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8E5A7D">
            <w:pPr>
              <w:spacing w:after="0" w:line="240" w:lineRule="auto"/>
            </w:pPr>
            <w:r>
              <w:t>2026.09.14</w:t>
            </w:r>
          </w:p>
        </w:tc>
        <w:tc>
          <w:tcPr>
            <w:tcW w:w="2160" w:type="dxa"/>
          </w:tcPr>
          <w:p w14:paraId="496253AD">
            <w:pPr>
              <w:spacing w:after="0" w:line="240" w:lineRule="auto"/>
            </w:pPr>
            <w:r>
              <w:t>V1.00</w:t>
            </w:r>
          </w:p>
        </w:tc>
        <w:tc>
          <w:tcPr>
            <w:tcW w:w="2160" w:type="dxa"/>
          </w:tcPr>
          <w:p w14:paraId="3370A8F6">
            <w:pPr>
              <w:spacing w:after="0" w:line="240" w:lineRule="auto"/>
            </w:pPr>
            <w:r>
              <w:t>初稿完成</w:t>
            </w:r>
          </w:p>
        </w:tc>
        <w:tc>
          <w:tcPr>
            <w:tcW w:w="2160" w:type="dxa"/>
          </w:tcPr>
          <w:p w14:paraId="40386ED8">
            <w:pPr>
              <w:spacing w:after="0" w:line="240" w:lineRule="auto"/>
            </w:pPr>
            <w:r>
              <w:t>王尚清</w:t>
            </w:r>
          </w:p>
        </w:tc>
      </w:tr>
      <w:tr w14:paraId="4F09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D1624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60" w:type="dxa"/>
          </w:tcPr>
          <w:p w14:paraId="58A6612E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60" w:type="dxa"/>
          </w:tcPr>
          <w:p w14:paraId="7DFDDCF2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60" w:type="dxa"/>
          </w:tcPr>
          <w:p w14:paraId="316333E0">
            <w:pPr>
              <w:spacing w:after="0" w:line="240" w:lineRule="auto"/>
            </w:pPr>
            <w:r>
              <w:t xml:space="preserve"> </w:t>
            </w:r>
          </w:p>
        </w:tc>
      </w:tr>
      <w:tr w14:paraId="3DA5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89FE47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60" w:type="dxa"/>
          </w:tcPr>
          <w:p w14:paraId="44696122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60" w:type="dxa"/>
          </w:tcPr>
          <w:p w14:paraId="48B0A3CE">
            <w:pPr>
              <w:spacing w:after="0" w:line="240" w:lineRule="auto"/>
            </w:pPr>
            <w:r>
              <w:t xml:space="preserve"> </w:t>
            </w:r>
          </w:p>
        </w:tc>
        <w:tc>
          <w:tcPr>
            <w:tcW w:w="2160" w:type="dxa"/>
          </w:tcPr>
          <w:p w14:paraId="21B0442F">
            <w:pPr>
              <w:spacing w:after="0" w:line="240" w:lineRule="auto"/>
            </w:pPr>
            <w:r>
              <w:t xml:space="preserve"> </w:t>
            </w:r>
          </w:p>
        </w:tc>
      </w:tr>
    </w:tbl>
    <w:p w14:paraId="7285D889">
      <w:r>
        <w:br w:type="page"/>
      </w:r>
    </w:p>
    <w:p w14:paraId="3A9D7F16">
      <w:pPr>
        <w:pStyle w:val="3"/>
        <w:bidi w:val="0"/>
        <w:rPr>
          <w:lang w:val="en-US" w:eastAsia="en-US"/>
        </w:rPr>
      </w:pPr>
      <w:r>
        <w:rPr>
          <w:lang w:val="en-US" w:eastAsia="en-US"/>
        </w:rPr>
        <w:t>1 被测对象概述</w:t>
      </w:r>
    </w:p>
    <w:p w14:paraId="6ED0C75E">
      <w:r>
        <w:rPr>
          <w:b w:val="0"/>
        </w:rPr>
        <w:t>被测软件系统名称：网上书店系统。</w:t>
      </w:r>
    </w:p>
    <w:p w14:paraId="1A917087">
      <w:r>
        <w:rPr>
          <w:b/>
        </w:rPr>
        <w:t>整体功能：</w:t>
      </w:r>
    </w:p>
    <w:p w14:paraId="6A335352">
      <w:r>
        <w:rPr>
          <w:b w:val="0"/>
        </w:rPr>
        <w:t>系统分为前台与后台两大部分。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42A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38217B">
            <w:pPr>
              <w:spacing w:after="0" w:line="240" w:lineRule="auto"/>
            </w:pPr>
            <w:r>
              <w:rPr>
                <w:b/>
              </w:rPr>
              <w:t>部分</w:t>
            </w:r>
          </w:p>
        </w:tc>
        <w:tc>
          <w:tcPr>
            <w:tcW w:w="4320" w:type="dxa"/>
          </w:tcPr>
          <w:p w14:paraId="064F577D">
            <w:pPr>
              <w:spacing w:after="0" w:line="240" w:lineRule="auto"/>
            </w:pPr>
            <w:r>
              <w:rPr>
                <w:b/>
              </w:rPr>
              <w:t>主要功能</w:t>
            </w:r>
          </w:p>
        </w:tc>
      </w:tr>
      <w:tr w14:paraId="0AFD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51EFD0">
            <w:pPr>
              <w:spacing w:after="0" w:line="240" w:lineRule="auto"/>
            </w:pPr>
            <w:r>
              <w:t>前台（顾客）</w:t>
            </w:r>
          </w:p>
        </w:tc>
        <w:tc>
          <w:tcPr>
            <w:tcW w:w="4320" w:type="dxa"/>
          </w:tcPr>
          <w:p w14:paraId="0C6A89B7">
            <w:pPr>
              <w:spacing w:after="0" w:line="240" w:lineRule="auto"/>
            </w:pPr>
            <w:r>
              <w:t>用户注册与登录、图书分页浏览、按书名/作者搜索、按价格区间筛选、销量榜单、购物车管理、下单结算、我的订单与订单详情、确认收货、个人信息修改</w:t>
            </w:r>
          </w:p>
        </w:tc>
      </w:tr>
      <w:tr w14:paraId="157A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A12490">
            <w:pPr>
              <w:spacing w:after="0" w:line="240" w:lineRule="auto"/>
            </w:pPr>
            <w:r>
              <w:t>后台（管理员）</w:t>
            </w:r>
          </w:p>
        </w:tc>
        <w:tc>
          <w:tcPr>
            <w:tcW w:w="4320" w:type="dxa"/>
          </w:tcPr>
          <w:p w14:paraId="38694CB3">
            <w:pPr>
              <w:spacing w:after="0" w:line="240" w:lineRule="auto"/>
            </w:pPr>
            <w:r>
              <w:t>图书管理（增删改查+分页）、订单管理（查看全部订单、发货、订单详情）、用户管理（增删改查+分页）、总账单统计（用户数/订单数/销量/总收入）</w:t>
            </w:r>
          </w:p>
        </w:tc>
      </w:tr>
    </w:tbl>
    <w:p w14:paraId="06600663">
      <w:r>
        <w:rPr>
          <w:b/>
        </w:rPr>
        <w:t>本次测试的关键模块：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2100"/>
        <w:gridCol w:w="2526"/>
        <w:gridCol w:w="2138"/>
      </w:tblGrid>
      <w:tr w14:paraId="29E7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DDFAC2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160" w:type="dxa"/>
          </w:tcPr>
          <w:p w14:paraId="423693B9">
            <w:pPr>
              <w:spacing w:after="0" w:line="240" w:lineRule="auto"/>
            </w:pPr>
            <w:r>
              <w:rPr>
                <w:b/>
              </w:rPr>
              <w:t>核心功能</w:t>
            </w:r>
          </w:p>
        </w:tc>
        <w:tc>
          <w:tcPr>
            <w:tcW w:w="2160" w:type="dxa"/>
          </w:tcPr>
          <w:p w14:paraId="2B476377">
            <w:pPr>
              <w:spacing w:after="0" w:line="240" w:lineRule="auto"/>
            </w:pPr>
            <w:r>
              <w:rPr>
                <w:b/>
              </w:rPr>
              <w:t>代码规模</w:t>
            </w:r>
          </w:p>
        </w:tc>
        <w:tc>
          <w:tcPr>
            <w:tcW w:w="2160" w:type="dxa"/>
          </w:tcPr>
          <w:p w14:paraId="02F5F5D3">
            <w:pPr>
              <w:spacing w:after="0" w:line="240" w:lineRule="auto"/>
            </w:pPr>
            <w:r>
              <w:rPr>
                <w:b/>
              </w:rPr>
              <w:t>在系统中的定位</w:t>
            </w:r>
          </w:p>
        </w:tc>
      </w:tr>
      <w:tr w14:paraId="1A39A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A0A55E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2160" w:type="dxa"/>
          </w:tcPr>
          <w:p w14:paraId="3B2831F7">
            <w:pPr>
              <w:spacing w:after="0" w:line="240" w:lineRule="auto"/>
            </w:pPr>
            <w:r>
              <w:t>用户注册、登录、注销、验证码、用户名查重、个人信息修改</w:t>
            </w:r>
          </w:p>
        </w:tc>
        <w:tc>
          <w:tcPr>
            <w:tcW w:w="2160" w:type="dxa"/>
          </w:tcPr>
          <w:p w14:paraId="4C0E48D1">
            <w:pPr>
              <w:spacing w:after="0" w:line="240" w:lineRule="auto"/>
            </w:pPr>
            <w:r>
              <w:t>约742行（UserServlet 153行+UserService 42行+UserServiceImpl 98行+UserDao 48行+UserDaoImpl 73行+login/regist/userinfo三个JSP共328行）</w:t>
            </w:r>
          </w:p>
        </w:tc>
        <w:tc>
          <w:tcPr>
            <w:tcW w:w="2160" w:type="dxa"/>
          </w:tcPr>
          <w:p w14:paraId="384E5A8F">
            <w:pPr>
              <w:spacing w:after="0" w:line="240" w:lineRule="auto"/>
            </w:pPr>
            <w:r>
              <w:t>全系统的身份入口。购物车结算、我的订单、后台管理都依赖登录后写入会话的user对象；其校验强度直接决定账号安全</w:t>
            </w:r>
          </w:p>
        </w:tc>
      </w:tr>
      <w:tr w14:paraId="13C08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563922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2160" w:type="dxa"/>
          </w:tcPr>
          <w:p w14:paraId="4914CF74">
            <w:pPr>
              <w:spacing w:after="0" w:line="240" w:lineRule="auto"/>
            </w:pPr>
            <w:r>
              <w:t>加入购物车、重复加购累加、修改数量、删除、清空、总金额计算</w:t>
            </w:r>
          </w:p>
        </w:tc>
        <w:tc>
          <w:tcPr>
            <w:tcW w:w="2160" w:type="dxa"/>
          </w:tcPr>
          <w:p w14:paraId="57052450">
            <w:pPr>
              <w:spacing w:after="0" w:line="240" w:lineRule="auto"/>
            </w:pPr>
            <w:r>
              <w:t>约446行（CartServlet138行+Cart109行+CartItem81行+cart/checkout两个JSP共118行）</w:t>
            </w:r>
          </w:p>
        </w:tc>
        <w:tc>
          <w:tcPr>
            <w:tcW w:w="2160" w:type="dxa"/>
          </w:tcPr>
          <w:p w14:paraId="68DCFC2E">
            <w:pPr>
              <w:spacing w:after="0" w:line="240" w:lineRule="auto"/>
            </w:pPr>
            <w:r>
              <w:t>下单前的必经环节。购物车中的数量与金额会被createOrder()原样写入订单表，其数据正确性直接决定订单金额是否正确</w:t>
            </w:r>
          </w:p>
        </w:tc>
      </w:tr>
    </w:tbl>
    <w:p w14:paraId="41CAA754">
      <w:r>
        <w:br w:type="page"/>
      </w:r>
    </w:p>
    <w:p w14:paraId="361763EF">
      <w:pPr>
        <w:pStyle w:val="3"/>
      </w:pPr>
      <w:r>
        <w:t>2 测试计划与策略</w:t>
      </w:r>
    </w:p>
    <w:p w14:paraId="18CDCCDE">
      <w:pPr>
        <w:pStyle w:val="4"/>
        <w:bidi w:val="0"/>
      </w:pPr>
      <w:r>
        <w:t>2.1 测试范围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6803"/>
      </w:tblGrid>
      <w:tr w14:paraId="584D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6E91378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6803" w:type="dxa"/>
          </w:tcPr>
          <w:p w14:paraId="11C75CCA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845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625171E">
            <w:pPr>
              <w:spacing w:after="0" w:line="240" w:lineRule="auto"/>
            </w:pPr>
            <w:r>
              <w:t>本次测试覆盖</w:t>
            </w:r>
          </w:p>
        </w:tc>
        <w:tc>
          <w:tcPr>
            <w:tcW w:w="6803" w:type="dxa"/>
          </w:tcPr>
          <w:p w14:paraId="01A75D6C">
            <w:pPr>
              <w:spacing w:after="0" w:line="240" w:lineRule="auto"/>
            </w:pPr>
            <w:r>
              <w:t>M1 用户认证：登录（正确凭据 / 密码错误 / 用户不存在 / 不携带验证码）、注册（验证码缺失、两次密码不一致）、用户名查重接口</w:t>
            </w:r>
            <w:r>
              <w:br w:type="textWrapping"/>
            </w:r>
            <w:r>
              <w:t>M4 购物车：加入购物车（正常、图书 ID 不存在、图书 ID 非数字）、重复加购累加、修改数量（正常、负数、非数字）、删除、清空、总金额计算精度</w:t>
            </w:r>
          </w:p>
        </w:tc>
      </w:tr>
      <w:tr w14:paraId="621D8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8D4CC67">
            <w:pPr>
              <w:spacing w:after="0" w:line="240" w:lineRule="auto"/>
            </w:pPr>
            <w:r>
              <w:t>本次测试不覆盖</w:t>
            </w:r>
          </w:p>
        </w:tc>
        <w:tc>
          <w:tcPr>
            <w:tcW w:w="6803" w:type="dxa"/>
          </w:tcPr>
          <w:p w14:paraId="19E0FCA3">
            <w:pPr>
              <w:spacing w:after="0" w:line="240" w:lineRule="auto"/>
            </w:pPr>
            <w:r>
              <w:t>① M1 的注销与个人信息修改</w:t>
            </w:r>
            <w:r>
              <w:br w:type="textWrapping"/>
            </w:r>
            <w:r>
              <w:t>② M4 的页面样式与交互视觉效果</w:t>
            </w:r>
            <w:r>
              <w:br w:type="textWrapping"/>
            </w:r>
            <w:r>
              <w:t>③ 图书浏览检索（M3）、订单（M5）、后台管理（M6）</w:t>
            </w:r>
            <w:r>
              <w:br w:type="textWrapping"/>
            </w:r>
            <w:r>
              <w:t>④ 性能、并发、兼容性测试</w:t>
            </w:r>
          </w:p>
        </w:tc>
      </w:tr>
      <w:tr w14:paraId="7379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3AE0B3AC">
            <w:pPr>
              <w:spacing w:after="0" w:line="240" w:lineRule="auto"/>
            </w:pPr>
            <w:r>
              <w:t>不覆盖原因</w:t>
            </w:r>
          </w:p>
        </w:tc>
        <w:tc>
          <w:tcPr>
            <w:tcW w:w="6803" w:type="dxa"/>
          </w:tcPr>
          <w:p w14:paraId="38FF70D1">
            <w:pPr>
              <w:spacing w:after="0" w:line="240" w:lineRule="auto"/>
            </w:pPr>
            <w:r>
              <w:t>① 优先级排序：用例额度分配给缺陷更集中的路径，注销与个人信息修改风险较低</w:t>
            </w:r>
            <w:r>
              <w:br w:type="textWrapping"/>
            </w:r>
            <w:r>
              <w:t>② 非本阶段测试范畴（属界面测试）</w:t>
            </w:r>
            <w:r>
              <w:br w:type="textWrapping"/>
            </w:r>
            <w:r>
              <w:t>③ 测试基础实践不涉及</w:t>
            </w:r>
          </w:p>
        </w:tc>
      </w:tr>
    </w:tbl>
    <w:p w14:paraId="0354BFAB">
      <w:pPr>
        <w:pStyle w:val="4"/>
      </w:pPr>
      <w:r>
        <w:t>2.2 测试策略</w:t>
      </w:r>
    </w:p>
    <w:p w14:paraId="5D3EB204">
      <w:r>
        <w:rPr>
          <w:b w:val="0"/>
        </w:rPr>
        <w:t>针对不同测试项的参数特征与业务风险，选用不同的黑盒方法，并对可单元化验证的部分采用白盒方法：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041"/>
        <w:gridCol w:w="4535"/>
      </w:tblGrid>
      <w:tr w14:paraId="76DC0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25D856E">
            <w:pPr>
              <w:spacing w:after="0" w:line="240" w:lineRule="auto"/>
            </w:pPr>
            <w:r>
              <w:rPr>
                <w:b/>
              </w:rPr>
              <w:t>测试项</w:t>
            </w:r>
          </w:p>
        </w:tc>
        <w:tc>
          <w:tcPr>
            <w:tcW w:w="2041" w:type="dxa"/>
          </w:tcPr>
          <w:p w14:paraId="2F77C1EF">
            <w:pPr>
              <w:spacing w:after="0" w:line="240" w:lineRule="auto"/>
            </w:pPr>
            <w:r>
              <w:rPr>
                <w:b/>
              </w:rPr>
              <w:t>选用方法</w:t>
            </w:r>
          </w:p>
        </w:tc>
        <w:tc>
          <w:tcPr>
            <w:tcW w:w="4535" w:type="dxa"/>
          </w:tcPr>
          <w:p w14:paraId="6AFABCBA">
            <w:pPr>
              <w:spacing w:after="0" w:line="240" w:lineRule="auto"/>
            </w:pPr>
            <w:r>
              <w:rPr>
                <w:b/>
              </w:rPr>
              <w:t>选择依据</w:t>
            </w:r>
          </w:p>
        </w:tc>
      </w:tr>
      <w:tr w14:paraId="1E7BD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A3B2F0B">
            <w:pPr>
              <w:spacing w:after="0" w:line="240" w:lineRule="auto"/>
            </w:pPr>
            <w:r>
              <w:t>登录、注册、用户名查重</w:t>
            </w:r>
          </w:p>
        </w:tc>
        <w:tc>
          <w:tcPr>
            <w:tcW w:w="2041" w:type="dxa"/>
          </w:tcPr>
          <w:p w14:paraId="73A77704">
            <w:pPr>
              <w:spacing w:after="0" w:line="240" w:lineRule="auto"/>
            </w:pPr>
            <w:r>
              <w:t>等价类划分+场景法</w:t>
            </w:r>
          </w:p>
        </w:tc>
        <w:tc>
          <w:tcPr>
            <w:tcW w:w="4535" w:type="dxa"/>
          </w:tcPr>
          <w:p w14:paraId="3442C144">
            <w:pPr>
              <w:spacing w:after="0" w:line="240" w:lineRule="auto"/>
            </w:pPr>
            <w:r>
              <w:t>输入主要是账号密码这类枚举型数据，按</w:t>
            </w:r>
            <w:r>
              <w:rPr>
                <w:rFonts w:hint="eastAsia"/>
                <w:lang w:eastAsia="zh-CN"/>
              </w:rPr>
              <w:t>“</w:t>
            </w:r>
            <w:r>
              <w:t>有效/无效等价类</w:t>
            </w:r>
            <w:r>
              <w:rPr>
                <w:rFonts w:hint="eastAsia"/>
                <w:lang w:eastAsia="zh-CN"/>
              </w:rPr>
              <w:t>”</w:t>
            </w:r>
            <w:r>
              <w:t>划分即可用少量用例覆盖；验证码与两次密码一致性属于跨字段的组合条件，需按业务场景串联</w:t>
            </w:r>
          </w:p>
        </w:tc>
      </w:tr>
      <w:tr w14:paraId="7A82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68F84A49">
            <w:pPr>
              <w:spacing w:after="0" w:line="240" w:lineRule="auto"/>
            </w:pPr>
            <w:r>
              <w:t>用户名、密码长度</w:t>
            </w:r>
          </w:p>
        </w:tc>
        <w:tc>
          <w:tcPr>
            <w:tcW w:w="2041" w:type="dxa"/>
          </w:tcPr>
          <w:p w14:paraId="5F71080C">
            <w:pPr>
              <w:spacing w:after="0" w:line="240" w:lineRule="auto"/>
            </w:pPr>
            <w:r>
              <w:t>边界值分析</w:t>
            </w:r>
          </w:p>
        </w:tc>
        <w:tc>
          <w:tcPr>
            <w:tcW w:w="4535" w:type="dxa"/>
          </w:tcPr>
          <w:p w14:paraId="32795575">
            <w:pPr>
              <w:spacing w:after="0" w:line="240" w:lineRule="auto"/>
            </w:pPr>
            <w:r>
              <w:t>登录页与注册页均在前端限定了</w:t>
            </w:r>
            <w:r>
              <w:rPr>
                <w:rFonts w:hint="eastAsia"/>
                <w:lang w:eastAsia="zh-CN"/>
              </w:rPr>
              <w:t>“</w:t>
            </w:r>
            <w:r>
              <w:t>字母数字下划线、长度5~15位</w:t>
            </w:r>
            <w:r>
              <w:rPr>
                <w:rFonts w:hint="eastAsia"/>
                <w:lang w:eastAsia="zh-CN"/>
              </w:rPr>
              <w:t>”</w:t>
            </w:r>
            <w:r>
              <w:t>，长度是典型的有界区间，需重点测边界内外的取值</w:t>
            </w:r>
          </w:p>
        </w:tc>
      </w:tr>
      <w:tr w14:paraId="6EDD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1948B89F">
            <w:pPr>
              <w:spacing w:after="0" w:line="240" w:lineRule="auto"/>
            </w:pPr>
            <w:r>
              <w:t>购物车数量参数</w:t>
            </w:r>
          </w:p>
        </w:tc>
        <w:tc>
          <w:tcPr>
            <w:tcW w:w="2041" w:type="dxa"/>
          </w:tcPr>
          <w:p w14:paraId="03813BCF">
            <w:pPr>
              <w:spacing w:after="0" w:line="240" w:lineRule="auto"/>
            </w:pPr>
            <w:r>
              <w:t>边界值分析</w:t>
            </w:r>
          </w:p>
        </w:tc>
        <w:tc>
          <w:tcPr>
            <w:tcW w:w="4535" w:type="dxa"/>
          </w:tcPr>
          <w:p w14:paraId="1F407C6A">
            <w:pPr>
              <w:spacing w:after="0" w:line="240" w:lineRule="auto"/>
            </w:pPr>
            <w:r>
              <w:t>数量是数值型参数且没有显式约束，其边界（0、负数、超界、非数字）正是缺陷高发区；实测证明该判断成立——本模块5个缺陷中有3个由数量参数引发</w:t>
            </w:r>
          </w:p>
        </w:tc>
      </w:tr>
      <w:tr w14:paraId="4DF6D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7141A1CF">
            <w:pPr>
              <w:spacing w:after="0" w:line="240" w:lineRule="auto"/>
            </w:pPr>
            <w:r>
              <w:t>图书ID参数</w:t>
            </w:r>
          </w:p>
        </w:tc>
        <w:tc>
          <w:tcPr>
            <w:tcW w:w="2041" w:type="dxa"/>
          </w:tcPr>
          <w:p w14:paraId="52FD8608">
            <w:pPr>
              <w:spacing w:after="0" w:line="240" w:lineRule="auto"/>
            </w:pPr>
            <w:r>
              <w:t>边界值分析</w:t>
            </w:r>
          </w:p>
        </w:tc>
        <w:tc>
          <w:tcPr>
            <w:tcW w:w="4535" w:type="dxa"/>
          </w:tcPr>
          <w:p w14:paraId="4D1B8F36">
            <w:pPr>
              <w:spacing w:after="0" w:line="240" w:lineRule="auto"/>
            </w:pPr>
            <w:r>
              <w:t>ID需同时满足</w:t>
            </w:r>
            <w:r>
              <w:rPr>
                <w:rFonts w:hint="eastAsia"/>
                <w:lang w:eastAsia="zh-CN"/>
              </w:rPr>
              <w:t>“</w:t>
            </w:r>
            <w:r>
              <w:t>格式合法</w:t>
            </w:r>
            <w:r>
              <w:rPr>
                <w:rFonts w:hint="eastAsia"/>
                <w:lang w:eastAsia="zh-CN"/>
              </w:rPr>
              <w:t>”</w:t>
            </w:r>
            <w:r>
              <w:t>与</w:t>
            </w:r>
            <w:r>
              <w:rPr>
                <w:rFonts w:hint="eastAsia"/>
                <w:lang w:eastAsia="zh-CN"/>
              </w:rPr>
              <w:t>“</w:t>
            </w:r>
            <w:r>
              <w:t>存在</w:t>
            </w:r>
            <w:r>
              <w:rPr>
                <w:rFonts w:hint="eastAsia"/>
                <w:lang w:eastAsia="zh-CN"/>
              </w:rPr>
              <w:t>”</w:t>
            </w:r>
            <w:r>
              <w:t>两个条件，因此分别用</w:t>
            </w:r>
            <w:r>
              <w:rPr>
                <w:rFonts w:hint="eastAsia"/>
                <w:lang w:eastAsia="zh-CN"/>
              </w:rPr>
              <w:t>“</w:t>
            </w:r>
            <w:r>
              <w:t>格式合法但不存在</w:t>
            </w:r>
            <w:r>
              <w:rPr>
                <w:rFonts w:hint="eastAsia"/>
                <w:lang w:eastAsia="zh-CN"/>
              </w:rPr>
              <w:t>”</w:t>
            </w:r>
            <w:r>
              <w:t>与</w:t>
            </w:r>
            <w:r>
              <w:rPr>
                <w:rFonts w:hint="eastAsia"/>
                <w:lang w:eastAsia="zh-CN"/>
              </w:rPr>
              <w:t>“</w:t>
            </w:r>
            <w:r>
              <w:t>格式非法</w:t>
            </w:r>
            <w:r>
              <w:rPr>
                <w:rFonts w:hint="eastAsia"/>
                <w:lang w:eastAsia="zh-CN"/>
              </w:rPr>
              <w:t>”</w:t>
            </w:r>
            <w:r>
              <w:t>两类取值构造边界</w:t>
            </w:r>
          </w:p>
        </w:tc>
      </w:tr>
      <w:tr w14:paraId="355A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494FDAEF">
            <w:pPr>
              <w:spacing w:after="0" w:line="240" w:lineRule="auto"/>
            </w:pPr>
            <w:r>
              <w:t>购物车金额计算</w:t>
            </w:r>
          </w:p>
        </w:tc>
        <w:tc>
          <w:tcPr>
            <w:tcW w:w="2041" w:type="dxa"/>
          </w:tcPr>
          <w:p w14:paraId="7EA916FD">
            <w:pPr>
              <w:spacing w:after="0" w:line="240" w:lineRule="auto"/>
            </w:pPr>
            <w:r>
              <w:t>等价类+数据精度验证</w:t>
            </w:r>
          </w:p>
        </w:tc>
        <w:tc>
          <w:tcPr>
            <w:tcW w:w="4535" w:type="dxa"/>
          </w:tcPr>
          <w:p w14:paraId="2F80B63D">
            <w:pPr>
              <w:spacing w:after="0" w:line="240" w:lineRule="auto"/>
            </w:pPr>
            <w:r>
              <w:t>金额涉及小数运算，需验证是否使用BigDecimal以避免二进制浮点误差</w:t>
            </w:r>
          </w:p>
        </w:tc>
      </w:tr>
      <w:tr w14:paraId="20763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1" w:type="dxa"/>
          </w:tcPr>
          <w:p w14:paraId="37AE8E99">
            <w:pPr>
              <w:spacing w:after="0" w:line="240" w:lineRule="auto"/>
            </w:pPr>
            <w:r>
              <w:t>Cart/CartItem业务对象</w:t>
            </w:r>
          </w:p>
        </w:tc>
        <w:tc>
          <w:tcPr>
            <w:tcW w:w="2041" w:type="dxa"/>
          </w:tcPr>
          <w:p w14:paraId="3F5D08FD">
            <w:pPr>
              <w:spacing w:after="0" w:line="240" w:lineRule="auto"/>
            </w:pPr>
            <w:r>
              <w:t>白盒单元测试</w:t>
            </w:r>
          </w:p>
        </w:tc>
        <w:tc>
          <w:tcPr>
            <w:tcW w:w="4535" w:type="dxa"/>
          </w:tcPr>
          <w:p w14:paraId="6A5057A9">
            <w:pPr>
              <w:spacing w:after="0" w:line="240" w:lineRule="auto"/>
            </w:pPr>
            <w:r>
              <w:t>累加与金额计算属纯逻辑，不依赖容器，直接调用被测方法即可精确断言内部状态</w:t>
            </w:r>
          </w:p>
        </w:tc>
      </w:tr>
    </w:tbl>
    <w:p w14:paraId="63300D07">
      <w:pPr>
        <w:rPr>
          <w:b w:val="0"/>
        </w:rPr>
      </w:pPr>
      <w:r>
        <w:rPr>
          <w:b w:val="0"/>
        </w:rPr>
        <w:t>白盒手段与集成手段的分工：纯业务逻辑（Cart、CartItem）采用JUnit单元测试直接调用；Servlet与Filter的行为采用HTTP集成测试，向运行中的应用发真实请求并直连数据库断言落库结果；</w:t>
      </w:r>
    </w:p>
    <w:p w14:paraId="3C066BD9">
      <w:r>
        <w:rPr>
          <w:b w:val="0"/>
        </w:rPr>
        <w:t>受验证码保护、无法用脚本获取验证码的登录与注册分支，采用动态代理桩（Stub）注入会话验证码后驱动Servlet。</w:t>
      </w:r>
    </w:p>
    <w:p w14:paraId="70BCC327">
      <w:pPr>
        <w:pStyle w:val="4"/>
      </w:pPr>
      <w:r>
        <w:t>2.3 测试环境</w:t>
      </w:r>
    </w:p>
    <w:p w14:paraId="1EBF535C">
      <w:r>
        <w:rPr>
          <w:b/>
        </w:rPr>
        <w:t>程序运行条件：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94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EDB1CE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2363EDA6">
            <w:pPr>
              <w:spacing w:after="0" w:line="240" w:lineRule="auto"/>
            </w:pPr>
            <w:r>
              <w:rPr>
                <w:b/>
              </w:rPr>
              <w:t>配置</w:t>
            </w:r>
          </w:p>
        </w:tc>
      </w:tr>
      <w:tr w14:paraId="6AACF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BCCBF">
            <w:pPr>
              <w:spacing w:after="0" w:line="240" w:lineRule="auto"/>
            </w:pPr>
            <w:r>
              <w:t>硬件环境</w:t>
            </w:r>
          </w:p>
        </w:tc>
        <w:tc>
          <w:tcPr>
            <w:tcW w:w="4320" w:type="dxa"/>
          </w:tcPr>
          <w:p w14:paraId="7F27547A">
            <w:pPr>
              <w:spacing w:after="0" w:line="240" w:lineRule="auto"/>
            </w:pPr>
            <w:r>
              <w:t>CPU：12th Gen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Intel(R)Core(TM)i7-12700H；内存：16GB；硬盘：</w:t>
            </w:r>
            <w:r>
              <w:rPr>
                <w:rFonts w:hint="eastAsia"/>
                <w:lang w:val="en-US" w:eastAsia="zh-CN"/>
              </w:rPr>
              <w:t>10</w:t>
            </w:r>
            <w:r>
              <w:t>00GB</w:t>
            </w:r>
          </w:p>
        </w:tc>
      </w:tr>
      <w:tr w14:paraId="5732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8ED305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31C03B23">
            <w:pPr>
              <w:spacing w:after="0" w:line="240" w:lineRule="auto"/>
            </w:pPr>
            <w:r>
              <w:t>Microsoft Windows 11 专业版</w:t>
            </w:r>
          </w:p>
        </w:tc>
      </w:tr>
      <w:tr w14:paraId="033F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876D6C">
            <w:pPr>
              <w:spacing w:after="0" w:line="240" w:lineRule="auto"/>
            </w:pPr>
            <w:r>
              <w:t>JDK</w:t>
            </w:r>
          </w:p>
        </w:tc>
        <w:tc>
          <w:tcPr>
            <w:tcW w:w="4320" w:type="dxa"/>
          </w:tcPr>
          <w:p w14:paraId="75B08339">
            <w:pPr>
              <w:spacing w:after="0" w:line="240" w:lineRule="auto"/>
            </w:pPr>
            <w:r>
              <w:t>Temurin OpenJDK 1.8.0_504</w:t>
            </w:r>
          </w:p>
        </w:tc>
      </w:tr>
      <w:tr w14:paraId="1B379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DFA5FD">
            <w:pPr>
              <w:spacing w:after="0" w:line="240" w:lineRule="auto"/>
            </w:pPr>
            <w:r>
              <w:t>应用服务器</w:t>
            </w:r>
          </w:p>
        </w:tc>
        <w:tc>
          <w:tcPr>
            <w:tcW w:w="4320" w:type="dxa"/>
          </w:tcPr>
          <w:p w14:paraId="38C1E6AA">
            <w:pPr>
              <w:spacing w:after="0" w:line="240" w:lineRule="auto"/>
            </w:pPr>
            <w:r>
              <w:t>Apache Tomcat 9.0.121，部署描述符版本 Servlet 2.5</w:t>
            </w:r>
          </w:p>
        </w:tc>
      </w:tr>
      <w:tr w14:paraId="301A5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39C189">
            <w:pPr>
              <w:spacing w:after="0" w:line="240" w:lineRule="auto"/>
            </w:pPr>
            <w:r>
              <w:t>上下文路径</w:t>
            </w:r>
          </w:p>
        </w:tc>
        <w:tc>
          <w:tcPr>
            <w:tcW w:w="4320" w:type="dxa"/>
          </w:tcPr>
          <w:p w14:paraId="5D01252F">
            <w:pPr>
              <w:spacing w:after="0" w:line="240" w:lineRule="auto"/>
            </w:pPr>
            <w:r>
              <w:t>http://localhost:8080/Book/（固定为 /Book）</w:t>
            </w:r>
          </w:p>
        </w:tc>
      </w:tr>
      <w:tr w14:paraId="6E57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558503">
            <w:pPr>
              <w:spacing w:after="0" w:line="240" w:lineRule="auto"/>
            </w:pPr>
            <w:r>
              <w:t>数据库</w:t>
            </w:r>
          </w:p>
        </w:tc>
        <w:tc>
          <w:tcPr>
            <w:tcW w:w="4320" w:type="dxa"/>
          </w:tcPr>
          <w:p w14:paraId="53D970FB">
            <w:pPr>
              <w:spacing w:after="0" w:line="240" w:lineRule="auto"/>
            </w:pPr>
            <w:r>
              <w:t>MySQL 5.7.44，数据库名 book，字符集 utf8</w:t>
            </w:r>
          </w:p>
        </w:tc>
      </w:tr>
      <w:tr w14:paraId="511CC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183169">
            <w:pPr>
              <w:spacing w:after="0" w:line="240" w:lineRule="auto"/>
            </w:pPr>
            <w:r>
              <w:t>系统账号</w:t>
            </w:r>
          </w:p>
        </w:tc>
        <w:tc>
          <w:tcPr>
            <w:tcW w:w="4320" w:type="dxa"/>
          </w:tcPr>
          <w:p w14:paraId="7E805D1B">
            <w:pPr>
              <w:spacing w:after="0" w:line="240" w:lineRule="auto"/>
            </w:pPr>
            <w:r>
              <w:t>管理员admin/admin</w:t>
            </w:r>
          </w:p>
        </w:tc>
      </w:tr>
      <w:tr w14:paraId="12BD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116C20">
            <w:pPr>
              <w:spacing w:after="0" w:line="240" w:lineRule="auto"/>
            </w:pPr>
            <w:r>
              <w:t>网络环境</w:t>
            </w:r>
          </w:p>
        </w:tc>
        <w:tc>
          <w:tcPr>
            <w:tcW w:w="4320" w:type="dxa"/>
          </w:tcPr>
          <w:p w14:paraId="488AE0B5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>单机部署，应用与数据库均在</w:t>
            </w:r>
            <w:r>
              <w:rPr>
                <w:rFonts w:hint="eastAsia"/>
                <w:lang w:val="en-US" w:eastAsia="zh-CN"/>
              </w:rPr>
              <w:t>本地</w:t>
            </w:r>
          </w:p>
        </w:tc>
      </w:tr>
      <w:tr w14:paraId="7ECB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8F61B9">
            <w:pPr>
              <w:spacing w:after="0" w:line="240" w:lineRule="auto"/>
            </w:pPr>
            <w:r>
              <w:t>被测代码版本</w:t>
            </w:r>
          </w:p>
        </w:tc>
        <w:tc>
          <w:tcPr>
            <w:tcW w:w="4320" w:type="dxa"/>
          </w:tcPr>
          <w:p w14:paraId="5614D0C5">
            <w:pPr>
              <w:spacing w:after="0" w:line="240" w:lineRule="auto"/>
            </w:pPr>
            <w:r>
              <w:t>JDK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1.8编译，class文件主版本号52.0</w:t>
            </w:r>
          </w:p>
        </w:tc>
      </w:tr>
    </w:tbl>
    <w:p w14:paraId="10D44626">
      <w:r>
        <w:br w:type="page"/>
      </w:r>
    </w:p>
    <w:p w14:paraId="2D3FCA3A">
      <w:pPr>
        <w:pStyle w:val="3"/>
      </w:pPr>
      <w:r>
        <w:t>3 测试用例设计</w:t>
      </w:r>
    </w:p>
    <w:p w14:paraId="18556563">
      <w:pPr>
        <w:pStyle w:val="4"/>
      </w:pPr>
      <w:r>
        <w:t>3.1 用例总览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6D5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DBF125">
            <w:pPr>
              <w:spacing w:after="0" w:line="240" w:lineRule="auto"/>
            </w:pPr>
            <w:r>
              <w:rPr>
                <w:b/>
              </w:rPr>
              <w:t>测试方法</w:t>
            </w:r>
          </w:p>
        </w:tc>
        <w:tc>
          <w:tcPr>
            <w:tcW w:w="2160" w:type="dxa"/>
          </w:tcPr>
          <w:p w14:paraId="0C1CB3E5">
            <w:pPr>
              <w:spacing w:after="0" w:line="240" w:lineRule="auto"/>
            </w:pPr>
            <w:r>
              <w:rPr>
                <w:b/>
              </w:rPr>
              <w:t>用例数量</w:t>
            </w:r>
          </w:p>
        </w:tc>
        <w:tc>
          <w:tcPr>
            <w:tcW w:w="2160" w:type="dxa"/>
          </w:tcPr>
          <w:p w14:paraId="1213A819">
            <w:pPr>
              <w:spacing w:after="0" w:line="240" w:lineRule="auto"/>
            </w:pPr>
            <w:r>
              <w:rPr>
                <w:b/>
              </w:rPr>
              <w:t>占比</w:t>
            </w:r>
          </w:p>
        </w:tc>
        <w:tc>
          <w:tcPr>
            <w:tcW w:w="2160" w:type="dxa"/>
          </w:tcPr>
          <w:p w14:paraId="49837B86">
            <w:pPr>
              <w:spacing w:after="0" w:line="240" w:lineRule="auto"/>
            </w:pPr>
            <w:r>
              <w:rPr>
                <w:b/>
              </w:rPr>
              <w:t>已自动化数</w:t>
            </w:r>
          </w:p>
        </w:tc>
      </w:tr>
      <w:tr w14:paraId="5F413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848118">
            <w:pPr>
              <w:spacing w:after="0" w:line="240" w:lineRule="auto"/>
            </w:pPr>
            <w:r>
              <w:t>等价类划分</w:t>
            </w:r>
          </w:p>
        </w:tc>
        <w:tc>
          <w:tcPr>
            <w:tcW w:w="2160" w:type="dxa"/>
          </w:tcPr>
          <w:p w14:paraId="714D1A10">
            <w:pPr>
              <w:spacing w:after="0" w:line="240" w:lineRule="auto"/>
            </w:pPr>
            <w:r>
              <w:t>7</w:t>
            </w:r>
          </w:p>
        </w:tc>
        <w:tc>
          <w:tcPr>
            <w:tcW w:w="2160" w:type="dxa"/>
          </w:tcPr>
          <w:p w14:paraId="61FAB83C">
            <w:pPr>
              <w:spacing w:after="0" w:line="240" w:lineRule="auto"/>
            </w:pPr>
            <w:r>
              <w:t>46.7%</w:t>
            </w:r>
          </w:p>
        </w:tc>
        <w:tc>
          <w:tcPr>
            <w:tcW w:w="2160" w:type="dxa"/>
          </w:tcPr>
          <w:p w14:paraId="3320BF62">
            <w:pPr>
              <w:spacing w:after="0" w:line="240" w:lineRule="auto"/>
            </w:pPr>
            <w:r>
              <w:t>7</w:t>
            </w:r>
          </w:p>
        </w:tc>
      </w:tr>
      <w:tr w14:paraId="315E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468B6">
            <w:pPr>
              <w:spacing w:after="0" w:line="240" w:lineRule="auto"/>
            </w:pPr>
            <w:r>
              <w:t>边界值分析</w:t>
            </w:r>
          </w:p>
        </w:tc>
        <w:tc>
          <w:tcPr>
            <w:tcW w:w="2160" w:type="dxa"/>
          </w:tcPr>
          <w:p w14:paraId="534FFABE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2F7C1A81">
            <w:pPr>
              <w:spacing w:after="0" w:line="240" w:lineRule="auto"/>
            </w:pPr>
            <w:r>
              <w:t>33.3%</w:t>
            </w:r>
          </w:p>
        </w:tc>
        <w:tc>
          <w:tcPr>
            <w:tcW w:w="2160" w:type="dxa"/>
          </w:tcPr>
          <w:p w14:paraId="48585C5F">
            <w:pPr>
              <w:spacing w:after="0" w:line="240" w:lineRule="auto"/>
            </w:pPr>
            <w:r>
              <w:t>5</w:t>
            </w:r>
          </w:p>
        </w:tc>
      </w:tr>
      <w:tr w14:paraId="5AE4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84CB65">
            <w:pPr>
              <w:spacing w:after="0" w:line="240" w:lineRule="auto"/>
            </w:pPr>
            <w:r>
              <w:t>场景法</w:t>
            </w:r>
          </w:p>
        </w:tc>
        <w:tc>
          <w:tcPr>
            <w:tcW w:w="2160" w:type="dxa"/>
          </w:tcPr>
          <w:p w14:paraId="57D36862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926D747">
            <w:pPr>
              <w:spacing w:after="0" w:line="240" w:lineRule="auto"/>
            </w:pPr>
            <w:r>
              <w:t>20.0%</w:t>
            </w:r>
          </w:p>
        </w:tc>
        <w:tc>
          <w:tcPr>
            <w:tcW w:w="2160" w:type="dxa"/>
          </w:tcPr>
          <w:p w14:paraId="247F4E53">
            <w:pPr>
              <w:spacing w:after="0" w:line="240" w:lineRule="auto"/>
            </w:pPr>
            <w:r>
              <w:t>3</w:t>
            </w:r>
          </w:p>
        </w:tc>
      </w:tr>
      <w:tr w14:paraId="032A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31CB47">
            <w:pPr>
              <w:spacing w:after="0" w:line="240" w:lineRule="auto"/>
            </w:pPr>
            <w:r>
              <w:t>合计</w:t>
            </w:r>
          </w:p>
        </w:tc>
        <w:tc>
          <w:tcPr>
            <w:tcW w:w="2160" w:type="dxa"/>
          </w:tcPr>
          <w:p w14:paraId="6CFDC7C6">
            <w:pPr>
              <w:spacing w:after="0" w:line="240" w:lineRule="auto"/>
            </w:pPr>
            <w:r>
              <w:t>15</w:t>
            </w:r>
          </w:p>
        </w:tc>
        <w:tc>
          <w:tcPr>
            <w:tcW w:w="2160" w:type="dxa"/>
          </w:tcPr>
          <w:p w14:paraId="50FD93B1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1714424F">
            <w:pPr>
              <w:spacing w:after="0" w:line="240" w:lineRule="auto"/>
            </w:pPr>
            <w:r>
              <w:t>15（100%）</w:t>
            </w:r>
          </w:p>
        </w:tc>
      </w:tr>
    </w:tbl>
    <w:p w14:paraId="488F47E0">
      <w:pPr>
        <w:pStyle w:val="4"/>
      </w:pPr>
      <w:r>
        <w:t>3.2 典型用例分析</w:t>
      </w:r>
    </w:p>
    <w:p w14:paraId="07883273">
      <w:r>
        <w:rPr>
          <w:b w:val="0"/>
        </w:rPr>
        <w:t>从两个模块中选取6条最有代表性的用例，说明其设计思路：</w:t>
      </w:r>
    </w:p>
    <w:p w14:paraId="2603DA05">
      <w:r>
        <w:rPr>
          <w:b/>
        </w:rPr>
        <w:t>BS-IT-004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登录请求不携带验证码应被拒绝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143"/>
      </w:tblGrid>
      <w:tr w14:paraId="446E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B341E17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</w:tcPr>
          <w:p w14:paraId="6DCECCF5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B22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D979B23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7143" w:type="dxa"/>
          </w:tcPr>
          <w:p w14:paraId="3CB0CA3A">
            <w:pPr>
              <w:spacing w:after="0" w:line="240" w:lineRule="auto"/>
            </w:pPr>
            <w:r>
              <w:t>等价类无效类/场景法</w:t>
            </w:r>
          </w:p>
        </w:tc>
      </w:tr>
      <w:tr w14:paraId="16AD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D70E0BD">
            <w:pPr>
              <w:spacing w:after="0" w:line="240" w:lineRule="auto"/>
            </w:pPr>
            <w:r>
              <w:t>输入</w:t>
            </w:r>
          </w:p>
        </w:tc>
        <w:tc>
          <w:tcPr>
            <w:tcW w:w="7143" w:type="dxa"/>
          </w:tcPr>
          <w:p w14:paraId="16940F4F">
            <w:pPr>
              <w:spacing w:after="0" w:line="240" w:lineRule="auto"/>
            </w:pPr>
            <w:r>
              <w:t>username=admin、password=admin，会话中不存在验证码，且不提交code参数</w:t>
            </w:r>
          </w:p>
        </w:tc>
      </w:tr>
      <w:tr w14:paraId="2509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085A261">
            <w:pPr>
              <w:spacing w:after="0" w:line="240" w:lineRule="auto"/>
            </w:pPr>
            <w:r>
              <w:t>预期输出</w:t>
            </w:r>
          </w:p>
        </w:tc>
        <w:tc>
          <w:tcPr>
            <w:tcW w:w="7143" w:type="dxa"/>
          </w:tcPr>
          <w:p w14:paraId="6684492F">
            <w:pPr>
              <w:spacing w:after="0" w:line="240" w:lineRule="auto"/>
            </w:pPr>
            <w:r>
              <w:t>应提示验证码错误并拒绝登录，不得进入系统</w:t>
            </w:r>
          </w:p>
        </w:tc>
      </w:tr>
      <w:tr w14:paraId="3245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61B2C81">
            <w:pPr>
              <w:spacing w:after="0" w:line="240" w:lineRule="auto"/>
            </w:pPr>
            <w:r>
              <w:t>设计依据</w:t>
            </w:r>
          </w:p>
        </w:tc>
        <w:tc>
          <w:tcPr>
            <w:tcW w:w="7143" w:type="dxa"/>
          </w:tcPr>
          <w:p w14:paraId="4696B8E0">
            <w:pPr>
              <w:spacing w:after="0" w:line="240" w:lineRule="auto"/>
            </w:pPr>
            <w:r>
              <w:t>登录是系统最关键的鉴权入口，若验证码形同虚设，攻击者可对任意账号做口令爆破。该用例刻意构造</w:t>
            </w:r>
            <w:r>
              <w:rPr>
                <w:rFonts w:hint="eastAsia"/>
                <w:lang w:eastAsia="zh-CN"/>
              </w:rPr>
              <w:t>“</w:t>
            </w:r>
            <w:r>
              <w:t>凭据完全正确但缺少验证码</w:t>
            </w:r>
            <w:r>
              <w:rPr>
                <w:rFonts w:hint="eastAsia"/>
                <w:lang w:eastAsia="zh-CN"/>
              </w:rPr>
              <w:t>”</w:t>
            </w:r>
            <w:r>
              <w:t>的组合——若系统只校验凭据，就会放行，从而精确暴露</w:t>
            </w:r>
            <w:r>
              <w:rPr>
                <w:rFonts w:hint="eastAsia"/>
                <w:lang w:eastAsia="zh-CN"/>
              </w:rPr>
              <w:t>“</w:t>
            </w:r>
            <w:r>
              <w:t>校验项缺失</w:t>
            </w:r>
            <w:r>
              <w:rPr>
                <w:rFonts w:hint="eastAsia"/>
                <w:lang w:eastAsia="zh-CN"/>
              </w:rPr>
              <w:t>”</w:t>
            </w:r>
            <w:r>
              <w:t>这一类缺陷，而不是笼统地测</w:t>
            </w:r>
            <w:r>
              <w:rPr>
                <w:rFonts w:hint="eastAsia"/>
                <w:lang w:eastAsia="zh-CN"/>
              </w:rPr>
              <w:t>“</w:t>
            </w:r>
            <w:r>
              <w:t>登录能不能用</w:t>
            </w:r>
            <w:r>
              <w:rPr>
                <w:rFonts w:hint="default"/>
                <w:lang w:val="en-US" w:eastAsia="zh-CN"/>
              </w:rPr>
              <w:t>”</w:t>
            </w:r>
            <w:r>
              <w:t>。</w:t>
            </w:r>
          </w:p>
        </w:tc>
      </w:tr>
    </w:tbl>
    <w:p w14:paraId="01AD0C40"/>
    <w:p w14:paraId="69BD74FF">
      <w:r>
        <w:rPr>
          <w:b/>
        </w:rPr>
        <w:t>BS-UT-006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注册时两次密码不一致应被拒绝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143"/>
      </w:tblGrid>
      <w:tr w14:paraId="1172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338A372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</w:tcPr>
          <w:p w14:paraId="7DCB6EB7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18DC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17C7EA9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7143" w:type="dxa"/>
          </w:tcPr>
          <w:p w14:paraId="7DD1A38E">
            <w:pPr>
              <w:spacing w:after="0" w:line="240" w:lineRule="auto"/>
            </w:pPr>
            <w:r>
              <w:t>等价类无效类+动态代理桩</w:t>
            </w:r>
          </w:p>
        </w:tc>
      </w:tr>
      <w:tr w14:paraId="01E2B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748E0CF">
            <w:pPr>
              <w:spacing w:after="0" w:line="240" w:lineRule="auto"/>
            </w:pPr>
            <w:r>
              <w:t>输入</w:t>
            </w:r>
          </w:p>
        </w:tc>
        <w:tc>
          <w:tcPr>
            <w:tcW w:w="7143" w:type="dxa"/>
          </w:tcPr>
          <w:p w14:paraId="4A5ACDEC">
            <w:pPr>
              <w:spacing w:after="0" w:line="240" w:lineRule="auto"/>
            </w:pPr>
            <w:r>
              <w:t>password=123456、repwd=654321（故意不一致），并向会话注入正确验证码以越过验证码门槛</w:t>
            </w:r>
          </w:p>
        </w:tc>
      </w:tr>
      <w:tr w14:paraId="0BF8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76329BA">
            <w:pPr>
              <w:spacing w:after="0" w:line="240" w:lineRule="auto"/>
            </w:pPr>
            <w:r>
              <w:t>预期输出</w:t>
            </w:r>
          </w:p>
        </w:tc>
        <w:tc>
          <w:tcPr>
            <w:tcW w:w="7143" w:type="dxa"/>
          </w:tcPr>
          <w:p w14:paraId="7EFFAC54">
            <w:pPr>
              <w:spacing w:after="0" w:line="240" w:lineRule="auto"/>
            </w:pPr>
            <w:r>
              <w:t>应提示两次密码不一致并拒绝注册，数据库中不新增该用户</w:t>
            </w:r>
          </w:p>
        </w:tc>
      </w:tr>
      <w:tr w14:paraId="5FC29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24F382F">
            <w:pPr>
              <w:spacing w:after="0" w:line="240" w:lineRule="auto"/>
            </w:pPr>
            <w:r>
              <w:t>设计依据</w:t>
            </w:r>
          </w:p>
        </w:tc>
        <w:tc>
          <w:tcPr>
            <w:tcW w:w="7143" w:type="dxa"/>
          </w:tcPr>
          <w:p w14:paraId="67F66A83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确认密码</w:t>
            </w:r>
            <w:r>
              <w:rPr>
                <w:rFonts w:hint="eastAsia"/>
                <w:lang w:eastAsia="zh-CN"/>
              </w:rPr>
              <w:t>”</w:t>
            </w:r>
            <w:r>
              <w:t>是一个跨字段的一致性约束，单看密码字段无法覆盖。而该分支被验证码保护，HTTP 脚本无法获取验证码图片中的内容，因此用动态代理构造HttpServletRequest/HttpSession桩注入验证码，使测试能够到达目标分支，同时仍走真实的Servlet→Service→DAO→MySQL链路与事务过滤器。</w:t>
            </w:r>
          </w:p>
        </w:tc>
      </w:tr>
    </w:tbl>
    <w:p w14:paraId="67CE6A07"/>
    <w:p w14:paraId="18984B3C">
      <w:r>
        <w:rPr>
          <w:b/>
        </w:rPr>
        <w:t>BS-IT-065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修改商品数量为负数应被拒绝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143"/>
      </w:tblGrid>
      <w:tr w14:paraId="680C1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FD8DCE6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</w:tcPr>
          <w:p w14:paraId="32A7F849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0992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B174690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7143" w:type="dxa"/>
          </w:tcPr>
          <w:p w14:paraId="19357361">
            <w:pPr>
              <w:spacing w:after="0" w:line="240" w:lineRule="auto"/>
            </w:pPr>
            <w:r>
              <w:t>边界值分析</w:t>
            </w:r>
          </w:p>
        </w:tc>
      </w:tr>
      <w:tr w14:paraId="18CFB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87814B3">
            <w:pPr>
              <w:spacing w:after="0" w:line="240" w:lineRule="auto"/>
            </w:pPr>
            <w:r>
              <w:t>输入</w:t>
            </w:r>
          </w:p>
        </w:tc>
        <w:tc>
          <w:tcPr>
            <w:tcW w:w="7143" w:type="dxa"/>
          </w:tcPr>
          <w:p w14:paraId="39F9F52C">
            <w:pPr>
              <w:spacing w:after="0" w:line="240" w:lineRule="auto"/>
            </w:pPr>
            <w:r>
              <w:t>购物车中已有2件商品，提交updateCount&amp;count=-5</w:t>
            </w:r>
          </w:p>
        </w:tc>
      </w:tr>
      <w:tr w14:paraId="31963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3BF77AD">
            <w:pPr>
              <w:spacing w:after="0" w:line="240" w:lineRule="auto"/>
            </w:pPr>
            <w:r>
              <w:t>预期输出</w:t>
            </w:r>
          </w:p>
        </w:tc>
        <w:tc>
          <w:tcPr>
            <w:tcW w:w="7143" w:type="dxa"/>
          </w:tcPr>
          <w:p w14:paraId="734050B4">
            <w:pPr>
              <w:spacing w:after="0" w:line="240" w:lineRule="auto"/>
            </w:pPr>
            <w:r>
              <w:t>应拒绝负数并保留原数量，购物车总数量不得为负</w:t>
            </w:r>
          </w:p>
        </w:tc>
      </w:tr>
      <w:tr w14:paraId="796A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55AE925">
            <w:pPr>
              <w:spacing w:after="0" w:line="240" w:lineRule="auto"/>
            </w:pPr>
            <w:r>
              <w:t>设计依据</w:t>
            </w:r>
          </w:p>
        </w:tc>
        <w:tc>
          <w:tcPr>
            <w:tcW w:w="7143" w:type="dxa"/>
          </w:tcPr>
          <w:p w14:paraId="75B2CD2A">
            <w:pPr>
              <w:spacing w:after="0" w:line="240" w:lineRule="auto"/>
            </w:pPr>
            <w:r>
              <w:t>数量是数值型参数，其下界是典型的边界值。负数不会像超大值那样立刻报错，而是会让后续的库存扣减、订单金额全部反向，属于</w:t>
            </w:r>
            <w:r>
              <w:rPr>
                <w:rFonts w:hint="eastAsia"/>
                <w:lang w:eastAsia="zh-CN"/>
              </w:rPr>
              <w:t>“</w:t>
            </w:r>
            <w:r>
              <w:t>静默产生错误数据</w:t>
            </w:r>
            <w:r>
              <w:rPr>
                <w:rFonts w:hint="eastAsia"/>
                <w:lang w:eastAsia="zh-CN"/>
              </w:rPr>
              <w:t>”</w:t>
            </w:r>
            <w:r>
              <w:t>的隐蔽缺陷。用例不直接观察页面，而是通过再添加一件商品、读取返回JSON中的totalCount反推内部状态。</w:t>
            </w:r>
          </w:p>
        </w:tc>
      </w:tr>
    </w:tbl>
    <w:p w14:paraId="29E648AC"/>
    <w:p w14:paraId="4EA484F6">
      <w:r>
        <w:rPr>
          <w:b/>
        </w:rPr>
        <w:t>BS-IT-063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加入购物车时传入不存在的图书ID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143"/>
      </w:tblGrid>
      <w:tr w14:paraId="239EB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CE0E42C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</w:tcPr>
          <w:p w14:paraId="7AA4C409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7A05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21FD05FD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7143" w:type="dxa"/>
          </w:tcPr>
          <w:p w14:paraId="21485983">
            <w:pPr>
              <w:spacing w:after="0" w:line="240" w:lineRule="auto"/>
            </w:pPr>
            <w:r>
              <w:t>边界值分析</w:t>
            </w:r>
          </w:p>
        </w:tc>
      </w:tr>
      <w:tr w14:paraId="0A5B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4081774">
            <w:pPr>
              <w:spacing w:after="0" w:line="240" w:lineRule="auto"/>
            </w:pPr>
            <w:r>
              <w:t>输入</w:t>
            </w:r>
          </w:p>
        </w:tc>
        <w:tc>
          <w:tcPr>
            <w:tcW w:w="7143" w:type="dxa"/>
          </w:tcPr>
          <w:p w14:paraId="54827FD3">
            <w:pPr>
              <w:spacing w:after="0" w:line="240" w:lineRule="auto"/>
            </w:pPr>
            <w:r>
              <w:t>id=99999（数据库中不存在该图书）</w:t>
            </w:r>
          </w:p>
        </w:tc>
      </w:tr>
      <w:tr w14:paraId="397B4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0535D20A">
            <w:pPr>
              <w:spacing w:after="0" w:line="240" w:lineRule="auto"/>
            </w:pPr>
            <w:r>
              <w:t>预期输出</w:t>
            </w:r>
          </w:p>
        </w:tc>
        <w:tc>
          <w:tcPr>
            <w:tcW w:w="7143" w:type="dxa"/>
          </w:tcPr>
          <w:p w14:paraId="659C2A2C">
            <w:pPr>
              <w:spacing w:after="0" w:line="240" w:lineRule="auto"/>
            </w:pPr>
            <w:r>
              <w:t>应友好提示图书不存在，不得抛出服务端异常</w:t>
            </w:r>
          </w:p>
        </w:tc>
      </w:tr>
      <w:tr w14:paraId="59791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4CFFF5C">
            <w:pPr>
              <w:spacing w:after="0" w:line="240" w:lineRule="auto"/>
            </w:pPr>
            <w:r>
              <w:t>设计依据</w:t>
            </w:r>
          </w:p>
        </w:tc>
        <w:tc>
          <w:tcPr>
            <w:tcW w:w="7143" w:type="dxa"/>
          </w:tcPr>
          <w:p w14:paraId="6BADCADB">
            <w:pPr>
              <w:spacing w:after="0" w:line="240" w:lineRule="auto"/>
            </w:pPr>
            <w:r>
              <w:t>接口参数的合法性包含</w:t>
            </w:r>
            <w:r>
              <w:rPr>
                <w:rFonts w:hint="eastAsia"/>
                <w:lang w:eastAsia="zh-CN"/>
              </w:rPr>
              <w:t>“</w:t>
            </w:r>
            <w:r>
              <w:t>格式合法</w:t>
            </w:r>
            <w:r>
              <w:rPr>
                <w:rFonts w:hint="eastAsia"/>
                <w:lang w:eastAsia="zh-CN"/>
              </w:rPr>
              <w:t>”</w:t>
            </w:r>
            <w:r>
              <w:t>与</w:t>
            </w:r>
            <w:r>
              <w:rPr>
                <w:rFonts w:hint="eastAsia"/>
                <w:lang w:eastAsia="zh-CN"/>
              </w:rPr>
              <w:t>“</w:t>
            </w:r>
            <w:r>
              <w:t>业务存在</w:t>
            </w:r>
            <w:r>
              <w:rPr>
                <w:rFonts w:hint="eastAsia"/>
                <w:lang w:eastAsia="zh-CN"/>
              </w:rPr>
              <w:t>”</w:t>
            </w:r>
            <w:r>
              <w:t>两层。只测格式会漏掉存在性校验的缺失；只测格式非法又会把两类问题混为一谈。因此拆成两条用例分别用99999与abc取值，实践证明确实暴露了两个不同成因的问题。</w:t>
            </w:r>
          </w:p>
        </w:tc>
      </w:tr>
    </w:tbl>
    <w:p w14:paraId="0CABEB1A"/>
    <w:p w14:paraId="228D94A8">
      <w:r>
        <w:rPr>
          <w:b/>
        </w:rPr>
        <w:t>BS-IT-005　注册时验证码缺失应被拒绝且不落库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143"/>
      </w:tblGrid>
      <w:tr w14:paraId="6D9C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4EF21FB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</w:tcPr>
          <w:p w14:paraId="7305BD2B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773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779C250A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7143" w:type="dxa"/>
          </w:tcPr>
          <w:p w14:paraId="0B9D95E0">
            <w:pPr>
              <w:spacing w:after="0" w:line="240" w:lineRule="auto"/>
            </w:pPr>
            <w:r>
              <w:t>场景法</w:t>
            </w:r>
          </w:p>
        </w:tc>
      </w:tr>
      <w:tr w14:paraId="4D3F3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B61317E">
            <w:pPr>
              <w:spacing w:after="0" w:line="240" w:lineRule="auto"/>
            </w:pPr>
            <w:r>
              <w:t>输入</w:t>
            </w:r>
          </w:p>
        </w:tc>
        <w:tc>
          <w:tcPr>
            <w:tcW w:w="7143" w:type="dxa"/>
          </w:tcPr>
          <w:p w14:paraId="392B7F31">
            <w:pPr>
              <w:spacing w:after="0" w:line="240" w:lineRule="auto"/>
            </w:pPr>
            <w:r>
              <w:t>username=probe01，不提交code参数，且会话中无验证码</w:t>
            </w:r>
          </w:p>
        </w:tc>
      </w:tr>
      <w:tr w14:paraId="144E4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11CAC1DD">
            <w:pPr>
              <w:spacing w:after="0" w:line="240" w:lineRule="auto"/>
            </w:pPr>
            <w:r>
              <w:t>预期输出</w:t>
            </w:r>
          </w:p>
        </w:tc>
        <w:tc>
          <w:tcPr>
            <w:tcW w:w="7143" w:type="dxa"/>
          </w:tcPr>
          <w:p w14:paraId="4909C8F0">
            <w:pPr>
              <w:spacing w:after="0" w:line="240" w:lineRule="auto"/>
            </w:pPr>
            <w:r>
              <w:t>应提示验证码错误，且数据库中不得新增该用户</w:t>
            </w:r>
          </w:p>
        </w:tc>
      </w:tr>
      <w:tr w14:paraId="1E8EC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5ED89F2">
            <w:pPr>
              <w:spacing w:after="0" w:line="240" w:lineRule="auto"/>
            </w:pPr>
            <w:r>
              <w:t>设计依据</w:t>
            </w:r>
          </w:p>
        </w:tc>
        <w:tc>
          <w:tcPr>
            <w:tcW w:w="7143" w:type="dxa"/>
          </w:tcPr>
          <w:p w14:paraId="0971440E">
            <w:pPr>
              <w:spacing w:after="0" w:line="240" w:lineRule="auto"/>
            </w:pPr>
            <w:r>
              <w:t>这是</w:t>
            </w:r>
            <w:r>
              <w:rPr>
                <w:rFonts w:hint="eastAsia"/>
                <w:lang w:eastAsia="zh-CN"/>
              </w:rPr>
              <w:t>“</w:t>
            </w:r>
            <w:r>
              <w:t>拒绝类</w:t>
            </w:r>
            <w:r>
              <w:rPr>
                <w:rFonts w:hint="eastAsia"/>
                <w:lang w:eastAsia="zh-CN"/>
              </w:rPr>
              <w:t>”</w:t>
            </w:r>
            <w:r>
              <w:t>用例：仅断言页面提示不够，因为提示正确但数据已写入同样是缺陷。因此用例执行后直连数据库统计该用户名是否存在，把</w:t>
            </w:r>
            <w:r>
              <w:rPr>
                <w:rFonts w:hint="eastAsia"/>
                <w:lang w:eastAsia="zh-CN"/>
              </w:rPr>
              <w:t>“</w:t>
            </w:r>
            <w:r>
              <w:t>界面表现</w:t>
            </w:r>
            <w:r>
              <w:rPr>
                <w:rFonts w:hint="eastAsia"/>
                <w:lang w:eastAsia="zh-CN"/>
              </w:rPr>
              <w:t>”</w:t>
            </w:r>
            <w:r>
              <w:t>与</w:t>
            </w:r>
            <w:r>
              <w:rPr>
                <w:rFonts w:hint="eastAsia"/>
                <w:lang w:eastAsia="zh-CN"/>
              </w:rPr>
              <w:t>“</w:t>
            </w:r>
            <w:r>
              <w:t>数据状态</w:t>
            </w:r>
            <w:r>
              <w:rPr>
                <w:rFonts w:hint="eastAsia"/>
                <w:lang w:eastAsia="zh-CN"/>
              </w:rPr>
              <w:t>”</w:t>
            </w:r>
            <w:r>
              <w:t>两层都纳入断言。</w:t>
            </w:r>
          </w:p>
        </w:tc>
      </w:tr>
    </w:tbl>
    <w:p w14:paraId="54A891E4"/>
    <w:p w14:paraId="0868CD6C">
      <w:r>
        <w:rPr>
          <w:b/>
        </w:rPr>
        <w:t>BS-UT-062</w:t>
      </w:r>
      <w:r>
        <w:rPr>
          <w:rFonts w:hint="eastAsia"/>
          <w:b/>
          <w:lang w:val="en-US" w:eastAsia="zh-CN"/>
        </w:rPr>
        <w:t xml:space="preserve"> </w:t>
      </w:r>
      <w:r>
        <w:rPr>
          <w:b/>
        </w:rPr>
        <w:t>购物车总金额使用BigDecimal精确计算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143"/>
      </w:tblGrid>
      <w:tr w14:paraId="2B3F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5F69D3EC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7143" w:type="dxa"/>
          </w:tcPr>
          <w:p w14:paraId="2C71433F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E3F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99B188A">
            <w:pPr>
              <w:spacing w:after="0" w:line="240" w:lineRule="auto"/>
            </w:pPr>
            <w:r>
              <w:t>测试方法</w:t>
            </w:r>
          </w:p>
        </w:tc>
        <w:tc>
          <w:tcPr>
            <w:tcW w:w="7143" w:type="dxa"/>
          </w:tcPr>
          <w:p w14:paraId="6997C49C">
            <w:pPr>
              <w:spacing w:after="0" w:line="240" w:lineRule="auto"/>
            </w:pPr>
            <w:r>
              <w:t>等价类划分+数据精度验证</w:t>
            </w:r>
          </w:p>
        </w:tc>
      </w:tr>
      <w:tr w14:paraId="2240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3B389736">
            <w:pPr>
              <w:spacing w:after="0" w:line="240" w:lineRule="auto"/>
            </w:pPr>
            <w:r>
              <w:t>输入</w:t>
            </w:r>
          </w:p>
        </w:tc>
        <w:tc>
          <w:tcPr>
            <w:tcW w:w="7143" w:type="dxa"/>
          </w:tcPr>
          <w:p w14:paraId="61D73C98">
            <w:pPr>
              <w:spacing w:after="0" w:line="240" w:lineRule="auto"/>
            </w:pPr>
            <w:r>
              <w:t>单价27.20、数量改为3</w:t>
            </w:r>
          </w:p>
        </w:tc>
      </w:tr>
      <w:tr w14:paraId="5084B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6B0F96DA">
            <w:pPr>
              <w:spacing w:after="0" w:line="240" w:lineRule="auto"/>
            </w:pPr>
            <w:r>
              <w:t>预期输出</w:t>
            </w:r>
          </w:p>
        </w:tc>
        <w:tc>
          <w:tcPr>
            <w:tcW w:w="7143" w:type="dxa"/>
          </w:tcPr>
          <w:p w14:paraId="050F4671">
            <w:pPr>
              <w:spacing w:after="0" w:line="240" w:lineRule="auto"/>
            </w:pPr>
            <w:r>
              <w:t>总金额应为81.60，且与BigDecimal精确值相等</w:t>
            </w:r>
          </w:p>
        </w:tc>
      </w:tr>
      <w:tr w14:paraId="3DE8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dxa"/>
          </w:tcPr>
          <w:p w14:paraId="4390E2EF">
            <w:pPr>
              <w:spacing w:after="0" w:line="240" w:lineRule="auto"/>
            </w:pPr>
            <w:r>
              <w:t>设计依据</w:t>
            </w:r>
          </w:p>
        </w:tc>
        <w:tc>
          <w:tcPr>
            <w:tcW w:w="7143" w:type="dxa"/>
          </w:tcPr>
          <w:p w14:paraId="7577DE23">
            <w:pPr>
              <w:spacing w:after="0" w:line="240" w:lineRule="auto"/>
            </w:pPr>
            <w:r>
              <w:t>金额使用double运算会产生二进制浮点误差，误差累积到订单金额上属于数据正确性问题。用例刻意选取27.20这类无法用二进制精确表示的小数，并用toPlainString()与期望值比对，而不是用容差比较，确保精度问题不会被掩盖。</w:t>
            </w:r>
          </w:p>
        </w:tc>
      </w:tr>
    </w:tbl>
    <w:p w14:paraId="44137B98"/>
    <w:p w14:paraId="2E7DACC6">
      <w:pPr>
        <w:pStyle w:val="4"/>
      </w:pPr>
      <w:r>
        <w:t>3.3 用例分布</w:t>
      </w:r>
    </w:p>
    <w:p w14:paraId="3734E003">
      <w:r>
        <w:rPr>
          <w:b w:val="0"/>
        </w:rPr>
        <w:t>测试用例与需求的对应关系如下：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D4CF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2D11B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</w:tcPr>
          <w:p w14:paraId="2FB8A3B6">
            <w:pPr>
              <w:spacing w:after="0" w:line="240" w:lineRule="auto"/>
            </w:pPr>
            <w:r>
              <w:rPr>
                <w:b/>
              </w:rPr>
              <w:t>被测模块</w:t>
            </w:r>
          </w:p>
        </w:tc>
        <w:tc>
          <w:tcPr>
            <w:tcW w:w="2160" w:type="dxa"/>
          </w:tcPr>
          <w:p w14:paraId="6C15C2D6">
            <w:pPr>
              <w:spacing w:after="0" w:line="240" w:lineRule="auto"/>
            </w:pPr>
            <w:r>
              <w:rPr>
                <w:b/>
              </w:rPr>
              <w:t>需求简述</w:t>
            </w:r>
          </w:p>
        </w:tc>
        <w:tc>
          <w:tcPr>
            <w:tcW w:w="2160" w:type="dxa"/>
          </w:tcPr>
          <w:p w14:paraId="5093C461">
            <w:pPr>
              <w:spacing w:after="0" w:line="240" w:lineRule="auto"/>
            </w:pPr>
            <w:r>
              <w:rPr>
                <w:b/>
              </w:rPr>
              <w:t>测试用例数量</w:t>
            </w:r>
          </w:p>
        </w:tc>
      </w:tr>
      <w:tr w14:paraId="2F6F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D32FE5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4288CED5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2160" w:type="dxa"/>
          </w:tcPr>
          <w:p w14:paraId="75B49FCA">
            <w:pPr>
              <w:spacing w:after="0" w:line="240" w:lineRule="auto"/>
            </w:pPr>
            <w:r>
              <w:t>用户登录：凭据正确应登录成功；凭据错误应拒绝；且登录必须校验验证码</w:t>
            </w:r>
          </w:p>
        </w:tc>
        <w:tc>
          <w:tcPr>
            <w:tcW w:w="2160" w:type="dxa"/>
          </w:tcPr>
          <w:p w14:paraId="2E8B8870">
            <w:pPr>
              <w:spacing w:after="0" w:line="240" w:lineRule="auto"/>
            </w:pPr>
            <w:r>
              <w:t>4</w:t>
            </w:r>
          </w:p>
        </w:tc>
      </w:tr>
      <w:tr w14:paraId="50C7C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F2755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3AD3F2C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2160" w:type="dxa"/>
          </w:tcPr>
          <w:p w14:paraId="664E5BA6">
            <w:pPr>
              <w:spacing w:after="0" w:line="240" w:lineRule="auto"/>
            </w:pPr>
            <w:r>
              <w:t>用户注册：验证码缺失应拒绝且不落库；两次密码不一致应拒绝</w:t>
            </w:r>
          </w:p>
        </w:tc>
        <w:tc>
          <w:tcPr>
            <w:tcW w:w="2160" w:type="dxa"/>
          </w:tcPr>
          <w:p w14:paraId="0E74665A">
            <w:pPr>
              <w:spacing w:after="0" w:line="240" w:lineRule="auto"/>
            </w:pPr>
            <w:r>
              <w:t>2</w:t>
            </w:r>
          </w:p>
        </w:tc>
      </w:tr>
      <w:tr w14:paraId="3A2CE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8509B8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353C390E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2160" w:type="dxa"/>
          </w:tcPr>
          <w:p w14:paraId="40EB4273">
            <w:pPr>
              <w:spacing w:after="0" w:line="240" w:lineRule="auto"/>
            </w:pPr>
            <w:r>
              <w:t>用户名可用性查重接口应返回正确的占用状态</w:t>
            </w:r>
          </w:p>
        </w:tc>
        <w:tc>
          <w:tcPr>
            <w:tcW w:w="2160" w:type="dxa"/>
          </w:tcPr>
          <w:p w14:paraId="3539802A">
            <w:pPr>
              <w:spacing w:after="0" w:line="240" w:lineRule="auto"/>
            </w:pPr>
            <w:r>
              <w:t>1</w:t>
            </w:r>
          </w:p>
        </w:tc>
      </w:tr>
      <w:tr w14:paraId="6D67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9E7851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413F1480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2160" w:type="dxa"/>
          </w:tcPr>
          <w:p w14:paraId="5FF3277A">
            <w:pPr>
              <w:spacing w:after="0" w:line="240" w:lineRule="auto"/>
            </w:pPr>
            <w:r>
              <w:t>加入购物车：正常加入、重复加购应累加；图书不存在或编号非法应友好处理</w:t>
            </w:r>
          </w:p>
        </w:tc>
        <w:tc>
          <w:tcPr>
            <w:tcW w:w="2160" w:type="dxa"/>
          </w:tcPr>
          <w:p w14:paraId="4D7FFB8D">
            <w:pPr>
              <w:spacing w:after="0" w:line="240" w:lineRule="auto"/>
            </w:pPr>
            <w:r>
              <w:t>3</w:t>
            </w:r>
          </w:p>
        </w:tc>
      </w:tr>
      <w:tr w14:paraId="3ED9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EA6317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5C11FFE7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2160" w:type="dxa"/>
          </w:tcPr>
          <w:p w14:paraId="6A8F7AED">
            <w:pPr>
              <w:spacing w:after="0" w:line="240" w:lineRule="auto"/>
            </w:pPr>
            <w:r>
              <w:t>修改商品数量：正常修改生效；负数与非数字应被拒绝并保留原值；金额应精确</w:t>
            </w:r>
          </w:p>
        </w:tc>
        <w:tc>
          <w:tcPr>
            <w:tcW w:w="2160" w:type="dxa"/>
          </w:tcPr>
          <w:p w14:paraId="7B868B2B">
            <w:pPr>
              <w:spacing w:after="0" w:line="240" w:lineRule="auto"/>
            </w:pPr>
            <w:r>
              <w:t>3</w:t>
            </w:r>
          </w:p>
        </w:tc>
      </w:tr>
      <w:tr w14:paraId="39D0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E38455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485F8A15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2160" w:type="dxa"/>
          </w:tcPr>
          <w:p w14:paraId="17B336B9">
            <w:pPr>
              <w:spacing w:after="0" w:line="240" w:lineRule="auto"/>
            </w:pPr>
            <w:r>
              <w:t>删除与清空购物车：删除指定商品；清空后会话中的购物车应被移除</w:t>
            </w:r>
          </w:p>
        </w:tc>
        <w:tc>
          <w:tcPr>
            <w:tcW w:w="2160" w:type="dxa"/>
          </w:tcPr>
          <w:p w14:paraId="5CB490A6">
            <w:pPr>
              <w:spacing w:after="0" w:line="240" w:lineRule="auto"/>
            </w:pPr>
            <w:r>
              <w:t>2</w:t>
            </w:r>
          </w:p>
        </w:tc>
      </w:tr>
      <w:tr w14:paraId="6A8F8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C88F27">
            <w:pPr>
              <w:spacing w:after="0" w:line="240" w:lineRule="auto"/>
            </w:pPr>
          </w:p>
        </w:tc>
        <w:tc>
          <w:tcPr>
            <w:tcW w:w="2160" w:type="dxa"/>
          </w:tcPr>
          <w:p w14:paraId="60D10FF3">
            <w:pPr>
              <w:spacing w:after="0" w:line="240" w:lineRule="auto"/>
            </w:pPr>
            <w:r>
              <w:t>合计</w:t>
            </w:r>
          </w:p>
        </w:tc>
        <w:tc>
          <w:tcPr>
            <w:tcW w:w="2160" w:type="dxa"/>
          </w:tcPr>
          <w:p w14:paraId="5FC0F1F3">
            <w:pPr>
              <w:spacing w:after="0" w:line="240" w:lineRule="auto"/>
            </w:pPr>
          </w:p>
        </w:tc>
        <w:tc>
          <w:tcPr>
            <w:tcW w:w="2160" w:type="dxa"/>
          </w:tcPr>
          <w:p w14:paraId="1DEC8064">
            <w:pPr>
              <w:spacing w:after="0" w:line="240" w:lineRule="auto"/>
            </w:pPr>
            <w:r>
              <w:t>15</w:t>
            </w:r>
          </w:p>
        </w:tc>
      </w:tr>
    </w:tbl>
    <w:p w14:paraId="20696E06">
      <w:r>
        <w:br w:type="page"/>
      </w:r>
    </w:p>
    <w:p w14:paraId="75676214">
      <w:pPr>
        <w:pStyle w:val="3"/>
      </w:pPr>
      <w:r>
        <w:t>4 自动化测试实现</w:t>
      </w:r>
    </w:p>
    <w:p w14:paraId="59A41FB5">
      <w:pPr>
        <w:pStyle w:val="4"/>
      </w:pPr>
      <w:r>
        <w:t>4.1 测试框架与架构</w:t>
      </w:r>
    </w:p>
    <w:p w14:paraId="4567F06C">
      <w:r>
        <w:rPr>
          <w:b w:val="0"/>
        </w:rPr>
        <w:t>测试框架：JUnit 4.12</w:t>
      </w:r>
    </w:p>
    <w:p w14:paraId="2A2781D4">
      <w:r>
        <w:rPr>
          <w:b/>
        </w:rPr>
        <w:t>项目结构：</w:t>
      </w:r>
    </w:p>
    <w:p w14:paraId="6FDC0E9B">
      <w:r>
        <w:rPr>
          <w:rFonts w:ascii="Consolas" w:hAnsi="Consolas"/>
          <w:color w:val="222222"/>
          <w:sz w:val="18"/>
        </w:rPr>
        <w:t>├── run-tests.bat                        一键运行：检查环境 → 备依赖 → 生成源文件清单 → 编译 → 执行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├── build/                               编译输出（构建产物，不入版本库）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└── src/com/yj/test/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├── common/                          测试基础设施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│   ├── HttpTestClient.java          集成测试 HTTP 客户端（自动管理 JSESSIONID 会话）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│   ├── MockHttp.java                Servlet 单元测试桩（JDK 动态代理实现）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│   └── TestDb.java                  测试直连数据库，用于断言真实落库结果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├── m1/M1UserAuthTest.java           M1 用户认证 7 条用例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├── m4/M4CartTest.java               M4 购物车 8 条用例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└── TestRunner.java                  执行入口，按用例编号输出逐条结果与汇总统计</w:t>
      </w:r>
    </w:p>
    <w:p w14:paraId="4E4AC477">
      <w:pPr>
        <w:pStyle w:val="4"/>
      </w:pPr>
      <w:r>
        <w:t>4.2 关键实现说明</w:t>
      </w:r>
    </w:p>
    <w:p w14:paraId="52FBFC8F">
      <w:r>
        <w:rPr>
          <w:b w:val="0"/>
        </w:rPr>
        <w:t>① 用动态代理桩突破验证码门槛</w:t>
      </w:r>
    </w:p>
    <w:p w14:paraId="48CCDB7B">
      <w:r>
        <w:rPr>
          <w:rFonts w:ascii="Consolas" w:hAnsi="Consolas"/>
          <w:color w:val="222222"/>
          <w:sz w:val="18"/>
        </w:rPr>
        <w:t>public HttpServletRequest request()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return (HttpServletRequest) proxy(HttpServletRequest.class, new InvocationHandler()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@Override public Object invoke(Object p, Method m, Object[] args) throws Throwable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String n = m.getName();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if ("getSession".equals(n))      return session();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if ("getParameter".equals(n))    return params.get(args[0]);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if ("getParameterMap".equals(n)) return toParamMap();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if ("setAttribute".equals(n))    { requestAttrs.put((String) args[0], args[1]); return null; 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if ("getRequestDispatcher".equals(n)) return dispatcher((String) args[0]);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return fallback(p, m, args);   // 其余方法按返回值类型给默认值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});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}</w:t>
      </w:r>
    </w:p>
    <w:p w14:paraId="3B0B70B2">
      <w:r>
        <w:rPr>
          <w:b w:val="0"/>
        </w:rPr>
        <w:t>② 以生产一致的方式驱动Servlet：外层套真实的TransactionFilter</w:t>
      </w:r>
    </w:p>
    <w:p w14:paraId="6F17D8E7">
      <w:r>
        <w:rPr>
          <w:rFonts w:ascii="Consolas" w:hAnsi="Consolas"/>
          <w:color w:val="222222"/>
          <w:sz w:val="18"/>
        </w:rPr>
        <w:t>new TransactionFilter().doFilter(mock.request(), mock.response(), new FilterChain()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@Override public void doFilter(ServletRequest request, ServletResponse response)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    throws IOException, ServletException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doPost.invoke(servlet, request, response);   // 反射调用 protected 的 doPost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});</w:t>
      </w:r>
    </w:p>
    <w:p w14:paraId="7C89EF61">
      <w:r>
        <w:rPr>
          <w:b w:val="0"/>
        </w:rPr>
        <w:t>被测系统把事务边界交给了TransactionFilter（由它负责commit/rollback），Servlet内部的DAO拿到的是autoCommit=false的连接。若绕过过滤器直接调用，写操作既不会提交，又会因未提交的INSERT持有行锁而拖住后续的清理语句。因此这里让事务提交/回滚完全由被测代码自己完成，保证验证结果与生产行为一致。</w:t>
      </w:r>
    </w:p>
    <w:p w14:paraId="551EA2DC">
      <w:r>
        <w:rPr>
          <w:b w:val="0"/>
        </w:rPr>
        <w:t>③ 用例编号与执行日志的自动对应</w:t>
      </w:r>
    </w:p>
    <w:p w14:paraId="6178970C">
      <w:r>
        <w:rPr>
          <w:rFonts w:ascii="Consolas" w:hAnsi="Consolas"/>
          <w:color w:val="222222"/>
          <w:sz w:val="18"/>
        </w:rPr>
        <w:t>private static final Pattern CASE_ID = Pattern.compile("^(bsIt|bsUt)(\\d{3})_(.*)$");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static String caseId(String methodName)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Matcher m = CASE_ID.matcher(methodName);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if (!m.matches()) {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    return null;                                   // 不符合命名约定的方法不纳入统计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}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String kind = "bsIt".equals(m.group(1)) ? "IT" : "UT";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 xml:space="preserve">    return "BS-" + kind + "-" + m.group(2);            // bsIt001_xxx -&gt; BS-IT-001</w:t>
      </w:r>
      <w:r>
        <w:rPr>
          <w:rFonts w:ascii="Consolas" w:hAnsi="Consolas"/>
          <w:color w:val="222222"/>
          <w:sz w:val="18"/>
        </w:rPr>
        <w:br w:type="textWrapping"/>
      </w:r>
      <w:r>
        <w:rPr>
          <w:rFonts w:ascii="Consolas" w:hAnsi="Consolas"/>
          <w:color w:val="222222"/>
          <w:sz w:val="18"/>
        </w:rPr>
        <w:t>}</w:t>
      </w:r>
    </w:p>
    <w:p w14:paraId="2CABC193">
      <w:r>
        <w:rPr>
          <w:b w:val="0"/>
        </w:rPr>
        <w:t>测试数据组织：需要写库的用例遵循</w:t>
      </w:r>
      <w:r>
        <w:rPr>
          <w:rFonts w:hint="eastAsia"/>
          <w:b w:val="0"/>
          <w:lang w:eastAsia="zh-CN"/>
        </w:rPr>
        <w:t>“</w:t>
      </w:r>
      <w:r>
        <w:rPr>
          <w:b w:val="0"/>
        </w:rPr>
        <w:t>@Before准备、@After还原</w:t>
      </w:r>
      <w:r>
        <w:rPr>
          <w:rFonts w:hint="eastAsia"/>
          <w:b w:val="0"/>
          <w:lang w:eastAsia="zh-CN"/>
        </w:rPr>
        <w:t>”</w:t>
      </w:r>
      <w:r>
        <w:rPr>
          <w:b w:val="0"/>
        </w:rPr>
        <w:t>的原则，例如注册类用例在 @Before中deleteUser(name)、@After 中再次清理，使测试可反复执行而不污染数据库；购物车用例通过客户端实例持有的JSESSIONID维持会话，每次新建实例即获得一个空购物车，用例之间互不影响。</w:t>
      </w:r>
    </w:p>
    <w:p w14:paraId="105AA2FC">
      <w:r>
        <w:br w:type="page"/>
      </w:r>
    </w:p>
    <w:p w14:paraId="54F0040A">
      <w:pPr>
        <w:pStyle w:val="3"/>
      </w:pPr>
      <w:r>
        <w:t>5 执行结果与缺陷</w:t>
      </w:r>
    </w:p>
    <w:p w14:paraId="54D544F5">
      <w:pPr>
        <w:pStyle w:val="4"/>
      </w:pPr>
      <w:r>
        <w:t>5.1 执行结果</w:t>
      </w:r>
    </w:p>
    <w:p w14:paraId="65C40C06">
      <w:r>
        <w:rPr>
          <w:b w:val="0"/>
        </w:rPr>
        <w:t>初测（缺陷发现阶段）分模块执行结果：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64B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829825">
            <w:pPr>
              <w:spacing w:after="0" w:line="240" w:lineRule="auto"/>
            </w:pPr>
            <w:r>
              <w:rPr>
                <w:b/>
              </w:rPr>
              <w:t>被测模块</w:t>
            </w:r>
          </w:p>
        </w:tc>
        <w:tc>
          <w:tcPr>
            <w:tcW w:w="1728" w:type="dxa"/>
          </w:tcPr>
          <w:p w14:paraId="3BAC8D85">
            <w:pPr>
              <w:spacing w:after="0" w:line="240" w:lineRule="auto"/>
            </w:pPr>
            <w:r>
              <w:rPr>
                <w:b/>
              </w:rPr>
              <w:t>用例总数</w:t>
            </w:r>
          </w:p>
        </w:tc>
        <w:tc>
          <w:tcPr>
            <w:tcW w:w="1728" w:type="dxa"/>
          </w:tcPr>
          <w:p w14:paraId="3DCDBCF0">
            <w:pPr>
              <w:spacing w:after="0" w:line="240" w:lineRule="auto"/>
            </w:pPr>
            <w:r>
              <w:rPr>
                <w:b/>
              </w:rPr>
              <w:t>通过</w:t>
            </w:r>
          </w:p>
        </w:tc>
        <w:tc>
          <w:tcPr>
            <w:tcW w:w="1728" w:type="dxa"/>
          </w:tcPr>
          <w:p w14:paraId="40DAFD9D">
            <w:pPr>
              <w:spacing w:after="0" w:line="240" w:lineRule="auto"/>
            </w:pPr>
            <w:r>
              <w:rPr>
                <w:b/>
              </w:rPr>
              <w:t>失败</w:t>
            </w:r>
          </w:p>
        </w:tc>
        <w:tc>
          <w:tcPr>
            <w:tcW w:w="1728" w:type="dxa"/>
          </w:tcPr>
          <w:p w14:paraId="05098493">
            <w:pPr>
              <w:spacing w:after="0" w:line="240" w:lineRule="auto"/>
            </w:pPr>
            <w:r>
              <w:rPr>
                <w:b/>
              </w:rPr>
              <w:t>通过率</w:t>
            </w:r>
          </w:p>
        </w:tc>
      </w:tr>
      <w:tr w14:paraId="7B37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D6E8ED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1728" w:type="dxa"/>
          </w:tcPr>
          <w:p w14:paraId="6921FB73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01DF8851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15DEE951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56E3BAEE">
            <w:pPr>
              <w:spacing w:after="0" w:line="240" w:lineRule="auto"/>
            </w:pPr>
            <w:r>
              <w:t>71.4%</w:t>
            </w:r>
          </w:p>
        </w:tc>
      </w:tr>
      <w:tr w14:paraId="59A45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DAB562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77A3C8DF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30570EA7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5A3F6D30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434104FF">
            <w:pPr>
              <w:spacing w:after="0" w:line="240" w:lineRule="auto"/>
            </w:pPr>
            <w:r>
              <w:t>37.5%</w:t>
            </w:r>
          </w:p>
        </w:tc>
      </w:tr>
      <w:tr w14:paraId="034F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0B62CC">
            <w:pPr>
              <w:spacing w:after="0" w:line="240" w:lineRule="auto"/>
            </w:pPr>
            <w:r>
              <w:t>合计</w:t>
            </w:r>
          </w:p>
        </w:tc>
        <w:tc>
          <w:tcPr>
            <w:tcW w:w="1728" w:type="dxa"/>
          </w:tcPr>
          <w:p w14:paraId="5DE3222B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34109DB7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1BCCCCEF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4001BF0A">
            <w:pPr>
              <w:spacing w:after="0" w:line="240" w:lineRule="auto"/>
            </w:pPr>
            <w:r>
              <w:t>53.3%</w:t>
            </w:r>
          </w:p>
        </w:tc>
      </w:tr>
    </w:tbl>
    <w:p w14:paraId="743819DF">
      <w:r>
        <w:rPr>
          <w:b w:val="0"/>
        </w:rPr>
        <w:t>修复缺陷后回归执行结果：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BCDB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467545">
            <w:pPr>
              <w:spacing w:after="0" w:line="240" w:lineRule="auto"/>
            </w:pPr>
            <w:r>
              <w:rPr>
                <w:b/>
              </w:rPr>
              <w:t>被测模块</w:t>
            </w:r>
          </w:p>
        </w:tc>
        <w:tc>
          <w:tcPr>
            <w:tcW w:w="1728" w:type="dxa"/>
          </w:tcPr>
          <w:p w14:paraId="4D8A1623">
            <w:pPr>
              <w:spacing w:after="0" w:line="240" w:lineRule="auto"/>
            </w:pPr>
            <w:r>
              <w:rPr>
                <w:b/>
              </w:rPr>
              <w:t>用例总数</w:t>
            </w:r>
          </w:p>
        </w:tc>
        <w:tc>
          <w:tcPr>
            <w:tcW w:w="1728" w:type="dxa"/>
          </w:tcPr>
          <w:p w14:paraId="58E1EF25">
            <w:pPr>
              <w:spacing w:after="0" w:line="240" w:lineRule="auto"/>
            </w:pPr>
            <w:r>
              <w:rPr>
                <w:b/>
              </w:rPr>
              <w:t>通过</w:t>
            </w:r>
          </w:p>
        </w:tc>
        <w:tc>
          <w:tcPr>
            <w:tcW w:w="1728" w:type="dxa"/>
          </w:tcPr>
          <w:p w14:paraId="50DFE968">
            <w:pPr>
              <w:spacing w:after="0" w:line="240" w:lineRule="auto"/>
            </w:pPr>
            <w:r>
              <w:rPr>
                <w:b/>
              </w:rPr>
              <w:t>失败</w:t>
            </w:r>
          </w:p>
        </w:tc>
        <w:tc>
          <w:tcPr>
            <w:tcW w:w="1728" w:type="dxa"/>
          </w:tcPr>
          <w:p w14:paraId="04580182">
            <w:pPr>
              <w:spacing w:after="0" w:line="240" w:lineRule="auto"/>
            </w:pPr>
            <w:r>
              <w:rPr>
                <w:b/>
              </w:rPr>
              <w:t>通过率</w:t>
            </w:r>
          </w:p>
        </w:tc>
      </w:tr>
      <w:tr w14:paraId="50FE8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A5B199">
            <w:pPr>
              <w:spacing w:after="0" w:line="240" w:lineRule="auto"/>
            </w:pPr>
            <w:r>
              <w:t>M1 用户认证</w:t>
            </w:r>
          </w:p>
        </w:tc>
        <w:tc>
          <w:tcPr>
            <w:tcW w:w="1728" w:type="dxa"/>
          </w:tcPr>
          <w:p w14:paraId="1E5C6ED1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17A0504C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41039405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081F7633">
            <w:pPr>
              <w:spacing w:after="0" w:line="240" w:lineRule="auto"/>
            </w:pPr>
            <w:r>
              <w:t>100%</w:t>
            </w:r>
          </w:p>
        </w:tc>
      </w:tr>
      <w:tr w14:paraId="5CB8D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1D7BD76">
            <w:pPr>
              <w:spacing w:after="0" w:line="240" w:lineRule="auto"/>
            </w:pPr>
            <w:r>
              <w:t>M4 购物车</w:t>
            </w:r>
          </w:p>
        </w:tc>
        <w:tc>
          <w:tcPr>
            <w:tcW w:w="1728" w:type="dxa"/>
          </w:tcPr>
          <w:p w14:paraId="71DD8D63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7BFD1077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7BB32FF7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18E3E24E">
            <w:pPr>
              <w:spacing w:after="0" w:line="240" w:lineRule="auto"/>
            </w:pPr>
            <w:r>
              <w:t>100%</w:t>
            </w:r>
          </w:p>
        </w:tc>
      </w:tr>
      <w:tr w14:paraId="2125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70619C">
            <w:pPr>
              <w:spacing w:after="0" w:line="240" w:lineRule="auto"/>
            </w:pPr>
            <w:r>
              <w:t>合计</w:t>
            </w:r>
          </w:p>
        </w:tc>
        <w:tc>
          <w:tcPr>
            <w:tcW w:w="1728" w:type="dxa"/>
          </w:tcPr>
          <w:p w14:paraId="1BDBE12C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5EBCF5CA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0B8BE841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</w:tcPr>
          <w:p w14:paraId="5F617A73">
            <w:pPr>
              <w:spacing w:after="0" w:line="240" w:lineRule="auto"/>
            </w:pPr>
            <w:r>
              <w:t>100.0%</w:t>
            </w:r>
          </w:p>
        </w:tc>
      </w:tr>
    </w:tbl>
    <w:p w14:paraId="35B93332">
      <w:pPr>
        <w:pStyle w:val="4"/>
      </w:pPr>
      <w:r>
        <w:t>5.2 缺陷摘要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676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C62624">
            <w:pPr>
              <w:spacing w:after="0" w:line="240" w:lineRule="auto"/>
            </w:pPr>
            <w:r>
              <w:rPr>
                <w:b/>
              </w:rPr>
              <w:t>缺陷编号</w:t>
            </w:r>
          </w:p>
        </w:tc>
        <w:tc>
          <w:tcPr>
            <w:tcW w:w="1440" w:type="dxa"/>
          </w:tcPr>
          <w:p w14:paraId="5C9F988C">
            <w:pPr>
              <w:spacing w:after="0" w:line="240" w:lineRule="auto"/>
            </w:pPr>
            <w:r>
              <w:rPr>
                <w:b/>
              </w:rPr>
              <w:t>表现形式</w:t>
            </w:r>
          </w:p>
        </w:tc>
        <w:tc>
          <w:tcPr>
            <w:tcW w:w="1440" w:type="dxa"/>
          </w:tcPr>
          <w:p w14:paraId="70155F76">
            <w:pPr>
              <w:spacing w:after="0" w:line="240" w:lineRule="auto"/>
            </w:pPr>
            <w:r>
              <w:rPr>
                <w:b/>
              </w:rPr>
              <w:t>严重程度</w:t>
            </w:r>
          </w:p>
        </w:tc>
        <w:tc>
          <w:tcPr>
            <w:tcW w:w="1440" w:type="dxa"/>
          </w:tcPr>
          <w:p w14:paraId="0B341B7E">
            <w:pPr>
              <w:spacing w:after="0" w:line="240" w:lineRule="auto"/>
            </w:pPr>
            <w:r>
              <w:rPr>
                <w:b/>
              </w:rPr>
              <w:t>发现方式</w:t>
            </w:r>
          </w:p>
        </w:tc>
        <w:tc>
          <w:tcPr>
            <w:tcW w:w="1440" w:type="dxa"/>
          </w:tcPr>
          <w:p w14:paraId="333E250D">
            <w:pPr>
              <w:spacing w:after="0" w:line="240" w:lineRule="auto"/>
            </w:pPr>
            <w:r>
              <w:rPr>
                <w:b/>
              </w:rPr>
              <w:t>影响</w:t>
            </w:r>
          </w:p>
        </w:tc>
        <w:tc>
          <w:tcPr>
            <w:tcW w:w="1440" w:type="dxa"/>
          </w:tcPr>
          <w:p w14:paraId="0830B3D1">
            <w:pPr>
              <w:spacing w:after="0" w:line="240" w:lineRule="auto"/>
            </w:pPr>
            <w:r>
              <w:rPr>
                <w:b/>
              </w:rPr>
              <w:t>发现人</w:t>
            </w:r>
          </w:p>
        </w:tc>
      </w:tr>
      <w:tr w14:paraId="06B3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0A7DFBD">
            <w:pPr>
              <w:spacing w:after="0" w:line="240" w:lineRule="auto"/>
            </w:pPr>
            <w:r>
              <w:t>DEF-001</w:t>
            </w:r>
          </w:p>
        </w:tc>
        <w:tc>
          <w:tcPr>
            <w:tcW w:w="1440" w:type="dxa"/>
          </w:tcPr>
          <w:p w14:paraId="1F34E40A">
            <w:pPr>
              <w:spacing w:after="0" w:line="240" w:lineRule="auto"/>
            </w:pPr>
            <w:r>
              <w:t>登录不校验验证码，不提交code也能登录成功</w:t>
            </w:r>
          </w:p>
        </w:tc>
        <w:tc>
          <w:tcPr>
            <w:tcW w:w="1440" w:type="dxa"/>
          </w:tcPr>
          <w:p w14:paraId="1D024CBC">
            <w:pPr>
              <w:spacing w:after="0" w:line="240" w:lineRule="auto"/>
            </w:pPr>
            <w:r>
              <w:t>高</w:t>
            </w:r>
          </w:p>
        </w:tc>
        <w:tc>
          <w:tcPr>
            <w:tcW w:w="1440" w:type="dxa"/>
          </w:tcPr>
          <w:p w14:paraId="3E44A823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407DB927">
            <w:pPr>
              <w:spacing w:after="0" w:line="240" w:lineRule="auto"/>
            </w:pPr>
            <w:r>
              <w:t>验证码完全失效，攻击者可就任意账号自动化爆破口令，属安全缺陷</w:t>
            </w:r>
          </w:p>
        </w:tc>
        <w:tc>
          <w:tcPr>
            <w:tcW w:w="1440" w:type="dxa"/>
          </w:tcPr>
          <w:p w14:paraId="4848D7B0">
            <w:pPr>
              <w:spacing w:after="0" w:line="240" w:lineRule="auto"/>
            </w:pPr>
            <w:r>
              <w:t>王尚清</w:t>
            </w:r>
          </w:p>
        </w:tc>
      </w:tr>
      <w:tr w14:paraId="30D9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16FF1F">
            <w:pPr>
              <w:spacing w:after="0" w:line="240" w:lineRule="auto"/>
            </w:pPr>
            <w:r>
              <w:t>DEF-002</w:t>
            </w:r>
          </w:p>
        </w:tc>
        <w:tc>
          <w:tcPr>
            <w:tcW w:w="1440" w:type="dxa"/>
          </w:tcPr>
          <w:p w14:paraId="4B08B057">
            <w:pPr>
              <w:spacing w:after="0" w:line="240" w:lineRule="auto"/>
            </w:pPr>
            <w:r>
              <w:t>商品数量可改为负数，购物车数量与金额随之为负</w:t>
            </w:r>
          </w:p>
        </w:tc>
        <w:tc>
          <w:tcPr>
            <w:tcW w:w="1440" w:type="dxa"/>
          </w:tcPr>
          <w:p w14:paraId="0224B223">
            <w:pPr>
              <w:spacing w:after="0" w:line="240" w:lineRule="auto"/>
            </w:pPr>
            <w:r>
              <w:t>高</w:t>
            </w:r>
          </w:p>
        </w:tc>
        <w:tc>
          <w:tcPr>
            <w:tcW w:w="1440" w:type="dxa"/>
          </w:tcPr>
          <w:p w14:paraId="7D7FB7F3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6C6FD3AF">
            <w:pPr>
              <w:spacing w:after="0" w:line="240" w:lineRule="auto"/>
            </w:pPr>
            <w:r>
              <w:t>破坏数据正确性，并可向下游订单模块传播为负金额订单</w:t>
            </w:r>
          </w:p>
        </w:tc>
        <w:tc>
          <w:tcPr>
            <w:tcW w:w="1440" w:type="dxa"/>
          </w:tcPr>
          <w:p w14:paraId="4F2D9CB5">
            <w:pPr>
              <w:spacing w:after="0" w:line="240" w:lineRule="auto"/>
            </w:pPr>
            <w:r>
              <w:t>王尚清</w:t>
            </w:r>
          </w:p>
        </w:tc>
      </w:tr>
      <w:tr w14:paraId="48E7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CE787B5">
            <w:pPr>
              <w:spacing w:after="0" w:line="240" w:lineRule="auto"/>
            </w:pPr>
            <w:r>
              <w:t>DEF-003</w:t>
            </w:r>
          </w:p>
        </w:tc>
        <w:tc>
          <w:tcPr>
            <w:tcW w:w="1440" w:type="dxa"/>
          </w:tcPr>
          <w:p w14:paraId="58CE435C">
            <w:pPr>
              <w:spacing w:after="0" w:line="240" w:lineRule="auto"/>
            </w:pPr>
            <w:r>
              <w:t>数量参数传非数字时被静默改成1，且无任何提示</w:t>
            </w:r>
          </w:p>
        </w:tc>
        <w:tc>
          <w:tcPr>
            <w:tcW w:w="1440" w:type="dxa"/>
          </w:tcPr>
          <w:p w14:paraId="37652FE1">
            <w:pPr>
              <w:spacing w:after="0" w:line="240" w:lineRule="auto"/>
            </w:pPr>
            <w:r>
              <w:t>高</w:t>
            </w:r>
          </w:p>
        </w:tc>
        <w:tc>
          <w:tcPr>
            <w:tcW w:w="1440" w:type="dxa"/>
          </w:tcPr>
          <w:p w14:paraId="1400CE3D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6B0D19DC">
            <w:pPr>
              <w:spacing w:after="0" w:line="240" w:lineRule="auto"/>
            </w:pPr>
            <w:r>
              <w:t>用户输入被篡改、数据不正确，且错误被静默掩盖难以察觉</w:t>
            </w:r>
          </w:p>
        </w:tc>
        <w:tc>
          <w:tcPr>
            <w:tcW w:w="1440" w:type="dxa"/>
          </w:tcPr>
          <w:p w14:paraId="5777FC28">
            <w:pPr>
              <w:spacing w:after="0" w:line="240" w:lineRule="auto"/>
            </w:pPr>
            <w:r>
              <w:t>王尚清</w:t>
            </w:r>
          </w:p>
        </w:tc>
      </w:tr>
      <w:tr w14:paraId="317A8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5334C2">
            <w:pPr>
              <w:spacing w:after="0" w:line="240" w:lineRule="auto"/>
            </w:pPr>
            <w:r>
              <w:t>DEF-004</w:t>
            </w:r>
          </w:p>
        </w:tc>
        <w:tc>
          <w:tcPr>
            <w:tcW w:w="1440" w:type="dxa"/>
          </w:tcPr>
          <w:p w14:paraId="0B2FED38">
            <w:pPr>
              <w:spacing w:after="0" w:line="240" w:lineRule="auto"/>
            </w:pPr>
            <w:r>
              <w:t>注册时两次密码不一致仍能注册成功</w:t>
            </w:r>
          </w:p>
        </w:tc>
        <w:tc>
          <w:tcPr>
            <w:tcW w:w="1440" w:type="dxa"/>
          </w:tcPr>
          <w:p w14:paraId="1839D660">
            <w:pPr>
              <w:spacing w:after="0" w:line="240" w:lineRule="auto"/>
            </w:pPr>
            <w:r>
              <w:t>中</w:t>
            </w:r>
          </w:p>
        </w:tc>
        <w:tc>
          <w:tcPr>
            <w:tcW w:w="1440" w:type="dxa"/>
          </w:tcPr>
          <w:p w14:paraId="1048603D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1E2D16F7">
            <w:pPr>
              <w:spacing w:after="0" w:line="240" w:lineRule="auto"/>
            </w:pPr>
            <w:r>
              <w:t>密码确认机制缺失，用户账号密码可能并非本人所设</w:t>
            </w:r>
          </w:p>
        </w:tc>
        <w:tc>
          <w:tcPr>
            <w:tcW w:w="1440" w:type="dxa"/>
          </w:tcPr>
          <w:p w14:paraId="21D676A8">
            <w:pPr>
              <w:spacing w:after="0" w:line="240" w:lineRule="auto"/>
            </w:pPr>
            <w:r>
              <w:t>王尚清</w:t>
            </w:r>
          </w:p>
        </w:tc>
      </w:tr>
      <w:tr w14:paraId="13E3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CAAAE0">
            <w:pPr>
              <w:spacing w:after="0" w:line="240" w:lineRule="auto"/>
            </w:pPr>
            <w:r>
              <w:t>DEF-005</w:t>
            </w:r>
          </w:p>
        </w:tc>
        <w:tc>
          <w:tcPr>
            <w:tcW w:w="1440" w:type="dxa"/>
          </w:tcPr>
          <w:p w14:paraId="4A3050CF">
            <w:pPr>
              <w:spacing w:after="0" w:line="240" w:lineRule="auto"/>
            </w:pPr>
            <w:r>
              <w:t>加购不存在的图书 ID 触发空指针，返回 HTTP 500</w:t>
            </w:r>
          </w:p>
        </w:tc>
        <w:tc>
          <w:tcPr>
            <w:tcW w:w="1440" w:type="dxa"/>
          </w:tcPr>
          <w:p w14:paraId="6DCC56C8">
            <w:pPr>
              <w:spacing w:after="0" w:line="240" w:lineRule="auto"/>
            </w:pPr>
            <w:r>
              <w:t>中</w:t>
            </w:r>
          </w:p>
        </w:tc>
        <w:tc>
          <w:tcPr>
            <w:tcW w:w="1440" w:type="dxa"/>
          </w:tcPr>
          <w:p w14:paraId="1EF61DCF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2BDA1FD9">
            <w:pPr>
              <w:spacing w:after="0" w:line="240" w:lineRule="auto"/>
            </w:pPr>
            <w:r>
              <w:t>服务端异常暴露错误页，功能不可用</w:t>
            </w:r>
          </w:p>
        </w:tc>
        <w:tc>
          <w:tcPr>
            <w:tcW w:w="1440" w:type="dxa"/>
          </w:tcPr>
          <w:p w14:paraId="05DB9E79">
            <w:pPr>
              <w:spacing w:after="0" w:line="240" w:lineRule="auto"/>
            </w:pPr>
            <w:r>
              <w:t>王尚清</w:t>
            </w:r>
          </w:p>
        </w:tc>
      </w:tr>
      <w:tr w14:paraId="7612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870C05">
            <w:pPr>
              <w:spacing w:after="0" w:line="240" w:lineRule="auto"/>
            </w:pPr>
            <w:r>
              <w:t>DEF-006</w:t>
            </w:r>
          </w:p>
        </w:tc>
        <w:tc>
          <w:tcPr>
            <w:tcW w:w="1440" w:type="dxa"/>
          </w:tcPr>
          <w:p w14:paraId="6793AF23">
            <w:pPr>
              <w:spacing w:after="0" w:line="240" w:lineRule="auto"/>
            </w:pPr>
            <w:r>
              <w:t>加购非数字ID同样返回HTTP500</w:t>
            </w:r>
          </w:p>
        </w:tc>
        <w:tc>
          <w:tcPr>
            <w:tcW w:w="1440" w:type="dxa"/>
          </w:tcPr>
          <w:p w14:paraId="2B301D30">
            <w:pPr>
              <w:spacing w:after="0" w:line="240" w:lineRule="auto"/>
            </w:pPr>
            <w:r>
              <w:t>中</w:t>
            </w:r>
          </w:p>
        </w:tc>
        <w:tc>
          <w:tcPr>
            <w:tcW w:w="1440" w:type="dxa"/>
          </w:tcPr>
          <w:p w14:paraId="0A7792C6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64D93704">
            <w:pPr>
              <w:spacing w:after="0" w:line="240" w:lineRule="auto"/>
            </w:pPr>
            <w:r>
              <w:t>参数校验缺失，非法输入未在入口被拦截</w:t>
            </w:r>
          </w:p>
        </w:tc>
        <w:tc>
          <w:tcPr>
            <w:tcW w:w="1440" w:type="dxa"/>
          </w:tcPr>
          <w:p w14:paraId="196A769E">
            <w:pPr>
              <w:spacing w:after="0" w:line="240" w:lineRule="auto"/>
            </w:pPr>
            <w:r>
              <w:t>王尚清</w:t>
            </w:r>
          </w:p>
        </w:tc>
      </w:tr>
      <w:tr w14:paraId="1BE2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9FBF5F5">
            <w:pPr>
              <w:spacing w:after="0" w:line="240" w:lineRule="auto"/>
            </w:pPr>
            <w:r>
              <w:t>DEF-007</w:t>
            </w:r>
          </w:p>
        </w:tc>
        <w:tc>
          <w:tcPr>
            <w:tcW w:w="1440" w:type="dxa"/>
          </w:tcPr>
          <w:p w14:paraId="42B82C71">
            <w:pPr>
              <w:spacing w:after="0" w:line="240" w:lineRule="auto"/>
            </w:pPr>
            <w:r>
              <w:t>空购物车时删除/改数量返回200但响应体为0字节</w:t>
            </w:r>
          </w:p>
        </w:tc>
        <w:tc>
          <w:tcPr>
            <w:tcW w:w="1440" w:type="dxa"/>
          </w:tcPr>
          <w:p w14:paraId="4D4032ED">
            <w:pPr>
              <w:spacing w:after="0" w:line="240" w:lineRule="auto"/>
            </w:pPr>
            <w:r>
              <w:t>中</w:t>
            </w:r>
          </w:p>
        </w:tc>
        <w:tc>
          <w:tcPr>
            <w:tcW w:w="1440" w:type="dxa"/>
          </w:tcPr>
          <w:p w14:paraId="649A08AE">
            <w:pPr>
              <w:spacing w:after="0" w:line="240" w:lineRule="auto"/>
            </w:pPr>
            <w:r>
              <w:t>自动化</w:t>
            </w:r>
          </w:p>
        </w:tc>
        <w:tc>
          <w:tcPr>
            <w:tcW w:w="1440" w:type="dxa"/>
          </w:tcPr>
          <w:p w14:paraId="329889F7">
            <w:pPr>
              <w:spacing w:after="0" w:line="240" w:lineRule="auto"/>
            </w:pPr>
            <w:r>
              <w:t>客户端停在空白页，用户操作无反馈</w:t>
            </w:r>
          </w:p>
        </w:tc>
        <w:tc>
          <w:tcPr>
            <w:tcW w:w="1440" w:type="dxa"/>
          </w:tcPr>
          <w:p w14:paraId="1917CEA0">
            <w:pPr>
              <w:spacing w:after="0" w:line="240" w:lineRule="auto"/>
            </w:pPr>
            <w:r>
              <w:t>王尚清</w:t>
            </w:r>
          </w:p>
        </w:tc>
      </w:tr>
    </w:tbl>
    <w:p w14:paraId="16BA851C">
      <w:r>
        <w:rPr>
          <w:b w:val="0"/>
        </w:rPr>
        <w:t>7个缺陷全部由自动化测试执行发现，其中高严重程度3个、中4个；M1用户认证2个、M4购物车5个。</w:t>
      </w:r>
    </w:p>
    <w:p w14:paraId="30A64467">
      <w:pPr>
        <w:pStyle w:val="4"/>
      </w:pPr>
      <w:r>
        <w:t>5.3 典型缺陷根因分析</w:t>
      </w:r>
    </w:p>
    <w:p w14:paraId="6223958E">
      <w:r>
        <w:rPr>
          <w:b w:val="0"/>
        </w:rPr>
        <w:t>选取3个最有代表性的缺陷，描述从发现到修复的完整闭环。</w:t>
      </w:r>
    </w:p>
    <w:p w14:paraId="15CFFACE">
      <w:r>
        <w:rPr>
          <w:b/>
        </w:rPr>
        <w:t>缺陷 1：登录不校验验证码（DEF-001，高/安全）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370"/>
      </w:tblGrid>
      <w:tr w14:paraId="16C0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E19D9C9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7370" w:type="dxa"/>
          </w:tcPr>
          <w:p w14:paraId="65542F95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13A1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789079A">
            <w:pPr>
              <w:spacing w:after="0" w:line="240" w:lineRule="auto"/>
            </w:pPr>
            <w:r>
              <w:t>① 发现</w:t>
            </w:r>
          </w:p>
        </w:tc>
        <w:tc>
          <w:tcPr>
            <w:tcW w:w="7370" w:type="dxa"/>
          </w:tcPr>
          <w:p w14:paraId="5AC40A5B">
            <w:pPr>
              <w:spacing w:after="0" w:line="240" w:lineRule="auto"/>
            </w:pPr>
            <w:r>
              <w:t>回归执行BS-IT-004时，用例断言</w:t>
            </w:r>
            <w:r>
              <w:rPr>
                <w:rFonts w:hint="eastAsia"/>
                <w:lang w:eastAsia="zh-CN"/>
              </w:rPr>
              <w:t>“</w:t>
            </w:r>
            <w:r>
              <w:t>未携带验证码不应登录成功</w:t>
            </w:r>
            <w:r>
              <w:rPr>
                <w:rFonts w:hint="eastAsia"/>
                <w:lang w:eastAsia="zh-CN"/>
              </w:rPr>
              <w:t>”</w:t>
            </w:r>
            <w:r>
              <w:t>，实际返回却包含</w:t>
            </w:r>
            <w:r>
              <w:rPr>
                <w:rFonts w:hint="eastAsia"/>
                <w:lang w:eastAsia="zh-CN"/>
              </w:rPr>
              <w:t>“</w:t>
            </w:r>
            <w:r>
              <w:t>登录成功</w:t>
            </w:r>
            <w:r>
              <w:rPr>
                <w:rFonts w:hint="eastAsia"/>
                <w:lang w:eastAsia="zh-CN"/>
              </w:rPr>
              <w:t>”</w:t>
            </w:r>
            <w:r>
              <w:t>，用例判定失败。手工复核：用全新会话（从未请求过/kaptcha.jpg）直POST登录，同样成功。</w:t>
            </w:r>
          </w:p>
        </w:tc>
      </w:tr>
      <w:tr w14:paraId="185A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45F12A83">
            <w:pPr>
              <w:spacing w:after="0" w:line="240" w:lineRule="auto"/>
            </w:pPr>
            <w:r>
              <w:t>② 定位</w:t>
            </w:r>
          </w:p>
        </w:tc>
        <w:tc>
          <w:tcPr>
            <w:tcW w:w="7370" w:type="dxa"/>
          </w:tcPr>
          <w:p w14:paraId="347EEC01">
            <w:pPr>
              <w:spacing w:after="0" w:line="240" w:lineRule="auto"/>
            </w:pPr>
            <w:r>
              <w:t>查阅UserServlet.login()，发现方法体内只取username/password两个参数，完全没有读取会话中的KAPTCHA_SESSION_KEY；而同一类的regist()方法确实做了验证码比对——说明是登录环节漏加校验，而非验证码组件本身有问题。</w:t>
            </w:r>
          </w:p>
        </w:tc>
      </w:tr>
      <w:tr w14:paraId="0C60E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C6EF50F">
            <w:pPr>
              <w:spacing w:after="0" w:line="240" w:lineRule="auto"/>
            </w:pPr>
            <w:r>
              <w:t>③ 根因</w:t>
            </w:r>
          </w:p>
        </w:tc>
        <w:tc>
          <w:tcPr>
            <w:tcW w:w="7370" w:type="dxa"/>
          </w:tcPr>
          <w:p w14:paraId="70E2376F">
            <w:pPr>
              <w:spacing w:after="0" w:line="240" w:lineRule="auto"/>
            </w:pPr>
            <w:r>
              <w:t>进一步检查前端页面后发现，login.jsp中根本没有验证码输入框与验证码图片，即登录环节从一开始就没有实现验证码，属功能缺失而非单纯的校验遗漏。因此修复需要同时补齐服务端校验与页面控件。</w:t>
            </w:r>
          </w:p>
        </w:tc>
      </w:tr>
      <w:tr w14:paraId="11177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EE7C8D1">
            <w:pPr>
              <w:spacing w:after="0" w:line="240" w:lineRule="auto"/>
            </w:pPr>
            <w:r>
              <w:t>④ 修复</w:t>
            </w:r>
          </w:p>
        </w:tc>
        <w:tc>
          <w:tcPr>
            <w:tcW w:w="7370" w:type="dxa"/>
          </w:tcPr>
          <w:p w14:paraId="278A8501">
            <w:pPr>
              <w:spacing w:after="0" w:line="240" w:lineRule="auto"/>
            </w:pPr>
            <w:r>
              <w:t>①UserServlet.login()增加验证码比对，且置于用户名密码校验之前——若先校验凭据再校验验证码，攻击者仍可通过响应差异判断口令是否正确，验证码就失去意义；②login.jsp补充验证码输入框与kaptcha图片。</w:t>
            </w:r>
          </w:p>
        </w:tc>
      </w:tr>
      <w:tr w14:paraId="3960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29572D03">
            <w:pPr>
              <w:spacing w:after="0" w:line="240" w:lineRule="auto"/>
            </w:pPr>
            <w:r>
              <w:t>⑤ 验证</w:t>
            </w:r>
          </w:p>
        </w:tc>
        <w:tc>
          <w:tcPr>
            <w:tcW w:w="7370" w:type="dxa"/>
          </w:tcPr>
          <w:p w14:paraId="2B86EF95">
            <w:pPr>
              <w:spacing w:after="0" w:line="240" w:lineRule="auto"/>
            </w:pPr>
            <w:r>
              <w:t>重新执行BS-IT-004：不携带验证码时返回</w:t>
            </w:r>
            <w:r>
              <w:rPr>
                <w:rFonts w:hint="eastAsia"/>
                <w:lang w:eastAsia="zh-CN"/>
              </w:rPr>
              <w:t>“</w:t>
            </w:r>
            <w:r>
              <w:t>验证码错误</w:t>
            </w:r>
            <w:r>
              <w:rPr>
                <w:rFonts w:hint="eastAsia"/>
                <w:lang w:eastAsia="zh-CN"/>
              </w:rPr>
              <w:t>”</w:t>
            </w:r>
            <w:r>
              <w:t>并停留在登录页，用例转为通过。同时确认正常登录路径仍可用（BS-IT-001用桩注入验证码验证登录成功）。</w:t>
            </w:r>
          </w:p>
        </w:tc>
      </w:tr>
    </w:tbl>
    <w:p w14:paraId="13EFF7D6"/>
    <w:p w14:paraId="0B2B3577">
      <w:r>
        <w:rPr>
          <w:b/>
        </w:rPr>
        <w:t>缺陷 2：商品数量可被改为负数（DEF-002，高/数据正确性）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370"/>
      </w:tblGrid>
      <w:tr w14:paraId="5D4C9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D60D64A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7370" w:type="dxa"/>
          </w:tcPr>
          <w:p w14:paraId="115CC03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236C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66624068">
            <w:pPr>
              <w:spacing w:after="0" w:line="240" w:lineRule="auto"/>
            </w:pPr>
            <w:r>
              <w:t>① 发现</w:t>
            </w:r>
          </w:p>
        </w:tc>
        <w:tc>
          <w:tcPr>
            <w:tcW w:w="7370" w:type="dxa"/>
          </w:tcPr>
          <w:p w14:paraId="0F2CC948">
            <w:pPr>
              <w:spacing w:after="0" w:line="240" w:lineRule="auto"/>
            </w:pPr>
            <w:r>
              <w:t>回归执行BS-IT-065时，用例先加入2件商品，把其中一件数量改为-5，再添加一件后读取返回JSON，totalCount为-3，说明负数已经被写入购物车。</w:t>
            </w:r>
          </w:p>
        </w:tc>
      </w:tr>
      <w:tr w14:paraId="240F1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28284A15">
            <w:pPr>
              <w:spacing w:after="0" w:line="240" w:lineRule="auto"/>
            </w:pPr>
            <w:r>
              <w:t>② 定位</w:t>
            </w:r>
          </w:p>
        </w:tc>
        <w:tc>
          <w:tcPr>
            <w:tcW w:w="7370" w:type="dxa"/>
          </w:tcPr>
          <w:p w14:paraId="209AB871">
            <w:pPr>
              <w:spacing w:after="0" w:line="240" w:lineRule="auto"/>
            </w:pPr>
            <w:r>
              <w:t>查阅Cart.updateCount()，方法只判断了cartItem!=null，随后直接setCount(count)，对count的取值范围没有任何校验；CartServlet.updateCount()也未做参数检查。</w:t>
            </w:r>
          </w:p>
        </w:tc>
      </w:tr>
      <w:tr w14:paraId="2973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EA0C55E">
            <w:pPr>
              <w:spacing w:after="0" w:line="240" w:lineRule="auto"/>
            </w:pPr>
            <w:r>
              <w:t>③ 根因</w:t>
            </w:r>
          </w:p>
        </w:tc>
        <w:tc>
          <w:tcPr>
            <w:tcW w:w="7370" w:type="dxa"/>
          </w:tcPr>
          <w:p w14:paraId="2854E9AE">
            <w:pPr>
              <w:spacing w:after="0" w:line="240" w:lineRule="auto"/>
            </w:pPr>
            <w:r>
              <w:t>该方法被设计为</w:t>
            </w:r>
            <w:r>
              <w:rPr>
                <w:rFonts w:hint="eastAsia"/>
                <w:lang w:eastAsia="zh-CN"/>
              </w:rPr>
              <w:t>“</w:t>
            </w:r>
            <w:r>
              <w:t>信任调用方传入合法值</w:t>
            </w:r>
            <w:r>
              <w:rPr>
                <w:rFonts w:hint="eastAsia"/>
                <w:lang w:eastAsia="zh-CN"/>
              </w:rPr>
              <w:t>”</w:t>
            </w:r>
            <w:r>
              <w:t>，而调用方（Servlet）直接把HTTP参数透传进来，整条链路上没有任何一层承担校验职责。</w:t>
            </w:r>
          </w:p>
        </w:tc>
      </w:tr>
      <w:tr w14:paraId="2961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48A4EBD8">
            <w:pPr>
              <w:spacing w:after="0" w:line="240" w:lineRule="auto"/>
            </w:pPr>
            <w:r>
              <w:t>④ 修复</w:t>
            </w:r>
          </w:p>
        </w:tc>
        <w:tc>
          <w:tcPr>
            <w:tcW w:w="7370" w:type="dxa"/>
          </w:tcPr>
          <w:p w14:paraId="5D0C23F2">
            <w:pPr>
              <w:spacing w:after="0" w:line="240" w:lineRule="auto"/>
            </w:pPr>
            <w:r>
              <w:t>①Cart.updateCount()增加前置校验：id或count为null、或count&lt;=0时直接返回；②CartServlet.updateCount()在调用前判断count&lt;=0，写入提示并保持原数量不变。</w:t>
            </w:r>
          </w:p>
        </w:tc>
      </w:tr>
      <w:tr w14:paraId="3996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CE2FB98">
            <w:pPr>
              <w:spacing w:after="0" w:line="240" w:lineRule="auto"/>
            </w:pPr>
            <w:r>
              <w:t>⑤ 验证</w:t>
            </w:r>
          </w:p>
        </w:tc>
        <w:tc>
          <w:tcPr>
            <w:tcW w:w="7370" w:type="dxa"/>
          </w:tcPr>
          <w:p w14:paraId="396D4B62">
            <w:pPr>
              <w:spacing w:after="0" w:line="240" w:lineRule="auto"/>
            </w:pPr>
            <w:r>
              <w:t>重新执行BS-IT-065：负数量被拒绝，总数量为3（2+1），用例转为通过。该用例的断言在修复过程中被收紧为</w:t>
            </w:r>
            <w:r>
              <w:rPr>
                <w:rFonts w:hint="eastAsia"/>
                <w:lang w:eastAsia="zh-CN"/>
              </w:rPr>
              <w:t>“</w:t>
            </w:r>
            <w:r>
              <w:t>精确等于3</w:t>
            </w:r>
            <w:r>
              <w:rPr>
                <w:rFonts w:hint="eastAsia"/>
                <w:lang w:eastAsia="zh-CN"/>
              </w:rPr>
              <w:t>”</w:t>
            </w:r>
            <w:r>
              <w:t>，以确认修复不是靠掩盖问题达成的。</w:t>
            </w:r>
          </w:p>
        </w:tc>
      </w:tr>
    </w:tbl>
    <w:p w14:paraId="71881F23"/>
    <w:p w14:paraId="168B42CC">
      <w:r>
        <w:rPr>
          <w:b/>
        </w:rPr>
        <w:t>缺陷 3：加购不存在的图书ID返回500（DEF-005，中/健壮性）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7370"/>
      </w:tblGrid>
      <w:tr w14:paraId="3A0C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36AC69DE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7370" w:type="dxa"/>
          </w:tcPr>
          <w:p w14:paraId="1160A284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</w:tr>
      <w:tr w14:paraId="6DD04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113538B1">
            <w:pPr>
              <w:spacing w:after="0" w:line="240" w:lineRule="auto"/>
            </w:pPr>
            <w:r>
              <w:t>① 发现</w:t>
            </w:r>
          </w:p>
        </w:tc>
        <w:tc>
          <w:tcPr>
            <w:tcW w:w="7370" w:type="dxa"/>
          </w:tcPr>
          <w:p w14:paraId="1402E5CA">
            <w:pPr>
              <w:spacing w:after="0" w:line="240" w:lineRule="auto"/>
            </w:pPr>
            <w:r>
              <w:t>回归执行BS-IT-063时，请求/cartServlet?action=ajaxAddItem&amp;id=99999返回HTTP500，响应体为Tomcat错误页且包含java.lang.NullPointerException</w:t>
            </w:r>
          </w:p>
        </w:tc>
      </w:tr>
      <w:tr w14:paraId="67139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620C0EC">
            <w:pPr>
              <w:spacing w:after="0" w:line="240" w:lineRule="auto"/>
            </w:pPr>
            <w:r>
              <w:t>② 定位</w:t>
            </w:r>
          </w:p>
        </w:tc>
        <w:tc>
          <w:tcPr>
            <w:tcW w:w="7370" w:type="dxa"/>
          </w:tcPr>
          <w:p w14:paraId="1F057C5D">
            <w:pPr>
              <w:spacing w:after="0" w:line="240" w:lineRule="auto"/>
            </w:pPr>
            <w:r>
              <w:t>查阅CartServlet.ajaxAddItem()：bookService.queryBookById(id)在查不到记录时返回null，紧接着就调用book.getId()，此处解引用空指针。而BaseDao使用commons-dbutils的BeanHandler，对空结果集正是返回null。</w:t>
            </w:r>
          </w:p>
        </w:tc>
      </w:tr>
      <w:tr w14:paraId="2AF9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39656F3">
            <w:pPr>
              <w:spacing w:after="0" w:line="240" w:lineRule="auto"/>
            </w:pPr>
            <w:r>
              <w:t>③ 根因</w:t>
            </w:r>
          </w:p>
        </w:tc>
        <w:tc>
          <w:tcPr>
            <w:tcW w:w="7370" w:type="dxa"/>
          </w:tcPr>
          <w:p w14:paraId="0E2CFA3F">
            <w:pPr>
              <w:spacing w:after="0" w:line="240" w:lineRule="auto"/>
            </w:pPr>
            <w:r>
              <w:t>代码默认</w:t>
            </w:r>
            <w:r>
              <w:rPr>
                <w:rFonts w:hint="eastAsia"/>
                <w:lang w:eastAsia="zh-CN"/>
              </w:rPr>
              <w:t>“</w:t>
            </w:r>
            <w:r>
              <w:t>ID一定对应一本存在的图书</w:t>
            </w:r>
            <w:r>
              <w:rPr>
                <w:rFonts w:hint="eastAsia"/>
                <w:lang w:eastAsia="zh-CN"/>
              </w:rPr>
              <w:t>”</w:t>
            </w:r>
            <w:r>
              <w:t>，未考虑图书被删除或客户端传入伪造ID的情况；同一个类中的addItem()存在完全相同的写法，属复制粘贴扩散的问题模式。</w:t>
            </w:r>
          </w:p>
        </w:tc>
      </w:tr>
      <w:tr w14:paraId="7D18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70658E18">
            <w:pPr>
              <w:spacing w:after="0" w:line="240" w:lineRule="auto"/>
            </w:pPr>
            <w:r>
              <w:t>④ 修复</w:t>
            </w:r>
          </w:p>
        </w:tc>
        <w:tc>
          <w:tcPr>
            <w:tcW w:w="7370" w:type="dxa"/>
          </w:tcPr>
          <w:p w14:paraId="0CC35DDD">
            <w:pPr>
              <w:spacing w:after="0" w:line="240" w:lineRule="auto"/>
            </w:pPr>
            <w:r>
              <w:t>在ajaxAddItem()与addItem()中，当queryBookById返回null时不再继续执行：ajax接口返回JSON提示</w:t>
            </w:r>
            <w:r>
              <w:rPr>
                <w:rFonts w:hint="eastAsia"/>
                <w:lang w:eastAsia="zh-CN"/>
              </w:rPr>
              <w:t>“</w:t>
            </w:r>
            <w:r>
              <w:t>图书不存在</w:t>
            </w:r>
            <w:r>
              <w:rPr>
                <w:rFonts w:hint="eastAsia"/>
                <w:lang w:eastAsia="zh-CN"/>
              </w:rPr>
              <w:t>”</w:t>
            </w:r>
            <w:r>
              <w:t>，普通加购则写入会话提示并跳回原页面。</w:t>
            </w:r>
          </w:p>
        </w:tc>
      </w:tr>
      <w:tr w14:paraId="68EB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2EBAC1A9">
            <w:pPr>
              <w:spacing w:after="0" w:line="240" w:lineRule="auto"/>
            </w:pPr>
            <w:r>
              <w:t>⑤ 验证</w:t>
            </w:r>
          </w:p>
        </w:tc>
        <w:tc>
          <w:tcPr>
            <w:tcW w:w="7370" w:type="dxa"/>
          </w:tcPr>
          <w:p w14:paraId="792E0AC6">
            <w:pPr>
              <w:spacing w:after="0" w:line="240" w:lineRule="auto"/>
            </w:pPr>
            <w:r>
              <w:t>重新执行BS-IT-063：返回HTTP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200与友好提示，用例转为通过；同源的BS-IT-064（非数字ID）也一并转为通过。</w:t>
            </w:r>
          </w:p>
        </w:tc>
      </w:tr>
    </w:tbl>
    <w:p w14:paraId="579C609D"/>
    <w:p w14:paraId="2E34C363">
      <w:pPr>
        <w:pStyle w:val="4"/>
      </w:pPr>
      <w:r>
        <w:t>5.4 质量评估结论</w:t>
      </w:r>
    </w:p>
    <w:p w14:paraId="01756405">
      <w:r>
        <w:rPr>
          <w:b w:val="0"/>
        </w:rPr>
        <w:t>初测结论：M1用户认证与M4购物车两个模块共15条用例，通过8条、未通过7条，通过率 53.3%，发现有效缺陷7个（高3个、中4个）。主要阻碍为：登录验证码可被绕过（安全）、购物车数量与金额可为负（数据正确性）。</w:t>
      </w:r>
    </w:p>
    <w:p w14:paraId="72DE1293">
      <w:r>
        <w:rPr>
          <w:b w:val="0"/>
        </w:rPr>
        <w:t>修复后结论：7个缺陷已全部修复并通过回归，15条用例全部通过，通过率100%，无新增缺陷或回归，测试前后数据库状态保持一致。被测的M1用户认证与M4购物车两个模块达到发布标准。</w:t>
      </w:r>
    </w:p>
    <w:p w14:paraId="19CC8CF0">
      <w:r>
        <w:rPr>
          <w:b w:val="0"/>
        </w:rPr>
        <w:t>质量评价：这两个模块在</w:t>
      </w:r>
      <w:r>
        <w:rPr>
          <w:rFonts w:hint="eastAsia"/>
          <w:b w:val="0"/>
          <w:lang w:eastAsia="zh-CN"/>
        </w:rPr>
        <w:t>“</w:t>
      </w:r>
      <w:r>
        <w:rPr>
          <w:b w:val="0"/>
        </w:rPr>
        <w:t>正常路径</w:t>
      </w:r>
      <w:r>
        <w:rPr>
          <w:rFonts w:hint="eastAsia"/>
          <w:b w:val="0"/>
          <w:lang w:eastAsia="zh-CN"/>
        </w:rPr>
        <w:t>”</w:t>
      </w:r>
      <w:r>
        <w:rPr>
          <w:b w:val="0"/>
        </w:rPr>
        <w:t>上实现质量良好，缺陷集中在边界与异常输入的防御上；7个缺陷中有6个属于</w:t>
      </w:r>
      <w:r>
        <w:rPr>
          <w:rFonts w:hint="eastAsia"/>
          <w:b w:val="0"/>
          <w:lang w:eastAsia="zh-CN"/>
        </w:rPr>
        <w:t>“</w:t>
      </w:r>
      <w:r>
        <w:rPr>
          <w:b w:val="0"/>
        </w:rPr>
        <w:t>缺少参数校验</w:t>
      </w:r>
      <w:r>
        <w:rPr>
          <w:rFonts w:hint="eastAsia"/>
          <w:b w:val="0"/>
          <w:lang w:eastAsia="zh-CN"/>
        </w:rPr>
        <w:t>”</w:t>
      </w:r>
      <w:r>
        <w:rPr>
          <w:b w:val="0"/>
        </w:rPr>
        <w:t>。</w:t>
      </w:r>
    </w:p>
    <w:p w14:paraId="3F4A5294">
      <w:r>
        <w:br w:type="page"/>
      </w:r>
    </w:p>
    <w:p w14:paraId="44328434">
      <w:pPr>
        <w:pStyle w:val="3"/>
      </w:pPr>
      <w:r>
        <w:t>6 小组成员贡献度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BFF0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155C2A">
            <w:pPr>
              <w:spacing w:after="0" w:line="240" w:lineRule="auto"/>
            </w:pPr>
            <w:r>
              <w:rPr>
                <w:b/>
              </w:rPr>
              <w:t>成员</w:t>
            </w:r>
          </w:p>
        </w:tc>
        <w:tc>
          <w:tcPr>
            <w:tcW w:w="1440" w:type="dxa"/>
          </w:tcPr>
          <w:p w14:paraId="4172609E">
            <w:pPr>
              <w:spacing w:after="0" w:line="240" w:lineRule="auto"/>
            </w:pPr>
            <w:r>
              <w:rPr>
                <w:b/>
              </w:rPr>
              <w:t>承担模块</w:t>
            </w:r>
          </w:p>
        </w:tc>
        <w:tc>
          <w:tcPr>
            <w:tcW w:w="1440" w:type="dxa"/>
          </w:tcPr>
          <w:p w14:paraId="64DD3F77">
            <w:pPr>
              <w:spacing w:after="0" w:line="240" w:lineRule="auto"/>
            </w:pPr>
            <w:r>
              <w:rPr>
                <w:b/>
              </w:rPr>
              <w:t>具体任务</w:t>
            </w:r>
          </w:p>
        </w:tc>
        <w:tc>
          <w:tcPr>
            <w:tcW w:w="1440" w:type="dxa"/>
          </w:tcPr>
          <w:p w14:paraId="23FFE498">
            <w:pPr>
              <w:spacing w:after="0" w:line="240" w:lineRule="auto"/>
            </w:pPr>
            <w:r>
              <w:rPr>
                <w:b/>
              </w:rPr>
              <w:t>测试代码行数</w:t>
            </w:r>
          </w:p>
        </w:tc>
        <w:tc>
          <w:tcPr>
            <w:tcW w:w="1440" w:type="dxa"/>
          </w:tcPr>
          <w:p w14:paraId="68BF0930">
            <w:pPr>
              <w:spacing w:after="0" w:line="240" w:lineRule="auto"/>
            </w:pPr>
            <w:r>
              <w:rPr>
                <w:b/>
              </w:rPr>
              <w:t>发现缺陷数</w:t>
            </w:r>
          </w:p>
        </w:tc>
        <w:tc>
          <w:tcPr>
            <w:tcW w:w="1440" w:type="dxa"/>
          </w:tcPr>
          <w:p w14:paraId="5A0FC916">
            <w:pPr>
              <w:spacing w:after="0" w:line="240" w:lineRule="auto"/>
            </w:pPr>
            <w:r>
              <w:rPr>
                <w:b/>
              </w:rPr>
              <w:t>工作量占比</w:t>
            </w:r>
          </w:p>
        </w:tc>
      </w:tr>
      <w:tr w14:paraId="13747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2D208F">
            <w:pPr>
              <w:spacing w:after="0" w:line="240" w:lineRule="auto"/>
            </w:pPr>
            <w:r>
              <w:t>王尚清</w:t>
            </w:r>
          </w:p>
        </w:tc>
        <w:tc>
          <w:tcPr>
            <w:tcW w:w="1440" w:type="dxa"/>
          </w:tcPr>
          <w:p w14:paraId="0B4AAEFF">
            <w:pPr>
              <w:spacing w:after="0" w:line="240" w:lineRule="auto"/>
            </w:pPr>
            <w:r>
              <w:t>M1用户认证</w:t>
            </w:r>
            <w:r>
              <w:br w:type="textWrapping"/>
            </w:r>
            <w:r>
              <w:t>M4购物车</w:t>
            </w:r>
          </w:p>
        </w:tc>
        <w:tc>
          <w:tcPr>
            <w:tcW w:w="1440" w:type="dxa"/>
          </w:tcPr>
          <w:p w14:paraId="54DED3CB">
            <w:pPr>
              <w:spacing w:after="0" w:line="240" w:lineRule="auto"/>
            </w:pPr>
            <w:r>
              <w:t>设计并编写15条用例；实现自动化测试工程（HTTP客户端、动态代理桩、数据库断言工具、统一执行入口与一键运行脚本）；执行测试并定位7个缺陷的根因；完成缺陷修复与回归验证；编写测试用例清单、缺陷报告与本报告</w:t>
            </w:r>
          </w:p>
        </w:tc>
        <w:tc>
          <w:tcPr>
            <w:tcW w:w="1440" w:type="dxa"/>
          </w:tcPr>
          <w:p w14:paraId="54BCA8DE">
            <w:pPr>
              <w:spacing w:after="0" w:line="240" w:lineRule="auto"/>
            </w:pPr>
            <w:r>
              <w:t>约1194行</w:t>
            </w:r>
          </w:p>
        </w:tc>
        <w:tc>
          <w:tcPr>
            <w:tcW w:w="1440" w:type="dxa"/>
          </w:tcPr>
          <w:p w14:paraId="15DA951E">
            <w:pPr>
              <w:spacing w:after="0" w:line="240" w:lineRule="auto"/>
            </w:pPr>
            <w:r>
              <w:t>7</w:t>
            </w:r>
          </w:p>
        </w:tc>
        <w:tc>
          <w:tcPr>
            <w:tcW w:w="1440" w:type="dxa"/>
          </w:tcPr>
          <w:p w14:paraId="17780A2C">
            <w:pPr>
              <w:spacing w:after="0" w:line="240" w:lineRule="auto"/>
            </w:pPr>
            <w:r>
              <w:t>33.3%</w:t>
            </w:r>
          </w:p>
        </w:tc>
      </w:tr>
      <w:tr w14:paraId="12C9F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7059DD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440" w:type="dxa"/>
          </w:tcPr>
          <w:p w14:paraId="19636FF7">
            <w:pPr>
              <w:spacing w:after="0" w:line="240" w:lineRule="auto"/>
            </w:pPr>
            <w:r>
              <w:t>M3 图书浏览与检索</w:t>
            </w:r>
            <w:r>
              <w:br w:type="textWrapping"/>
            </w:r>
            <w:r>
              <w:t>M6 后台管理</w:t>
            </w:r>
          </w:p>
        </w:tc>
        <w:tc>
          <w:tcPr>
            <w:tcW w:w="1440" w:type="dxa"/>
          </w:tcPr>
          <w:p w14:paraId="120BA518">
            <w:pPr>
              <w:spacing w:after="0" w:line="240" w:lineRule="auto"/>
            </w:pPr>
            <w:r>
              <w:t>（由该成员填写）</w:t>
            </w:r>
          </w:p>
        </w:tc>
        <w:tc>
          <w:tcPr>
            <w:tcW w:w="1440" w:type="dxa"/>
          </w:tcPr>
          <w:p w14:paraId="33DB35C9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440" w:type="dxa"/>
          </w:tcPr>
          <w:p w14:paraId="271A0F67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440" w:type="dxa"/>
          </w:tcPr>
          <w:p w14:paraId="74E0C855">
            <w:pPr>
              <w:spacing w:after="0" w:line="240" w:lineRule="auto"/>
            </w:pPr>
            <w:r>
              <w:t>33.3%</w:t>
            </w:r>
          </w:p>
        </w:tc>
      </w:tr>
      <w:tr w14:paraId="2AA6A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F8098D5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440" w:type="dxa"/>
          </w:tcPr>
          <w:p w14:paraId="14F8CCEC">
            <w:pPr>
              <w:spacing w:after="0" w:line="240" w:lineRule="auto"/>
            </w:pPr>
            <w:r>
              <w:t>M2 权限控制</w:t>
            </w:r>
            <w:r>
              <w:br w:type="textWrapping"/>
            </w:r>
            <w:r>
              <w:t>M5 订单与事务</w:t>
            </w:r>
          </w:p>
        </w:tc>
        <w:tc>
          <w:tcPr>
            <w:tcW w:w="1440" w:type="dxa"/>
          </w:tcPr>
          <w:p w14:paraId="2E211C1A">
            <w:pPr>
              <w:spacing w:after="0" w:line="240" w:lineRule="auto"/>
            </w:pPr>
            <w:r>
              <w:t>（由该成员填写）</w:t>
            </w:r>
          </w:p>
        </w:tc>
        <w:tc>
          <w:tcPr>
            <w:tcW w:w="1440" w:type="dxa"/>
          </w:tcPr>
          <w:p w14:paraId="6186AF74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440" w:type="dxa"/>
          </w:tcPr>
          <w:p w14:paraId="2F387D0E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440" w:type="dxa"/>
          </w:tcPr>
          <w:p w14:paraId="698E810F">
            <w:pPr>
              <w:spacing w:after="0" w:line="240" w:lineRule="auto"/>
            </w:pPr>
            <w:r>
              <w:t>33.3%</w:t>
            </w:r>
          </w:p>
        </w:tc>
      </w:tr>
      <w:tr w14:paraId="1466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4E6EC5">
            <w:pPr>
              <w:spacing w:after="0" w:line="240" w:lineRule="auto"/>
            </w:pPr>
            <w:r>
              <w:t>合计</w:t>
            </w:r>
          </w:p>
        </w:tc>
        <w:tc>
          <w:tcPr>
            <w:tcW w:w="1440" w:type="dxa"/>
          </w:tcPr>
          <w:p w14:paraId="75FF308D">
            <w:pPr>
              <w:spacing w:after="0" w:line="240" w:lineRule="auto"/>
            </w:pPr>
            <w:r>
              <w:t>6 个模块</w:t>
            </w:r>
          </w:p>
        </w:tc>
        <w:tc>
          <w:tcPr>
            <w:tcW w:w="1440" w:type="dxa"/>
          </w:tcPr>
          <w:p w14:paraId="359BE9C5">
            <w:pPr>
              <w:spacing w:after="0" w:line="240" w:lineRule="auto"/>
            </w:pPr>
          </w:p>
        </w:tc>
        <w:tc>
          <w:tcPr>
            <w:tcW w:w="1440" w:type="dxa"/>
          </w:tcPr>
          <w:p w14:paraId="0CDB951C">
            <w:pPr>
              <w:spacing w:after="0" w:line="240" w:lineRule="auto"/>
            </w:pPr>
          </w:p>
        </w:tc>
        <w:tc>
          <w:tcPr>
            <w:tcW w:w="1440" w:type="dxa"/>
          </w:tcPr>
          <w:p w14:paraId="325C1ED9">
            <w:pPr>
              <w:spacing w:after="0" w:line="240" w:lineRule="auto"/>
            </w:pPr>
            <w:r>
              <w:t>（待汇总）</w:t>
            </w:r>
          </w:p>
        </w:tc>
        <w:tc>
          <w:tcPr>
            <w:tcW w:w="1440" w:type="dxa"/>
          </w:tcPr>
          <w:p w14:paraId="7D5E082B">
            <w:pPr>
              <w:spacing w:after="0" w:line="240" w:lineRule="auto"/>
            </w:pPr>
            <w:r>
              <w:t>100%</w:t>
            </w:r>
          </w:p>
        </w:tc>
      </w:tr>
    </w:tbl>
    <w:p w14:paraId="0F9B4CE8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702"/>
    <w:rsid w:val="0090420B"/>
    <w:rsid w:val="00AA1D8D"/>
    <w:rsid w:val="00B47730"/>
    <w:rsid w:val="00CB0664"/>
    <w:rsid w:val="00FC693F"/>
    <w:rsid w:val="01C63133"/>
    <w:rsid w:val="09190CC6"/>
    <w:rsid w:val="0ADB2CF4"/>
    <w:rsid w:val="18185587"/>
    <w:rsid w:val="1AA03612"/>
    <w:rsid w:val="204D7D98"/>
    <w:rsid w:val="27016CF5"/>
    <w:rsid w:val="277D4B69"/>
    <w:rsid w:val="29684622"/>
    <w:rsid w:val="2B31754F"/>
    <w:rsid w:val="2DB5737A"/>
    <w:rsid w:val="391D6DC9"/>
    <w:rsid w:val="3B4F0A10"/>
    <w:rsid w:val="3CF67395"/>
    <w:rsid w:val="45E43CDB"/>
    <w:rsid w:val="46FC099A"/>
    <w:rsid w:val="49756120"/>
    <w:rsid w:val="4B413ED2"/>
    <w:rsid w:val="51121C5D"/>
    <w:rsid w:val="513E143E"/>
    <w:rsid w:val="51DF4444"/>
    <w:rsid w:val="522B1280"/>
    <w:rsid w:val="557A17BE"/>
    <w:rsid w:val="55B62A6C"/>
    <w:rsid w:val="56777398"/>
    <w:rsid w:val="593406FE"/>
    <w:rsid w:val="59CC37D3"/>
    <w:rsid w:val="5EAA7B88"/>
    <w:rsid w:val="61076D2C"/>
    <w:rsid w:val="6A333127"/>
    <w:rsid w:val="6A5C267E"/>
    <w:rsid w:val="6D2158FE"/>
    <w:rsid w:val="6D714693"/>
    <w:rsid w:val="6DFB0400"/>
    <w:rsid w:val="70115CB9"/>
    <w:rsid w:val="751D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uiPriority w:val="9"/>
    <w:rPr>
      <w:rFonts w:asciiTheme="majorHAnsi" w:hAnsiTheme="majorHAnsi" w:eastAsiaTheme="majorEastAsia" w:cstheme="majorBidi"/>
      <w:b/>
      <w:bCs/>
      <w:color w:val="000000" w:themeColor="text1"/>
      <w:sz w:val="28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39">
    <w:name w:val="Heading 2 Char"/>
    <w:link w:val="4"/>
    <w:uiPriority w:val="9"/>
    <w:rPr>
      <w:rFonts w:asciiTheme="majorHAnsi" w:hAnsiTheme="majorHAnsi" w:eastAsiaTheme="majorEastAsia" w:cstheme="majorBidi"/>
      <w:b/>
      <w:bCs/>
      <w:color w:val="000000" w:themeColor="text1"/>
      <w:sz w:val="26"/>
      <w:szCs w:val="26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910</Words>
  <Characters>1091</Characters>
  <Lines>0</Lines>
  <Paragraphs>0</Paragraphs>
  <TotalTime>9</TotalTime>
  <ScaleCrop>false</ScaleCrop>
  <LinksUpToDate>false</LinksUpToDate>
  <CharactersWithSpaces>1139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芬妮占领世界</cp:lastModifiedBy>
  <dcterms:modified xsi:type="dcterms:W3CDTF">2026-09-14T11:39:58Z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eyJoZGlkIjoiNTFjMTI1NTY2ZDQ2YTIwM2IyMjBjOGU3ZjEzY2NjZDIiLCJ1c2VySWQiOiIxMzE5OTY1MTg2In0=</vt:lpwstr>
  </property>
  <property fmtid="{D5CDD505-2E9C-101B-9397-08002B2CF9AE}" pid="3" name="KSOProductBuildVer">
    <vt:lpwstr>2052-12.1.0.28505</vt:lpwstr>
  </property>
  <property fmtid="{D5CDD505-2E9C-101B-9397-08002B2CF9AE}" pid="4" name="ICV">
    <vt:lpwstr>748C0DBC2FFF45898E2273314D3C7C2D_12</vt:lpwstr>
  </property>
</Properties>
</file>